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687"/>
        <w:tblW w:w="10031" w:type="dxa"/>
        <w:tblLayout w:type="fixed"/>
        <w:tblLook w:val="000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0069D4" w:rsidRDefault="00DB5BA7" w:rsidP="00513A51">
            <w:pPr>
              <w:shd w:val="solid" w:color="FFFFFF" w:fill="FFFFFF"/>
              <w:spacing w:before="0" w:line="240" w:lineRule="atLeast"/>
            </w:pPr>
            <w:bookmarkStart w:id="0" w:name="ditulogo"/>
            <w:bookmarkEnd w:id="0"/>
            <w:r>
              <w:rPr>
                <w:noProof/>
                <w:lang w:val="en-US" w:eastAsia="zh-CN"/>
              </w:rPr>
              <w:drawing>
                <wp:inline distT="0" distB="0" distL="0" distR="0">
                  <wp:extent cx="1762125" cy="7429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62125" cy="74295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trPr>
          <w:cantSplit/>
        </w:trPr>
        <w:tc>
          <w:tcPr>
            <w:tcW w:w="6580" w:type="dxa"/>
            <w:vMerge w:val="restart"/>
          </w:tcPr>
          <w:p w:rsidR="00B23533" w:rsidRPr="00A479B6" w:rsidRDefault="007D433B" w:rsidP="00BF14E0">
            <w:pPr>
              <w:shd w:val="solid" w:color="FFFFFF" w:fill="FFFFFF"/>
              <w:tabs>
                <w:tab w:val="clear" w:pos="794"/>
                <w:tab w:val="clear" w:pos="1191"/>
                <w:tab w:val="clear" w:pos="1588"/>
                <w:tab w:val="clear" w:pos="1985"/>
              </w:tabs>
              <w:spacing w:before="0" w:after="240"/>
              <w:ind w:left="1134" w:hanging="1134"/>
              <w:rPr>
                <w:rFonts w:ascii="Verdana" w:hAnsi="Verdana"/>
                <w:sz w:val="20"/>
                <w:lang w:val="fr-CH"/>
              </w:rPr>
            </w:pPr>
            <w:bookmarkStart w:id="1" w:name="recibido"/>
            <w:bookmarkStart w:id="2" w:name="dnum" w:colFirst="1" w:colLast="1"/>
            <w:bookmarkEnd w:id="1"/>
            <w:r w:rsidRPr="00A479B6">
              <w:rPr>
                <w:rFonts w:ascii="Verdana" w:hAnsi="Verdana"/>
                <w:sz w:val="20"/>
                <w:lang w:val="fr-CH"/>
              </w:rPr>
              <w:t>Source:</w:t>
            </w:r>
            <w:r w:rsidRPr="00A479B6">
              <w:rPr>
                <w:rFonts w:ascii="Verdana" w:hAnsi="Verdana"/>
                <w:sz w:val="20"/>
                <w:lang w:val="fr-CH"/>
              </w:rPr>
              <w:tab/>
            </w:r>
            <w:r w:rsidR="00513A51" w:rsidRPr="00A479B6">
              <w:rPr>
                <w:rFonts w:ascii="Verdana" w:hAnsi="Verdana"/>
                <w:sz w:val="20"/>
                <w:lang w:val="fr-CH"/>
              </w:rPr>
              <w:t>Document 1</w:t>
            </w:r>
            <w:r w:rsidR="002F52A4" w:rsidRPr="00A479B6">
              <w:rPr>
                <w:rFonts w:ascii="Verdana" w:hAnsi="Verdana"/>
                <w:sz w:val="20"/>
                <w:lang w:val="fr-CH"/>
              </w:rPr>
              <w:t>A</w:t>
            </w:r>
            <w:r w:rsidR="00513A51" w:rsidRPr="00A479B6">
              <w:rPr>
                <w:rFonts w:ascii="Verdana" w:hAnsi="Verdana"/>
                <w:sz w:val="20"/>
                <w:lang w:val="fr-CH"/>
              </w:rPr>
              <w:t>/</w:t>
            </w:r>
            <w:r w:rsidR="00A479B6">
              <w:rPr>
                <w:rFonts w:ascii="Verdana" w:hAnsi="Verdana"/>
                <w:sz w:val="20"/>
                <w:lang w:val="fr-CH"/>
              </w:rPr>
              <w:t>TEMP/1</w:t>
            </w:r>
            <w:r w:rsidR="00BF14E0">
              <w:rPr>
                <w:rFonts w:ascii="Verdana" w:hAnsi="Verdana"/>
                <w:sz w:val="20"/>
                <w:lang w:val="fr-CH"/>
              </w:rPr>
              <w:t>06</w:t>
            </w:r>
            <w:r w:rsidR="00A479B6">
              <w:rPr>
                <w:rFonts w:ascii="Verdana" w:hAnsi="Verdana"/>
                <w:sz w:val="20"/>
                <w:lang w:val="fr-CH"/>
              </w:rPr>
              <w:t>(edited)</w:t>
            </w:r>
          </w:p>
        </w:tc>
        <w:tc>
          <w:tcPr>
            <w:tcW w:w="3451" w:type="dxa"/>
          </w:tcPr>
          <w:p w:rsidR="000069D4" w:rsidRPr="00513A51" w:rsidRDefault="00513A51" w:rsidP="00BF14E0">
            <w:pPr>
              <w:shd w:val="solid" w:color="FFFFFF" w:fill="FFFFFF"/>
              <w:spacing w:before="0" w:line="240" w:lineRule="atLeast"/>
              <w:rPr>
                <w:rFonts w:ascii="Verdana" w:hAnsi="Verdana"/>
                <w:sz w:val="20"/>
                <w:lang w:eastAsia="zh-CN"/>
              </w:rPr>
            </w:pPr>
            <w:r>
              <w:rPr>
                <w:rFonts w:ascii="Verdana" w:hAnsi="Verdana"/>
                <w:b/>
                <w:sz w:val="20"/>
                <w:lang w:eastAsia="zh-CN"/>
              </w:rPr>
              <w:t xml:space="preserve">Annex </w:t>
            </w:r>
            <w:r w:rsidR="00BF14E0">
              <w:rPr>
                <w:rFonts w:ascii="Verdana" w:hAnsi="Verdana"/>
                <w:b/>
                <w:sz w:val="20"/>
                <w:lang w:eastAsia="zh-CN"/>
              </w:rPr>
              <w:t>1</w:t>
            </w:r>
            <w:r>
              <w:rPr>
                <w:rFonts w:ascii="Verdana" w:hAnsi="Verdana"/>
                <w:b/>
                <w:sz w:val="20"/>
                <w:lang w:eastAsia="zh-CN"/>
              </w:rPr>
              <w:t xml:space="preserve"> to</w:t>
            </w:r>
            <w:r>
              <w:rPr>
                <w:rFonts w:ascii="Verdana" w:hAnsi="Verdana"/>
                <w:b/>
                <w:sz w:val="20"/>
                <w:lang w:eastAsia="zh-CN"/>
              </w:rPr>
              <w:br/>
              <w:t>Document 1</w:t>
            </w:r>
            <w:r w:rsidR="002F52A4">
              <w:rPr>
                <w:rFonts w:ascii="Verdana" w:hAnsi="Verdana"/>
                <w:b/>
                <w:sz w:val="20"/>
                <w:lang w:eastAsia="zh-CN"/>
              </w:rPr>
              <w:t>A</w:t>
            </w:r>
            <w:r>
              <w:rPr>
                <w:rFonts w:ascii="Verdana" w:hAnsi="Verdana"/>
                <w:b/>
                <w:sz w:val="20"/>
                <w:lang w:eastAsia="zh-CN"/>
              </w:rPr>
              <w:t>/</w:t>
            </w:r>
            <w:r w:rsidR="00674D74">
              <w:rPr>
                <w:rFonts w:ascii="Verdana" w:hAnsi="Verdana"/>
                <w:b/>
                <w:sz w:val="20"/>
                <w:lang w:eastAsia="zh-CN"/>
              </w:rPr>
              <w:t>3</w:t>
            </w:r>
            <w:r w:rsidR="005A6941">
              <w:rPr>
                <w:rFonts w:ascii="Verdana" w:hAnsi="Verdana"/>
                <w:b/>
                <w:sz w:val="20"/>
                <w:lang w:eastAsia="zh-CN"/>
              </w:rPr>
              <w:t>1</w:t>
            </w:r>
            <w:r w:rsidR="00674D74">
              <w:rPr>
                <w:rFonts w:ascii="Verdana" w:hAnsi="Verdana"/>
                <w:b/>
                <w:sz w:val="20"/>
                <w:lang w:eastAsia="zh-CN"/>
              </w:rPr>
              <w:t>1</w:t>
            </w:r>
            <w:r>
              <w:rPr>
                <w:rFonts w:ascii="Verdana" w:hAnsi="Verdana"/>
                <w:b/>
                <w:sz w:val="20"/>
                <w:lang w:eastAsia="zh-CN"/>
              </w:rPr>
              <w:t>-E</w:t>
            </w:r>
          </w:p>
        </w:tc>
      </w:tr>
      <w:tr w:rsidR="000069D4">
        <w:trPr>
          <w:cantSplit/>
        </w:trPr>
        <w:tc>
          <w:tcPr>
            <w:tcW w:w="6580" w:type="dxa"/>
            <w:vMerge/>
          </w:tcPr>
          <w:p w:rsidR="000069D4" w:rsidRDefault="000069D4" w:rsidP="00A5173C">
            <w:pPr>
              <w:spacing w:before="60"/>
              <w:jc w:val="center"/>
              <w:rPr>
                <w:b/>
                <w:smallCaps/>
                <w:sz w:val="32"/>
                <w:lang w:eastAsia="zh-CN"/>
              </w:rPr>
            </w:pPr>
            <w:bookmarkStart w:id="3" w:name="ddate" w:colFirst="1" w:colLast="1"/>
            <w:bookmarkEnd w:id="2"/>
          </w:p>
        </w:tc>
        <w:tc>
          <w:tcPr>
            <w:tcW w:w="3451" w:type="dxa"/>
          </w:tcPr>
          <w:p w:rsidR="000069D4" w:rsidRPr="00513A51" w:rsidRDefault="00A479B6" w:rsidP="00002C66">
            <w:pPr>
              <w:shd w:val="solid" w:color="FFFFFF" w:fill="FFFFFF"/>
              <w:spacing w:before="0" w:line="240" w:lineRule="atLeast"/>
              <w:rPr>
                <w:rFonts w:ascii="Verdana" w:hAnsi="Verdana"/>
                <w:sz w:val="20"/>
                <w:lang w:eastAsia="zh-CN"/>
              </w:rPr>
            </w:pPr>
            <w:r>
              <w:rPr>
                <w:rFonts w:ascii="Verdana" w:hAnsi="Verdana"/>
                <w:b/>
                <w:sz w:val="20"/>
                <w:lang w:eastAsia="zh-CN"/>
              </w:rPr>
              <w:t>12</w:t>
            </w:r>
            <w:r w:rsidR="00674D74">
              <w:rPr>
                <w:rFonts w:ascii="Verdana" w:hAnsi="Verdana"/>
                <w:b/>
                <w:sz w:val="20"/>
                <w:lang w:eastAsia="zh-CN"/>
              </w:rPr>
              <w:t xml:space="preserve"> July </w:t>
            </w:r>
            <w:r w:rsidR="00513A51">
              <w:rPr>
                <w:rFonts w:ascii="Verdana" w:hAnsi="Verdana"/>
                <w:b/>
                <w:sz w:val="20"/>
                <w:lang w:eastAsia="zh-CN"/>
              </w:rPr>
              <w:t>2010</w:t>
            </w:r>
          </w:p>
        </w:tc>
      </w:tr>
      <w:tr w:rsidR="000069D4">
        <w:trPr>
          <w:cantSplit/>
        </w:trPr>
        <w:tc>
          <w:tcPr>
            <w:tcW w:w="6580" w:type="dxa"/>
            <w:vMerge/>
          </w:tcPr>
          <w:p w:rsidR="000069D4" w:rsidRDefault="000069D4" w:rsidP="00A5173C">
            <w:pPr>
              <w:spacing w:before="60"/>
              <w:jc w:val="center"/>
              <w:rPr>
                <w:b/>
                <w:smallCaps/>
                <w:sz w:val="32"/>
                <w:lang w:eastAsia="zh-CN"/>
              </w:rPr>
            </w:pPr>
            <w:bookmarkStart w:id="4" w:name="dorlang" w:colFirst="1" w:colLast="1"/>
            <w:bookmarkEnd w:id="3"/>
          </w:p>
        </w:tc>
        <w:tc>
          <w:tcPr>
            <w:tcW w:w="3451" w:type="dxa"/>
          </w:tcPr>
          <w:p w:rsidR="000069D4" w:rsidRPr="00513A51" w:rsidRDefault="00513A51"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Pr="00BF14E0" w:rsidRDefault="00513A51" w:rsidP="00BF14E0">
            <w:pPr>
              <w:pStyle w:val="Source"/>
            </w:pPr>
            <w:bookmarkStart w:id="5" w:name="dsource" w:colFirst="0" w:colLast="0"/>
            <w:bookmarkEnd w:id="4"/>
            <w:r w:rsidRPr="00BF14E0">
              <w:t xml:space="preserve">Annex </w:t>
            </w:r>
            <w:r w:rsidR="00BF14E0" w:rsidRPr="00BF14E0">
              <w:t>1</w:t>
            </w:r>
            <w:r w:rsidRPr="00BF14E0">
              <w:t xml:space="preserve"> to Working Party 1</w:t>
            </w:r>
            <w:r w:rsidR="002F52A4" w:rsidRPr="00BF14E0">
              <w:t>A</w:t>
            </w:r>
            <w:r w:rsidRPr="00BF14E0">
              <w:t xml:space="preserve"> Chairman's Report</w:t>
            </w:r>
          </w:p>
        </w:tc>
      </w:tr>
      <w:tr w:rsidR="000069D4">
        <w:trPr>
          <w:cantSplit/>
        </w:trPr>
        <w:tc>
          <w:tcPr>
            <w:tcW w:w="10031" w:type="dxa"/>
            <w:gridSpan w:val="2"/>
          </w:tcPr>
          <w:p w:rsidR="000069D4" w:rsidRPr="006675BD" w:rsidRDefault="00BF14E0" w:rsidP="00BF14E0">
            <w:pPr>
              <w:pStyle w:val="RepNo"/>
            </w:pPr>
            <w:bookmarkStart w:id="6" w:name="drec" w:colFirst="0" w:colLast="0"/>
            <w:bookmarkEnd w:id="5"/>
            <w:r w:rsidRPr="006A444B">
              <w:rPr>
                <w:lang w:val="en-US"/>
              </w:rPr>
              <w:t xml:space="preserve">working Document toward a Preliminary </w:t>
            </w:r>
            <w:r w:rsidRPr="006A444B">
              <w:rPr>
                <w:lang w:val="en-US"/>
              </w:rPr>
              <w:br/>
              <w:t>Draft New Report ITU-R SM.[PLT</w:t>
            </w:r>
            <w:r>
              <w:rPr>
                <w:lang w:val="en-US"/>
              </w:rPr>
              <w:t xml:space="preserve"> </w:t>
            </w:r>
            <w:r w:rsidRPr="006A444B">
              <w:rPr>
                <w:lang w:val="en-US"/>
              </w:rPr>
              <w:t>+</w:t>
            </w:r>
            <w:r>
              <w:rPr>
                <w:lang w:val="en-US"/>
              </w:rPr>
              <w:t xml:space="preserve"> </w:t>
            </w:r>
            <w:r w:rsidRPr="006A444B">
              <w:rPr>
                <w:lang w:val="en-US"/>
              </w:rPr>
              <w:t>80 MH</w:t>
            </w:r>
            <w:r w:rsidRPr="006A444B">
              <w:rPr>
                <w:caps w:val="0"/>
                <w:lang w:val="en-US"/>
              </w:rPr>
              <w:t>z</w:t>
            </w:r>
            <w:r w:rsidRPr="006A444B">
              <w:rPr>
                <w:lang w:val="en-US"/>
              </w:rPr>
              <w:t>]</w:t>
            </w:r>
          </w:p>
        </w:tc>
      </w:tr>
      <w:tr w:rsidR="006675BD">
        <w:trPr>
          <w:cantSplit/>
        </w:trPr>
        <w:tc>
          <w:tcPr>
            <w:tcW w:w="10031" w:type="dxa"/>
            <w:gridSpan w:val="2"/>
          </w:tcPr>
          <w:p w:rsidR="006675BD" w:rsidRPr="00D13F0B" w:rsidRDefault="00BF14E0" w:rsidP="00BF14E0">
            <w:pPr>
              <w:pStyle w:val="Reptitle"/>
              <w:rPr>
                <w:szCs w:val="28"/>
                <w:lang w:eastAsia="zh-CN"/>
              </w:rPr>
            </w:pPr>
            <w:r w:rsidRPr="006A444B">
              <w:rPr>
                <w:lang w:val="en-US"/>
              </w:rPr>
              <w:t>Impact of power line telecommunication systems on radiocommunication</w:t>
            </w:r>
            <w:r w:rsidRPr="006A444B">
              <w:rPr>
                <w:lang w:val="en-US"/>
              </w:rPr>
              <w:br/>
              <w:t>systems operating in the VHF and UHF bands above 80 MHz</w:t>
            </w:r>
          </w:p>
        </w:tc>
      </w:tr>
      <w:tr w:rsidR="00BF14E0">
        <w:trPr>
          <w:cantSplit/>
        </w:trPr>
        <w:tc>
          <w:tcPr>
            <w:tcW w:w="10031" w:type="dxa"/>
            <w:gridSpan w:val="2"/>
          </w:tcPr>
          <w:p w:rsidR="00BF14E0" w:rsidRPr="00BF14E0" w:rsidRDefault="00BF14E0" w:rsidP="00BF14E0">
            <w:pPr>
              <w:pStyle w:val="Reptitle"/>
              <w:rPr>
                <w:b w:val="0"/>
                <w:bCs/>
                <w:lang w:val="en-US"/>
              </w:rPr>
            </w:pPr>
            <w:r w:rsidRPr="00BF14E0">
              <w:rPr>
                <w:b w:val="0"/>
                <w:bCs/>
                <w:lang w:val="fr-FR"/>
              </w:rPr>
              <w:t>(Question ITU-R 221-1/1)</w:t>
            </w:r>
          </w:p>
        </w:tc>
      </w:tr>
    </w:tbl>
    <w:p w:rsidR="00BF14E0" w:rsidRDefault="00BF14E0" w:rsidP="00BF14E0">
      <w:pPr>
        <w:pStyle w:val="Repref"/>
        <w:rPr>
          <w:lang w:val="fr-FR"/>
        </w:rPr>
      </w:pPr>
      <w:bookmarkStart w:id="7" w:name="dbreak"/>
      <w:bookmarkEnd w:id="6"/>
      <w:bookmarkEnd w:id="7"/>
    </w:p>
    <w:p w:rsidR="00BF14E0" w:rsidRDefault="00BF14E0" w:rsidP="00BF14E0">
      <w:pPr>
        <w:jc w:val="center"/>
        <w:rPr>
          <w:sz w:val="28"/>
          <w:szCs w:val="28"/>
          <w:lang w:val="fr-FR"/>
        </w:rPr>
      </w:pPr>
    </w:p>
    <w:p w:rsidR="00BF14E0" w:rsidRPr="00BF14E0" w:rsidRDefault="00BF14E0" w:rsidP="00BF14E0">
      <w:pPr>
        <w:jc w:val="center"/>
        <w:rPr>
          <w:sz w:val="28"/>
          <w:szCs w:val="28"/>
          <w:lang w:val="fr-FR"/>
        </w:rPr>
      </w:pPr>
      <w:r w:rsidRPr="00BF14E0">
        <w:rPr>
          <w:sz w:val="28"/>
          <w:szCs w:val="28"/>
          <w:lang w:val="fr-FR"/>
        </w:rPr>
        <w:t>CONTENTS</w:t>
      </w:r>
    </w:p>
    <w:p w:rsidR="00BF14E0" w:rsidRPr="00FF5E2D" w:rsidRDefault="00BF14E0" w:rsidP="00BF14E0">
      <w:pPr>
        <w:jc w:val="center"/>
        <w:rPr>
          <w:lang w:val="fr-FR"/>
        </w:rPr>
      </w:pPr>
    </w:p>
    <w:p w:rsidR="00BF14E0" w:rsidRPr="00FF5E2D" w:rsidRDefault="00BF14E0" w:rsidP="00BF14E0">
      <w:pPr>
        <w:pStyle w:val="toc0"/>
        <w:rPr>
          <w:lang w:val="fr-FR" w:eastAsia="zh-CN"/>
        </w:rPr>
      </w:pPr>
      <w:r w:rsidRPr="00FF5E2D">
        <w:rPr>
          <w:lang w:val="fr-FR" w:eastAsia="zh-CN"/>
        </w:rPr>
        <w:tab/>
        <w:t>Page</w:t>
      </w:r>
    </w:p>
    <w:p w:rsidR="00BF14E0" w:rsidRPr="001F1C74" w:rsidRDefault="00EF1C76" w:rsidP="00BF14E0">
      <w:pPr>
        <w:pStyle w:val="TOC2"/>
        <w:tabs>
          <w:tab w:val="left" w:pos="1080"/>
          <w:tab w:val="left" w:leader="dot" w:pos="9090"/>
        </w:tabs>
        <w:rPr>
          <w:rFonts w:ascii="Calibri" w:hAnsi="Calibri" w:cs="Arial"/>
          <w:noProof/>
          <w:sz w:val="22"/>
          <w:szCs w:val="22"/>
          <w:lang w:val="en-US"/>
        </w:rPr>
      </w:pPr>
      <w:r w:rsidRPr="006A444B">
        <w:rPr>
          <w:lang w:val="en-US"/>
        </w:rPr>
        <w:fldChar w:fldCharType="begin"/>
      </w:r>
      <w:r w:rsidR="00BF14E0" w:rsidRPr="001F1C74">
        <w:rPr>
          <w:lang w:val="en-US"/>
        </w:rPr>
        <w:instrText xml:space="preserve"> TOC \o "1-3" \u </w:instrText>
      </w:r>
      <w:r w:rsidRPr="006A444B">
        <w:rPr>
          <w:lang w:val="en-US"/>
        </w:rPr>
        <w:fldChar w:fldCharType="separate"/>
      </w:r>
      <w:r w:rsidR="00BF14E0" w:rsidRPr="001F1C74">
        <w:rPr>
          <w:noProof/>
          <w:lang w:val="en-US"/>
        </w:rPr>
        <w:t>1</w:t>
      </w:r>
      <w:r w:rsidR="00BF14E0" w:rsidRPr="001F1C74">
        <w:rPr>
          <w:rFonts w:ascii="Calibri" w:hAnsi="Calibri" w:cs="Arial"/>
          <w:noProof/>
          <w:sz w:val="22"/>
          <w:szCs w:val="22"/>
          <w:lang w:val="en-US"/>
        </w:rPr>
        <w:tab/>
      </w:r>
      <w:r w:rsidR="00BF14E0" w:rsidRPr="001F1C74">
        <w:rPr>
          <w:noProof/>
          <w:lang w:val="en-US"/>
        </w:rPr>
        <w:t>Introduction</w:t>
      </w:r>
      <w:r w:rsidR="00BF14E0" w:rsidRPr="001F1C74">
        <w:rPr>
          <w:noProof/>
          <w:lang w:val="en-US"/>
        </w:rPr>
        <w:tab/>
      </w:r>
      <w:r w:rsidR="00BF14E0" w:rsidRPr="001F1C74">
        <w:rPr>
          <w:noProof/>
          <w:lang w:val="en-US"/>
        </w:rPr>
        <w:tab/>
      </w:r>
      <w:r w:rsidR="00BF14E0">
        <w:rPr>
          <w:noProof/>
          <w:lang w:val="en-US"/>
        </w:rPr>
        <w:tab/>
      </w:r>
      <w:r w:rsidRPr="006A444B">
        <w:rPr>
          <w:noProof/>
          <w:lang w:val="en-US"/>
        </w:rPr>
        <w:fldChar w:fldCharType="begin"/>
      </w:r>
      <w:r w:rsidR="00BF14E0" w:rsidRPr="001F1C74">
        <w:rPr>
          <w:noProof/>
          <w:lang w:val="en-US"/>
        </w:rPr>
        <w:instrText xml:space="preserve"> PAGEREF _Toc265129532 \h </w:instrText>
      </w:r>
      <w:r w:rsidRPr="006A444B">
        <w:rPr>
          <w:noProof/>
          <w:lang w:val="en-US"/>
        </w:rPr>
      </w:r>
      <w:r w:rsidRPr="006A444B">
        <w:rPr>
          <w:noProof/>
          <w:lang w:val="en-US"/>
        </w:rPr>
        <w:fldChar w:fldCharType="separate"/>
      </w:r>
      <w:r w:rsidR="00BF14E0">
        <w:rPr>
          <w:noProof/>
          <w:lang w:val="en-US"/>
        </w:rPr>
        <w:t>4</w:t>
      </w:r>
      <w:r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2</w:t>
      </w:r>
      <w:r w:rsidRPr="006A444B">
        <w:rPr>
          <w:rFonts w:ascii="Calibri" w:hAnsi="Calibri" w:cs="Arial"/>
          <w:noProof/>
          <w:sz w:val="22"/>
          <w:szCs w:val="22"/>
          <w:lang w:val="en-US"/>
        </w:rPr>
        <w:tab/>
      </w:r>
      <w:r w:rsidRPr="006A444B">
        <w:rPr>
          <w:bCs/>
          <w:noProof/>
          <w:color w:val="000000"/>
          <w:lang w:val="en-US"/>
        </w:rPr>
        <w:t xml:space="preserve">Characteristics of radio-frequency emission from PLT Systems in the VHF </w:t>
      </w:r>
      <w:r w:rsidRPr="006A444B">
        <w:rPr>
          <w:bCs/>
          <w:noProof/>
          <w:color w:val="000000"/>
          <w:lang w:val="en-US"/>
        </w:rPr>
        <w:br/>
        <w:t>and UHF bands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_Toc265129533 \h </w:instrText>
      </w:r>
      <w:r w:rsidR="00EF1C76" w:rsidRPr="006A444B">
        <w:rPr>
          <w:noProof/>
          <w:lang w:val="en-US"/>
        </w:rPr>
      </w:r>
      <w:r w:rsidR="00EF1C76" w:rsidRPr="006A444B">
        <w:rPr>
          <w:noProof/>
          <w:lang w:val="en-US"/>
        </w:rPr>
        <w:fldChar w:fldCharType="separate"/>
      </w:r>
      <w:r>
        <w:rPr>
          <w:noProof/>
          <w:lang w:val="en-US"/>
        </w:rPr>
        <w:t>5</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3</w:t>
      </w:r>
      <w:r w:rsidRPr="006A444B">
        <w:rPr>
          <w:rFonts w:ascii="Calibri" w:hAnsi="Calibri" w:cs="Arial"/>
          <w:noProof/>
          <w:sz w:val="22"/>
          <w:szCs w:val="22"/>
          <w:lang w:val="en-US"/>
        </w:rPr>
        <w:tab/>
      </w:r>
      <w:r w:rsidRPr="006A444B">
        <w:rPr>
          <w:bCs/>
          <w:noProof/>
          <w:color w:val="000000"/>
          <w:lang w:val="en-US"/>
        </w:rPr>
        <w:t>Radio system characteristics, protection criteria, and impact of PLT systems on radiocommunication systems</w:t>
      </w:r>
      <w:r w:rsidRPr="006A444B">
        <w:rPr>
          <w:noProof/>
          <w:lang w:val="en-US"/>
        </w:rPr>
        <w:t xml:space="preserve"> in the VHF and UHF bands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_Toc265129534 \h </w:instrText>
      </w:r>
      <w:r w:rsidR="00EF1C76" w:rsidRPr="006A444B">
        <w:rPr>
          <w:noProof/>
          <w:lang w:val="en-US"/>
        </w:rPr>
      </w:r>
      <w:r w:rsidR="00EF1C76" w:rsidRPr="006A444B">
        <w:rPr>
          <w:noProof/>
          <w:lang w:val="en-US"/>
        </w:rPr>
        <w:fldChar w:fldCharType="separate"/>
      </w:r>
      <w:r>
        <w:rPr>
          <w:noProof/>
          <w:lang w:val="en-US"/>
        </w:rPr>
        <w:t>5</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rFonts w:ascii="Times" w:hAnsi="Times"/>
          <w:noProof/>
          <w:lang w:val="en-US"/>
        </w:rPr>
        <w:t>3.1</w:t>
      </w:r>
      <w:r w:rsidRPr="006A444B">
        <w:rPr>
          <w:rFonts w:ascii="Calibri" w:hAnsi="Calibri" w:cs="Arial"/>
          <w:noProof/>
          <w:sz w:val="22"/>
          <w:szCs w:val="22"/>
          <w:lang w:val="en-US"/>
        </w:rPr>
        <w:tab/>
      </w:r>
      <w:r w:rsidRPr="006A444B">
        <w:rPr>
          <w:rFonts w:ascii="Times" w:hAnsi="Times"/>
          <w:noProof/>
          <w:lang w:val="en-US"/>
        </w:rPr>
        <w:t>Broadcasting</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_Toc265129535 \h </w:instrText>
      </w:r>
      <w:r w:rsidR="00EF1C76" w:rsidRPr="006A444B">
        <w:rPr>
          <w:noProof/>
          <w:lang w:val="en-US"/>
        </w:rPr>
      </w:r>
      <w:r w:rsidR="00EF1C76" w:rsidRPr="006A444B">
        <w:rPr>
          <w:noProof/>
          <w:lang w:val="en-US"/>
        </w:rPr>
        <w:fldChar w:fldCharType="separate"/>
      </w:r>
      <w:r>
        <w:rPr>
          <w:noProof/>
          <w:lang w:val="en-US"/>
        </w:rPr>
        <w:t>5</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rFonts w:ascii="Times" w:hAnsi="Times"/>
          <w:noProof/>
          <w:lang w:val="en-US"/>
        </w:rPr>
        <w:t>3.2</w:t>
      </w:r>
      <w:r w:rsidRPr="006A444B">
        <w:rPr>
          <w:rFonts w:ascii="Calibri" w:hAnsi="Calibri" w:cs="Arial"/>
          <w:noProof/>
          <w:sz w:val="22"/>
          <w:szCs w:val="22"/>
          <w:lang w:val="en-US"/>
        </w:rPr>
        <w:tab/>
      </w:r>
      <w:r w:rsidRPr="006A444B">
        <w:rPr>
          <w:rFonts w:ascii="Times" w:hAnsi="Times"/>
          <w:noProof/>
          <w:lang w:val="en-US"/>
        </w:rPr>
        <w:t>Amateur and amateur-satellite</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_Toc265129536 \h </w:instrText>
      </w:r>
      <w:r w:rsidR="00EF1C76" w:rsidRPr="006A444B">
        <w:rPr>
          <w:noProof/>
          <w:lang w:val="en-US"/>
        </w:rPr>
      </w:r>
      <w:r w:rsidR="00EF1C76" w:rsidRPr="006A444B">
        <w:rPr>
          <w:noProof/>
          <w:lang w:val="en-US"/>
        </w:rPr>
        <w:fldChar w:fldCharType="separate"/>
      </w:r>
      <w:r>
        <w:rPr>
          <w:noProof/>
          <w:lang w:val="en-US"/>
        </w:rPr>
        <w:t>5</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3.2.1</w:t>
      </w:r>
      <w:r w:rsidRPr="006A444B">
        <w:rPr>
          <w:rFonts w:ascii="Calibri" w:hAnsi="Calibri" w:cs="Arial"/>
          <w:noProof/>
          <w:sz w:val="22"/>
          <w:szCs w:val="22"/>
          <w:lang w:val="en-US"/>
        </w:rPr>
        <w:tab/>
      </w:r>
      <w:r w:rsidRPr="006A444B">
        <w:rPr>
          <w:noProof/>
          <w:lang w:val="en-US"/>
        </w:rPr>
        <w:t>Background noise levels in the 144</w:t>
      </w:r>
      <w:r w:rsidRPr="006A444B">
        <w:rPr>
          <w:noProof/>
          <w:lang w:val="en-US"/>
        </w:rPr>
        <w:noBreakHyphen/>
        <w:t>148 MHz band</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_Toc265129537 \h </w:instrText>
      </w:r>
      <w:r w:rsidR="00EF1C76" w:rsidRPr="006A444B">
        <w:rPr>
          <w:noProof/>
          <w:lang w:val="en-US"/>
        </w:rPr>
      </w:r>
      <w:r w:rsidR="00EF1C76" w:rsidRPr="006A444B">
        <w:rPr>
          <w:noProof/>
          <w:lang w:val="en-US"/>
        </w:rPr>
        <w:fldChar w:fldCharType="separate"/>
      </w:r>
      <w:r>
        <w:rPr>
          <w:noProof/>
          <w:lang w:val="en-US"/>
        </w:rPr>
        <w:t>5</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3.2.2</w:t>
      </w:r>
      <w:r w:rsidRPr="006A444B">
        <w:rPr>
          <w:rFonts w:ascii="Calibri" w:hAnsi="Calibri" w:cs="Arial"/>
          <w:noProof/>
          <w:sz w:val="22"/>
          <w:szCs w:val="22"/>
          <w:lang w:val="en-US"/>
        </w:rPr>
        <w:tab/>
      </w:r>
      <w:r w:rsidRPr="006A444B">
        <w:rPr>
          <w:noProof/>
          <w:lang w:val="en-US"/>
        </w:rPr>
        <w:t>Characteristics of amateur stations in the 144</w:t>
      </w:r>
      <w:r w:rsidRPr="006A444B">
        <w:rPr>
          <w:noProof/>
          <w:lang w:val="en-US"/>
        </w:rPr>
        <w:noBreakHyphen/>
        <w:t>148 MHz band</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_Toc265129538 \h </w:instrText>
      </w:r>
      <w:r w:rsidR="00EF1C76" w:rsidRPr="006A444B">
        <w:rPr>
          <w:noProof/>
          <w:lang w:val="en-US"/>
        </w:rPr>
      </w:r>
      <w:r w:rsidR="00EF1C76" w:rsidRPr="006A444B">
        <w:rPr>
          <w:noProof/>
          <w:lang w:val="en-US"/>
        </w:rPr>
        <w:fldChar w:fldCharType="separate"/>
      </w:r>
      <w:r>
        <w:rPr>
          <w:noProof/>
          <w:lang w:val="en-US"/>
        </w:rPr>
        <w:t>5</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3.2.3</w:t>
      </w:r>
      <w:r w:rsidRPr="006A444B">
        <w:rPr>
          <w:rFonts w:ascii="Calibri" w:hAnsi="Calibri" w:cs="Arial"/>
          <w:noProof/>
          <w:sz w:val="22"/>
          <w:szCs w:val="22"/>
          <w:lang w:val="en-US"/>
        </w:rPr>
        <w:tab/>
      </w:r>
      <w:r w:rsidRPr="006A444B">
        <w:rPr>
          <w:noProof/>
          <w:lang w:val="en-US"/>
        </w:rPr>
        <w:t>Protection requirements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_Toc265129539 \h </w:instrText>
      </w:r>
      <w:r w:rsidR="00EF1C76" w:rsidRPr="006A444B">
        <w:rPr>
          <w:noProof/>
          <w:lang w:val="en-US"/>
        </w:rPr>
      </w:r>
      <w:r w:rsidR="00EF1C76" w:rsidRPr="006A444B">
        <w:rPr>
          <w:noProof/>
          <w:lang w:val="en-US"/>
        </w:rPr>
        <w:fldChar w:fldCharType="separate"/>
      </w:r>
      <w:r>
        <w:rPr>
          <w:noProof/>
          <w:lang w:val="en-US"/>
        </w:rPr>
        <w:t>6</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3.2.4</w:t>
      </w:r>
      <w:r w:rsidRPr="006A444B">
        <w:rPr>
          <w:rFonts w:ascii="Calibri" w:hAnsi="Calibri" w:cs="Arial"/>
          <w:noProof/>
          <w:sz w:val="22"/>
          <w:szCs w:val="22"/>
          <w:lang w:val="en-US"/>
        </w:rPr>
        <w:tab/>
      </w:r>
      <w:r w:rsidRPr="006A444B">
        <w:rPr>
          <w:noProof/>
          <w:lang w:val="en-US"/>
        </w:rPr>
        <w:t>Conclusion</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_Toc265129540 \h </w:instrText>
      </w:r>
      <w:r w:rsidR="00EF1C76" w:rsidRPr="006A444B">
        <w:rPr>
          <w:noProof/>
          <w:lang w:val="en-US"/>
        </w:rPr>
      </w:r>
      <w:r w:rsidR="00EF1C76" w:rsidRPr="006A444B">
        <w:rPr>
          <w:noProof/>
          <w:lang w:val="en-US"/>
        </w:rPr>
        <w:fldChar w:fldCharType="separate"/>
      </w:r>
      <w:r>
        <w:rPr>
          <w:noProof/>
          <w:lang w:val="en-US"/>
        </w:rPr>
        <w:t>6</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eastAsia="de-DE"/>
        </w:rPr>
        <w:t>3.3</w:t>
      </w:r>
      <w:r w:rsidRPr="006A444B">
        <w:rPr>
          <w:rFonts w:ascii="Calibri" w:hAnsi="Calibri" w:cs="Arial"/>
          <w:noProof/>
          <w:sz w:val="22"/>
          <w:szCs w:val="22"/>
          <w:lang w:val="en-US"/>
        </w:rPr>
        <w:tab/>
      </w:r>
      <w:r w:rsidRPr="006A444B">
        <w:rPr>
          <w:noProof/>
          <w:lang w:val="en-US" w:eastAsia="de-DE"/>
        </w:rPr>
        <w:t xml:space="preserve">Maritime mobile service including Global Maritime Distress and Safety System </w:t>
      </w:r>
      <w:r w:rsidRPr="006A444B">
        <w:rPr>
          <w:noProof/>
          <w:lang w:val="en-US" w:eastAsia="de-DE"/>
        </w:rPr>
        <w:br/>
        <w:t xml:space="preserve">(GMDSS); aeronautical mobile service and radiodetermination service </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_Toc265129541 \h </w:instrText>
      </w:r>
      <w:r w:rsidR="00EF1C76" w:rsidRPr="006A444B">
        <w:rPr>
          <w:noProof/>
          <w:lang w:val="en-US"/>
        </w:rPr>
      </w:r>
      <w:r w:rsidR="00EF1C76" w:rsidRPr="006A444B">
        <w:rPr>
          <w:noProof/>
          <w:lang w:val="en-US"/>
        </w:rPr>
        <w:fldChar w:fldCharType="separate"/>
      </w:r>
      <w:r>
        <w:rPr>
          <w:noProof/>
          <w:lang w:val="en-US"/>
        </w:rPr>
        <w:t>6</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3.3.1</w:t>
      </w:r>
      <w:r w:rsidRPr="006A444B">
        <w:rPr>
          <w:rFonts w:ascii="Calibri" w:hAnsi="Calibri" w:cs="Arial"/>
          <w:noProof/>
          <w:sz w:val="22"/>
          <w:szCs w:val="22"/>
          <w:lang w:val="en-US"/>
        </w:rPr>
        <w:tab/>
      </w:r>
      <w:r w:rsidRPr="006A444B">
        <w:rPr>
          <w:noProof/>
          <w:lang w:val="en-US"/>
        </w:rPr>
        <w:t xml:space="preserve">Initial maximum tolerable value of interference for systems operating in </w:t>
      </w:r>
      <w:r w:rsidRPr="006A444B">
        <w:rPr>
          <w:noProof/>
          <w:lang w:val="en-US"/>
        </w:rPr>
        <w:br/>
        <w:t>maritime and radiodetermination services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_Toc265129542 \h </w:instrText>
      </w:r>
      <w:r w:rsidR="00EF1C76" w:rsidRPr="006A444B">
        <w:rPr>
          <w:noProof/>
          <w:lang w:val="en-US"/>
        </w:rPr>
      </w:r>
      <w:r w:rsidR="00EF1C76" w:rsidRPr="006A444B">
        <w:rPr>
          <w:noProof/>
          <w:lang w:val="en-US"/>
        </w:rPr>
        <w:fldChar w:fldCharType="separate"/>
      </w:r>
      <w:r>
        <w:rPr>
          <w:noProof/>
          <w:lang w:val="en-US"/>
        </w:rPr>
        <w:t>9</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3.4</w:t>
      </w:r>
      <w:r w:rsidRPr="006A444B">
        <w:rPr>
          <w:rFonts w:ascii="Calibri" w:hAnsi="Calibri" w:cs="Arial"/>
          <w:noProof/>
          <w:sz w:val="22"/>
          <w:szCs w:val="22"/>
          <w:lang w:val="en-US"/>
        </w:rPr>
        <w:tab/>
      </w:r>
      <w:r w:rsidRPr="006A444B">
        <w:rPr>
          <w:noProof/>
          <w:lang w:val="en-US"/>
        </w:rPr>
        <w:t>Land mobile</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_Toc265129543 \h </w:instrText>
      </w:r>
      <w:r w:rsidR="00EF1C76" w:rsidRPr="006A444B">
        <w:rPr>
          <w:noProof/>
          <w:lang w:val="en-US"/>
        </w:rPr>
      </w:r>
      <w:r w:rsidR="00EF1C76" w:rsidRPr="006A444B">
        <w:rPr>
          <w:noProof/>
          <w:lang w:val="en-US"/>
        </w:rPr>
        <w:fldChar w:fldCharType="separate"/>
      </w:r>
      <w:r>
        <w:rPr>
          <w:noProof/>
          <w:lang w:val="en-US"/>
        </w:rPr>
        <w:t>9</w:t>
      </w:r>
      <w:r w:rsidR="00EF1C76" w:rsidRPr="006A444B">
        <w:rPr>
          <w:noProof/>
          <w:lang w:val="en-US"/>
        </w:rPr>
        <w:fldChar w:fldCharType="end"/>
      </w:r>
    </w:p>
    <w:p w:rsidR="00BF14E0" w:rsidRPr="006A444B" w:rsidRDefault="00BF14E0" w:rsidP="00BF14E0">
      <w:pPr>
        <w:pStyle w:val="toc0"/>
        <w:rPr>
          <w:lang w:val="en-US" w:eastAsia="zh-CN"/>
        </w:rPr>
      </w:pPr>
      <w:r w:rsidRPr="006A444B">
        <w:rPr>
          <w:lang w:val="en-US" w:eastAsia="zh-CN"/>
        </w:rPr>
        <w:lastRenderedPageBreak/>
        <w:tab/>
        <w:t>Page</w:t>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3.5</w:t>
      </w:r>
      <w:r w:rsidRPr="006A444B">
        <w:rPr>
          <w:rFonts w:ascii="Calibri" w:hAnsi="Calibri" w:cs="Arial"/>
          <w:noProof/>
          <w:sz w:val="22"/>
          <w:szCs w:val="22"/>
          <w:lang w:val="en-US"/>
        </w:rPr>
        <w:tab/>
      </w:r>
      <w:r w:rsidRPr="006A444B">
        <w:rPr>
          <w:noProof/>
          <w:lang w:val="en-US"/>
        </w:rPr>
        <w:t>Radioastronomy</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_Toc265129544 \h </w:instrText>
      </w:r>
      <w:r w:rsidR="00EF1C76" w:rsidRPr="006A444B">
        <w:rPr>
          <w:noProof/>
          <w:lang w:val="en-US"/>
        </w:rPr>
      </w:r>
      <w:r w:rsidR="00EF1C76" w:rsidRPr="006A444B">
        <w:rPr>
          <w:noProof/>
          <w:lang w:val="en-US"/>
        </w:rPr>
        <w:fldChar w:fldCharType="separate"/>
      </w:r>
      <w:r>
        <w:rPr>
          <w:noProof/>
          <w:lang w:val="en-US"/>
        </w:rPr>
        <w:t>9</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3.6</w:t>
      </w:r>
      <w:r w:rsidRPr="006A444B">
        <w:rPr>
          <w:rFonts w:ascii="Calibri" w:hAnsi="Calibri" w:cs="Arial"/>
          <w:noProof/>
          <w:sz w:val="22"/>
          <w:szCs w:val="22"/>
          <w:lang w:val="en-US"/>
        </w:rPr>
        <w:tab/>
      </w:r>
      <w:r w:rsidRPr="006A444B">
        <w:rPr>
          <w:noProof/>
          <w:lang w:val="en-US"/>
        </w:rPr>
        <w:t>Fixed</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_Toc265129545 \h </w:instrText>
      </w:r>
      <w:r w:rsidR="00EF1C76" w:rsidRPr="006A444B">
        <w:rPr>
          <w:noProof/>
          <w:lang w:val="en-US"/>
        </w:rPr>
      </w:r>
      <w:r w:rsidR="00EF1C76" w:rsidRPr="006A444B">
        <w:rPr>
          <w:noProof/>
          <w:lang w:val="en-US"/>
        </w:rPr>
        <w:fldChar w:fldCharType="separate"/>
      </w:r>
      <w:r>
        <w:rPr>
          <w:noProof/>
          <w:lang w:val="en-US"/>
        </w:rPr>
        <w:t>9</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3.7</w:t>
      </w:r>
      <w:r w:rsidRPr="006A444B">
        <w:rPr>
          <w:rFonts w:ascii="Calibri" w:hAnsi="Calibri" w:cs="Arial"/>
          <w:noProof/>
          <w:sz w:val="22"/>
          <w:szCs w:val="22"/>
          <w:lang w:val="en-US"/>
        </w:rPr>
        <w:tab/>
      </w:r>
      <w:r w:rsidRPr="006A444B">
        <w:rPr>
          <w:noProof/>
          <w:lang w:val="en-US"/>
        </w:rPr>
        <w:t>Mobile-satellite service (MSS) and r</w:t>
      </w:r>
      <w:r>
        <w:rPr>
          <w:noProof/>
          <w:lang w:val="en-US"/>
        </w:rPr>
        <w:t>adionavigation-</w:t>
      </w:r>
      <w:r w:rsidRPr="006A444B">
        <w:rPr>
          <w:noProof/>
          <w:lang w:val="en-US"/>
        </w:rPr>
        <w:t>satellite service (RNSS)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_Toc265129546 \h </w:instrText>
      </w:r>
      <w:r w:rsidR="00EF1C76" w:rsidRPr="006A444B">
        <w:rPr>
          <w:noProof/>
          <w:lang w:val="en-US"/>
        </w:rPr>
      </w:r>
      <w:r w:rsidR="00EF1C76" w:rsidRPr="006A444B">
        <w:rPr>
          <w:noProof/>
          <w:lang w:val="en-US"/>
        </w:rPr>
        <w:fldChar w:fldCharType="separate"/>
      </w:r>
      <w:r>
        <w:rPr>
          <w:noProof/>
          <w:lang w:val="en-US"/>
        </w:rPr>
        <w:t>9</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3.7.1</w:t>
      </w:r>
      <w:r w:rsidRPr="006A444B">
        <w:rPr>
          <w:rFonts w:ascii="Calibri" w:hAnsi="Calibri" w:cs="Arial"/>
          <w:noProof/>
          <w:sz w:val="22"/>
          <w:szCs w:val="22"/>
          <w:lang w:val="en-US"/>
        </w:rPr>
        <w:tab/>
      </w:r>
      <w:r w:rsidRPr="006A444B">
        <w:rPr>
          <w:noProof/>
          <w:lang w:val="en-US"/>
        </w:rPr>
        <w:t>Frequency bands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_Toc265129547 \h </w:instrText>
      </w:r>
      <w:r w:rsidR="00EF1C76" w:rsidRPr="006A444B">
        <w:rPr>
          <w:noProof/>
          <w:lang w:val="en-US"/>
        </w:rPr>
      </w:r>
      <w:r w:rsidR="00EF1C76" w:rsidRPr="006A444B">
        <w:rPr>
          <w:noProof/>
          <w:lang w:val="en-US"/>
        </w:rPr>
        <w:fldChar w:fldCharType="separate"/>
      </w:r>
      <w:r>
        <w:rPr>
          <w:noProof/>
          <w:lang w:val="en-US"/>
        </w:rPr>
        <w:t>9</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3.7.2</w:t>
      </w:r>
      <w:r w:rsidRPr="006A444B">
        <w:rPr>
          <w:rFonts w:ascii="Calibri" w:hAnsi="Calibri" w:cs="Arial"/>
          <w:noProof/>
          <w:sz w:val="22"/>
          <w:szCs w:val="22"/>
          <w:lang w:val="en-US"/>
        </w:rPr>
        <w:tab/>
      </w:r>
      <w:r w:rsidRPr="006A444B">
        <w:rPr>
          <w:noProof/>
          <w:lang w:val="en-US"/>
        </w:rPr>
        <w:t>Protection criterion</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_Toc265129548 \h </w:instrText>
      </w:r>
      <w:r w:rsidR="00EF1C76" w:rsidRPr="006A444B">
        <w:rPr>
          <w:noProof/>
          <w:lang w:val="en-US"/>
        </w:rPr>
      </w:r>
      <w:r w:rsidR="00EF1C76" w:rsidRPr="006A444B">
        <w:rPr>
          <w:noProof/>
          <w:lang w:val="en-US"/>
        </w:rPr>
        <w:fldChar w:fldCharType="separate"/>
      </w:r>
      <w:r>
        <w:rPr>
          <w:noProof/>
          <w:lang w:val="en-US"/>
        </w:rPr>
        <w:t>10</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3.7.3</w:t>
      </w:r>
      <w:r w:rsidRPr="006A444B">
        <w:rPr>
          <w:rFonts w:ascii="Calibri" w:hAnsi="Calibri" w:cs="Arial"/>
          <w:noProof/>
          <w:sz w:val="22"/>
          <w:szCs w:val="22"/>
          <w:lang w:val="en-US"/>
        </w:rPr>
        <w:tab/>
      </w:r>
      <w:r w:rsidRPr="006A444B">
        <w:rPr>
          <w:noProof/>
          <w:lang w:val="en-US"/>
        </w:rPr>
        <w:t>System parameters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_Toc265129549 \h </w:instrText>
      </w:r>
      <w:r w:rsidR="00EF1C76" w:rsidRPr="006A444B">
        <w:rPr>
          <w:noProof/>
          <w:lang w:val="en-US"/>
        </w:rPr>
      </w:r>
      <w:r w:rsidR="00EF1C76" w:rsidRPr="006A444B">
        <w:rPr>
          <w:noProof/>
          <w:lang w:val="en-US"/>
        </w:rPr>
        <w:fldChar w:fldCharType="separate"/>
      </w:r>
      <w:r>
        <w:rPr>
          <w:noProof/>
          <w:lang w:val="en-US"/>
        </w:rPr>
        <w:t>10</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3.8</w:t>
      </w:r>
      <w:r w:rsidRPr="006A444B">
        <w:rPr>
          <w:rFonts w:ascii="Calibri" w:hAnsi="Calibri" w:cs="Arial"/>
          <w:noProof/>
          <w:sz w:val="22"/>
          <w:szCs w:val="22"/>
          <w:lang w:val="en-US"/>
        </w:rPr>
        <w:tab/>
      </w:r>
      <w:r w:rsidRPr="006A444B">
        <w:rPr>
          <w:noProof/>
          <w:lang w:val="en-US"/>
        </w:rPr>
        <w:t>Meterological-satellite</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_Toc265129550 \h </w:instrText>
      </w:r>
      <w:r w:rsidR="00EF1C76" w:rsidRPr="006A444B">
        <w:rPr>
          <w:noProof/>
          <w:lang w:val="en-US"/>
        </w:rPr>
      </w:r>
      <w:r w:rsidR="00EF1C76" w:rsidRPr="006A444B">
        <w:rPr>
          <w:noProof/>
          <w:lang w:val="en-US"/>
        </w:rPr>
        <w:fldChar w:fldCharType="separate"/>
      </w:r>
      <w:r>
        <w:rPr>
          <w:noProof/>
          <w:lang w:val="en-US"/>
        </w:rPr>
        <w:t>11</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3.9</w:t>
      </w:r>
      <w:r w:rsidRPr="006A444B">
        <w:rPr>
          <w:rFonts w:ascii="Calibri" w:hAnsi="Calibri" w:cs="Arial"/>
          <w:noProof/>
          <w:sz w:val="22"/>
          <w:szCs w:val="22"/>
          <w:lang w:val="en-US"/>
        </w:rPr>
        <w:tab/>
      </w:r>
      <w:r w:rsidRPr="006A444B">
        <w:rPr>
          <w:noProof/>
          <w:lang w:val="en-US"/>
        </w:rPr>
        <w:t>Space research</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_Toc265129551 \h </w:instrText>
      </w:r>
      <w:r w:rsidR="00EF1C76" w:rsidRPr="006A444B">
        <w:rPr>
          <w:noProof/>
          <w:lang w:val="en-US"/>
        </w:rPr>
      </w:r>
      <w:r w:rsidR="00EF1C76" w:rsidRPr="006A444B">
        <w:rPr>
          <w:noProof/>
          <w:lang w:val="en-US"/>
        </w:rPr>
        <w:fldChar w:fldCharType="separate"/>
      </w:r>
      <w:r>
        <w:rPr>
          <w:noProof/>
          <w:lang w:val="en-US"/>
        </w:rPr>
        <w:t>11</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3.10</w:t>
      </w:r>
      <w:r w:rsidRPr="006A444B">
        <w:rPr>
          <w:rFonts w:ascii="Calibri" w:hAnsi="Calibri" w:cs="Arial"/>
          <w:noProof/>
          <w:sz w:val="22"/>
          <w:szCs w:val="22"/>
          <w:lang w:val="en-US"/>
        </w:rPr>
        <w:tab/>
      </w:r>
      <w:r w:rsidRPr="006A444B">
        <w:rPr>
          <w:noProof/>
          <w:lang w:val="en-US"/>
        </w:rPr>
        <w:t>Space operation</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_Toc265129552 \h </w:instrText>
      </w:r>
      <w:r w:rsidR="00EF1C76" w:rsidRPr="006A444B">
        <w:rPr>
          <w:noProof/>
          <w:lang w:val="en-US"/>
        </w:rPr>
      </w:r>
      <w:r w:rsidR="00EF1C76" w:rsidRPr="006A444B">
        <w:rPr>
          <w:noProof/>
          <w:lang w:val="en-US"/>
        </w:rPr>
        <w:fldChar w:fldCharType="separate"/>
      </w:r>
      <w:r>
        <w:rPr>
          <w:noProof/>
          <w:lang w:val="en-US"/>
        </w:rPr>
        <w:t>11</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4</w:t>
      </w:r>
      <w:r w:rsidRPr="006A444B">
        <w:rPr>
          <w:rFonts w:ascii="Calibri" w:hAnsi="Calibri" w:cs="Arial"/>
          <w:noProof/>
          <w:sz w:val="22"/>
          <w:szCs w:val="22"/>
          <w:lang w:val="en-US"/>
        </w:rPr>
        <w:tab/>
      </w:r>
      <w:r w:rsidRPr="006A444B">
        <w:rPr>
          <w:noProof/>
          <w:lang w:val="en-US"/>
        </w:rPr>
        <w:t>Potential means for preventing or eliminating interference</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_Toc265129553 \h </w:instrText>
      </w:r>
      <w:r w:rsidR="00EF1C76" w:rsidRPr="006A444B">
        <w:rPr>
          <w:noProof/>
          <w:lang w:val="en-US"/>
        </w:rPr>
      </w:r>
      <w:r w:rsidR="00EF1C76" w:rsidRPr="006A444B">
        <w:rPr>
          <w:noProof/>
          <w:lang w:val="en-US"/>
        </w:rPr>
        <w:fldChar w:fldCharType="separate"/>
      </w:r>
      <w:r>
        <w:rPr>
          <w:noProof/>
          <w:lang w:val="en-US"/>
        </w:rPr>
        <w:t>11</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5</w:t>
      </w:r>
      <w:r w:rsidRPr="006A444B">
        <w:rPr>
          <w:rFonts w:ascii="Calibri" w:hAnsi="Calibri" w:cs="Arial"/>
          <w:noProof/>
          <w:sz w:val="22"/>
          <w:szCs w:val="22"/>
          <w:lang w:val="en-US"/>
        </w:rPr>
        <w:tab/>
      </w:r>
      <w:r w:rsidRPr="006A444B">
        <w:rPr>
          <w:noProof/>
          <w:lang w:val="en-US"/>
        </w:rPr>
        <w:t>Overall conclusions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_Toc265129554 \h </w:instrText>
      </w:r>
      <w:r w:rsidR="00EF1C76" w:rsidRPr="006A444B">
        <w:rPr>
          <w:noProof/>
          <w:lang w:val="en-US"/>
        </w:rPr>
      </w:r>
      <w:r w:rsidR="00EF1C76" w:rsidRPr="006A444B">
        <w:rPr>
          <w:noProof/>
          <w:lang w:val="en-US"/>
        </w:rPr>
        <w:fldChar w:fldCharType="separate"/>
      </w:r>
      <w:r>
        <w:rPr>
          <w:noProof/>
          <w:lang w:val="en-US"/>
        </w:rPr>
        <w:t>11</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 xml:space="preserve">Annex 1 </w:t>
      </w:r>
      <w:r w:rsidRPr="006A444B">
        <w:rPr>
          <w:noProof/>
          <w:lang w:val="en-US"/>
        </w:rPr>
        <w:noBreakHyphen/>
        <w:t xml:space="preserve"> Noise radiation and propagation considerations in the VHF and UHF bands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_Toc265129555 \h </w:instrText>
      </w:r>
      <w:r w:rsidR="00EF1C76" w:rsidRPr="006A444B">
        <w:rPr>
          <w:noProof/>
          <w:lang w:val="en-US"/>
        </w:rPr>
      </w:r>
      <w:r w:rsidR="00EF1C76" w:rsidRPr="006A444B">
        <w:rPr>
          <w:noProof/>
          <w:lang w:val="en-US"/>
        </w:rPr>
        <w:fldChar w:fldCharType="separate"/>
      </w:r>
      <w:r>
        <w:rPr>
          <w:noProof/>
          <w:lang w:val="en-US"/>
        </w:rPr>
        <w:t>11</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eastAsia="ja-JP"/>
        </w:rPr>
        <w:t>A1.1</w:t>
      </w:r>
      <w:r w:rsidRPr="006A444B">
        <w:rPr>
          <w:rFonts w:ascii="Calibri" w:hAnsi="Calibri" w:cs="Arial"/>
          <w:noProof/>
          <w:sz w:val="22"/>
          <w:szCs w:val="22"/>
          <w:lang w:val="en-US"/>
        </w:rPr>
        <w:tab/>
      </w:r>
      <w:r w:rsidRPr="006A444B">
        <w:rPr>
          <w:noProof/>
          <w:lang w:val="en-US"/>
        </w:rPr>
        <w:t>Detailed analysis of mode conversion at the switch branch</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_Toc265129556 \h </w:instrText>
      </w:r>
      <w:r w:rsidR="00EF1C76" w:rsidRPr="006A444B">
        <w:rPr>
          <w:noProof/>
          <w:lang w:val="en-US"/>
        </w:rPr>
      </w:r>
      <w:r w:rsidR="00EF1C76" w:rsidRPr="006A444B">
        <w:rPr>
          <w:noProof/>
          <w:lang w:val="en-US"/>
        </w:rPr>
        <w:fldChar w:fldCharType="separate"/>
      </w:r>
      <w:r>
        <w:rPr>
          <w:noProof/>
          <w:lang w:val="en-US"/>
        </w:rPr>
        <w:t>11</w:t>
      </w:r>
      <w:r w:rsidR="00EF1C76" w:rsidRPr="006A444B">
        <w:rPr>
          <w:noProof/>
          <w:lang w:val="en-US"/>
        </w:rPr>
        <w:fldChar w:fldCharType="end"/>
      </w:r>
    </w:p>
    <w:p w:rsidR="00BF14E0" w:rsidRPr="006A444B" w:rsidRDefault="00BF14E0" w:rsidP="00BF14E0">
      <w:pPr>
        <w:pStyle w:val="TOC2"/>
        <w:tabs>
          <w:tab w:val="left" w:pos="1080"/>
          <w:tab w:val="left" w:leader="dot" w:pos="9090"/>
        </w:tabs>
        <w:ind w:left="1080" w:hanging="1080"/>
        <w:rPr>
          <w:rFonts w:ascii="Calibri" w:hAnsi="Calibri" w:cs="Arial"/>
          <w:noProof/>
          <w:sz w:val="22"/>
          <w:szCs w:val="22"/>
          <w:lang w:val="en-US"/>
        </w:rPr>
      </w:pPr>
      <w:r w:rsidRPr="006A444B">
        <w:rPr>
          <w:noProof/>
          <w:lang w:val="en-US"/>
        </w:rPr>
        <w:t>A1.1.1</w:t>
      </w:r>
      <w:r w:rsidRPr="006A444B">
        <w:rPr>
          <w:rFonts w:ascii="Calibri" w:hAnsi="Calibri" w:cs="Arial"/>
          <w:noProof/>
          <w:sz w:val="22"/>
          <w:szCs w:val="22"/>
          <w:lang w:val="en-US"/>
        </w:rPr>
        <w:tab/>
      </w:r>
      <w:r w:rsidRPr="006A444B">
        <w:rPr>
          <w:noProof/>
          <w:lang w:val="en-US"/>
        </w:rPr>
        <w:t xml:space="preserve">Mixed-mode scattering matrix of a balanced transmission line unilaterally </w:t>
      </w:r>
      <w:r w:rsidRPr="006A444B">
        <w:rPr>
          <w:noProof/>
          <w:lang w:val="en-US"/>
        </w:rPr>
        <w:br/>
        <w:t>loaded with a stub in series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_Toc265129557 \h </w:instrText>
      </w:r>
      <w:r w:rsidR="00EF1C76" w:rsidRPr="006A444B">
        <w:rPr>
          <w:noProof/>
          <w:lang w:val="en-US"/>
        </w:rPr>
      </w:r>
      <w:r w:rsidR="00EF1C76" w:rsidRPr="006A444B">
        <w:rPr>
          <w:noProof/>
          <w:lang w:val="en-US"/>
        </w:rPr>
        <w:fldChar w:fldCharType="separate"/>
      </w:r>
      <w:r>
        <w:rPr>
          <w:noProof/>
          <w:lang w:val="en-US"/>
        </w:rPr>
        <w:t>12</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A1.1.1.1</w:t>
      </w:r>
      <w:r w:rsidRPr="006A444B">
        <w:rPr>
          <w:rFonts w:ascii="Calibri" w:hAnsi="Calibri" w:cs="Arial"/>
          <w:noProof/>
          <w:sz w:val="22"/>
          <w:szCs w:val="22"/>
          <w:lang w:val="en-US"/>
        </w:rPr>
        <w:tab/>
      </w:r>
      <w:r w:rsidRPr="006A444B">
        <w:rPr>
          <w:noProof/>
          <w:lang w:val="en-US"/>
        </w:rPr>
        <w:t>Theoretical formulations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_Toc265129558 \h </w:instrText>
      </w:r>
      <w:r w:rsidR="00EF1C76" w:rsidRPr="006A444B">
        <w:rPr>
          <w:noProof/>
          <w:lang w:val="en-US"/>
        </w:rPr>
      </w:r>
      <w:r w:rsidR="00EF1C76" w:rsidRPr="006A444B">
        <w:rPr>
          <w:noProof/>
          <w:lang w:val="en-US"/>
        </w:rPr>
        <w:fldChar w:fldCharType="separate"/>
      </w:r>
      <w:r>
        <w:rPr>
          <w:noProof/>
          <w:lang w:val="en-US"/>
        </w:rPr>
        <w:t>12</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A1.1.1.2</w:t>
      </w:r>
      <w:r w:rsidRPr="006A444B">
        <w:rPr>
          <w:rFonts w:ascii="Calibri" w:hAnsi="Calibri" w:cs="Arial"/>
          <w:noProof/>
          <w:sz w:val="22"/>
          <w:szCs w:val="22"/>
          <w:lang w:val="en-US"/>
        </w:rPr>
        <w:tab/>
      </w:r>
      <w:r w:rsidRPr="006A444B">
        <w:rPr>
          <w:noProof/>
          <w:lang w:val="en-US"/>
        </w:rPr>
        <w:t>Results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_Toc265129559 \h </w:instrText>
      </w:r>
      <w:r w:rsidR="00EF1C76" w:rsidRPr="006A444B">
        <w:rPr>
          <w:noProof/>
          <w:lang w:val="en-US"/>
        </w:rPr>
      </w:r>
      <w:r w:rsidR="00EF1C76" w:rsidRPr="006A444B">
        <w:rPr>
          <w:noProof/>
          <w:lang w:val="en-US"/>
        </w:rPr>
        <w:fldChar w:fldCharType="separate"/>
      </w:r>
      <w:r>
        <w:rPr>
          <w:noProof/>
          <w:lang w:val="en-US"/>
        </w:rPr>
        <w:t>15</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 xml:space="preserve">Annex 2 </w:t>
      </w:r>
      <w:r w:rsidRPr="006A444B">
        <w:rPr>
          <w:noProof/>
          <w:lang w:val="en-US"/>
        </w:rPr>
        <w:noBreakHyphen/>
        <w:t xml:space="preserve"> Analyses of potential interference in the VHF and UHF bands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_Toc265129560 \h </w:instrText>
      </w:r>
      <w:r w:rsidR="00EF1C76" w:rsidRPr="006A444B">
        <w:rPr>
          <w:noProof/>
          <w:lang w:val="en-US"/>
        </w:rPr>
      </w:r>
      <w:r w:rsidR="00EF1C76" w:rsidRPr="006A444B">
        <w:rPr>
          <w:noProof/>
          <w:lang w:val="en-US"/>
        </w:rPr>
        <w:fldChar w:fldCharType="separate"/>
      </w:r>
      <w:r>
        <w:rPr>
          <w:noProof/>
          <w:lang w:val="en-US"/>
        </w:rPr>
        <w:t>21</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A2.1</w:t>
      </w:r>
      <w:r w:rsidRPr="006A444B">
        <w:rPr>
          <w:rFonts w:ascii="Calibri" w:hAnsi="Calibri" w:cs="Arial"/>
          <w:noProof/>
          <w:sz w:val="22"/>
          <w:szCs w:val="22"/>
          <w:lang w:val="en-US"/>
        </w:rPr>
        <w:tab/>
      </w:r>
      <w:r w:rsidRPr="006A444B">
        <w:rPr>
          <w:noProof/>
          <w:lang w:val="en-US"/>
        </w:rPr>
        <w:t>Interference to VHF/UHF radio systems fr</w:t>
      </w:r>
      <w:r>
        <w:rPr>
          <w:noProof/>
          <w:lang w:val="en-US"/>
        </w:rPr>
        <w:t>om harmonics of power line tele</w:t>
      </w:r>
      <w:r w:rsidRPr="006A444B">
        <w:rPr>
          <w:noProof/>
          <w:lang w:val="en-US"/>
        </w:rPr>
        <w:t>communication systems operating in the VHF bands between 80 and 200 MHz</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_Toc265129561 \h </w:instrText>
      </w:r>
      <w:r w:rsidR="00EF1C76" w:rsidRPr="006A444B">
        <w:rPr>
          <w:noProof/>
          <w:lang w:val="en-US"/>
        </w:rPr>
      </w:r>
      <w:r w:rsidR="00EF1C76" w:rsidRPr="006A444B">
        <w:rPr>
          <w:noProof/>
          <w:lang w:val="en-US"/>
        </w:rPr>
        <w:fldChar w:fldCharType="separate"/>
      </w:r>
      <w:r>
        <w:rPr>
          <w:noProof/>
          <w:lang w:val="en-US"/>
        </w:rPr>
        <w:t>21</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A2.1.1</w:t>
      </w:r>
      <w:r w:rsidRPr="006A444B">
        <w:rPr>
          <w:rFonts w:ascii="Calibri" w:hAnsi="Calibri" w:cs="Arial"/>
          <w:noProof/>
          <w:sz w:val="22"/>
          <w:szCs w:val="22"/>
          <w:lang w:val="en-US"/>
        </w:rPr>
        <w:tab/>
      </w:r>
      <w:r w:rsidRPr="006A444B">
        <w:rPr>
          <w:noProof/>
          <w:lang w:val="en-US"/>
        </w:rPr>
        <w:t>Domestic radio systems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_Toc265129562 \h </w:instrText>
      </w:r>
      <w:r w:rsidR="00EF1C76" w:rsidRPr="006A444B">
        <w:rPr>
          <w:noProof/>
          <w:lang w:val="en-US"/>
        </w:rPr>
      </w:r>
      <w:r w:rsidR="00EF1C76" w:rsidRPr="006A444B">
        <w:rPr>
          <w:noProof/>
          <w:lang w:val="en-US"/>
        </w:rPr>
        <w:fldChar w:fldCharType="separate"/>
      </w:r>
      <w:r>
        <w:rPr>
          <w:noProof/>
          <w:lang w:val="en-US"/>
        </w:rPr>
        <w:t>21</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A2.1.2</w:t>
      </w:r>
      <w:r w:rsidRPr="006A444B">
        <w:rPr>
          <w:rFonts w:ascii="Calibri" w:hAnsi="Calibri" w:cs="Arial"/>
          <w:noProof/>
          <w:sz w:val="22"/>
          <w:szCs w:val="22"/>
          <w:lang w:val="en-US"/>
        </w:rPr>
        <w:tab/>
      </w:r>
      <w:r w:rsidRPr="006A444B">
        <w:rPr>
          <w:noProof/>
          <w:lang w:val="en-US"/>
        </w:rPr>
        <w:t>Conclusion</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_Toc265129563 \h </w:instrText>
      </w:r>
      <w:r w:rsidR="00EF1C76" w:rsidRPr="006A444B">
        <w:rPr>
          <w:noProof/>
          <w:lang w:val="en-US"/>
        </w:rPr>
      </w:r>
      <w:r w:rsidR="00EF1C76" w:rsidRPr="006A444B">
        <w:rPr>
          <w:noProof/>
          <w:lang w:val="en-US"/>
        </w:rPr>
        <w:fldChar w:fldCharType="separate"/>
      </w:r>
      <w:r>
        <w:rPr>
          <w:noProof/>
          <w:lang w:val="en-US"/>
        </w:rPr>
        <w:t>22</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eastAsia="de-DE"/>
        </w:rPr>
        <w:t>A2.2</w:t>
      </w:r>
      <w:r w:rsidRPr="006A444B">
        <w:rPr>
          <w:rFonts w:ascii="Calibri" w:hAnsi="Calibri" w:cs="Arial"/>
          <w:noProof/>
          <w:sz w:val="22"/>
          <w:szCs w:val="22"/>
          <w:lang w:val="en-US"/>
        </w:rPr>
        <w:tab/>
      </w:r>
      <w:r w:rsidRPr="006A444B">
        <w:rPr>
          <w:noProof/>
          <w:lang w:val="en-US" w:eastAsia="de-DE"/>
        </w:rPr>
        <w:t>Compatibility between Aeronautical Radio and PLT in-house devices in the frequency range 30 MHz-380 MHz</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_Toc265129564 \h </w:instrText>
      </w:r>
      <w:r w:rsidR="00EF1C76" w:rsidRPr="006A444B">
        <w:rPr>
          <w:noProof/>
          <w:lang w:val="en-US"/>
        </w:rPr>
      </w:r>
      <w:r w:rsidR="00EF1C76" w:rsidRPr="006A444B">
        <w:rPr>
          <w:noProof/>
          <w:lang w:val="en-US"/>
        </w:rPr>
        <w:fldChar w:fldCharType="separate"/>
      </w:r>
      <w:r>
        <w:rPr>
          <w:noProof/>
          <w:lang w:val="en-US"/>
        </w:rPr>
        <w:t>22</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A2.2.1</w:t>
      </w:r>
      <w:r w:rsidRPr="006A444B">
        <w:rPr>
          <w:rFonts w:ascii="Calibri" w:hAnsi="Calibri" w:cs="Arial"/>
          <w:noProof/>
          <w:sz w:val="22"/>
          <w:szCs w:val="22"/>
          <w:lang w:val="en-US"/>
        </w:rPr>
        <w:tab/>
      </w:r>
      <w:r w:rsidRPr="006A444B">
        <w:rPr>
          <w:noProof/>
          <w:lang w:val="en-US"/>
        </w:rPr>
        <w:t>Compatibility analysis for interferences in aeronautical radio</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_Toc265129565 \h </w:instrText>
      </w:r>
      <w:r w:rsidR="00EF1C76" w:rsidRPr="006A444B">
        <w:rPr>
          <w:noProof/>
          <w:lang w:val="en-US"/>
        </w:rPr>
      </w:r>
      <w:r w:rsidR="00EF1C76" w:rsidRPr="006A444B">
        <w:rPr>
          <w:noProof/>
          <w:lang w:val="en-US"/>
        </w:rPr>
        <w:fldChar w:fldCharType="separate"/>
      </w:r>
      <w:r>
        <w:rPr>
          <w:noProof/>
          <w:lang w:val="en-US"/>
        </w:rPr>
        <w:t>23</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A2.2.2</w:t>
      </w:r>
      <w:r w:rsidRPr="006A444B">
        <w:rPr>
          <w:rFonts w:ascii="Calibri" w:hAnsi="Calibri" w:cs="Arial"/>
          <w:noProof/>
          <w:sz w:val="22"/>
          <w:szCs w:val="22"/>
          <w:lang w:val="en-US"/>
        </w:rPr>
        <w:tab/>
      </w:r>
      <w:r w:rsidRPr="006A444B">
        <w:rPr>
          <w:noProof/>
          <w:lang w:val="en-US"/>
        </w:rPr>
        <w:t xml:space="preserve"> Calculation of interference threshold for PLT due to aeronautical requirements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_Toc265129566 \h </w:instrText>
      </w:r>
      <w:r w:rsidR="00EF1C76" w:rsidRPr="006A444B">
        <w:rPr>
          <w:noProof/>
          <w:lang w:val="en-US"/>
        </w:rPr>
      </w:r>
      <w:r w:rsidR="00EF1C76" w:rsidRPr="006A444B">
        <w:rPr>
          <w:noProof/>
          <w:lang w:val="en-US"/>
        </w:rPr>
        <w:fldChar w:fldCharType="separate"/>
      </w:r>
      <w:r>
        <w:rPr>
          <w:noProof/>
          <w:lang w:val="en-US"/>
        </w:rPr>
        <w:t>23</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A2.2.2.1</w:t>
      </w:r>
      <w:r w:rsidRPr="006A444B">
        <w:rPr>
          <w:rFonts w:ascii="Calibri" w:hAnsi="Calibri" w:cs="Arial"/>
          <w:noProof/>
          <w:sz w:val="22"/>
          <w:szCs w:val="22"/>
          <w:lang w:val="en-US"/>
        </w:rPr>
        <w:tab/>
      </w:r>
      <w:r w:rsidRPr="006A444B">
        <w:rPr>
          <w:noProof/>
          <w:lang w:val="en-US"/>
        </w:rPr>
        <w:t>Compatibility model</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_Toc265129567 \h </w:instrText>
      </w:r>
      <w:r w:rsidR="00EF1C76" w:rsidRPr="006A444B">
        <w:rPr>
          <w:noProof/>
          <w:lang w:val="en-US"/>
        </w:rPr>
      </w:r>
      <w:r w:rsidR="00EF1C76" w:rsidRPr="006A444B">
        <w:rPr>
          <w:noProof/>
          <w:lang w:val="en-US"/>
        </w:rPr>
        <w:fldChar w:fldCharType="separate"/>
      </w:r>
      <w:r>
        <w:rPr>
          <w:noProof/>
          <w:lang w:val="en-US"/>
        </w:rPr>
        <w:t>23</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A2.2.2.2</w:t>
      </w:r>
      <w:r w:rsidRPr="006A444B">
        <w:rPr>
          <w:rFonts w:ascii="Calibri" w:hAnsi="Calibri" w:cs="Arial"/>
          <w:noProof/>
          <w:sz w:val="22"/>
          <w:szCs w:val="22"/>
          <w:lang w:val="en-US"/>
        </w:rPr>
        <w:tab/>
      </w:r>
      <w:r w:rsidRPr="006A444B">
        <w:rPr>
          <w:noProof/>
          <w:lang w:val="en-US"/>
        </w:rPr>
        <w:t>Assumptions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_Toc265129568 \h </w:instrText>
      </w:r>
      <w:r w:rsidR="00EF1C76" w:rsidRPr="006A444B">
        <w:rPr>
          <w:noProof/>
          <w:lang w:val="en-US"/>
        </w:rPr>
      </w:r>
      <w:r w:rsidR="00EF1C76" w:rsidRPr="006A444B">
        <w:rPr>
          <w:noProof/>
          <w:lang w:val="en-US"/>
        </w:rPr>
        <w:fldChar w:fldCharType="separate"/>
      </w:r>
      <w:r>
        <w:rPr>
          <w:noProof/>
          <w:lang w:val="en-US"/>
        </w:rPr>
        <w:t>24</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A2.2.2.3</w:t>
      </w:r>
      <w:r w:rsidRPr="006A444B">
        <w:rPr>
          <w:rFonts w:ascii="Calibri" w:hAnsi="Calibri" w:cs="Arial"/>
          <w:noProof/>
          <w:sz w:val="22"/>
          <w:szCs w:val="22"/>
          <w:lang w:val="en-US"/>
        </w:rPr>
        <w:tab/>
      </w:r>
      <w:r w:rsidRPr="006A444B">
        <w:rPr>
          <w:noProof/>
          <w:lang w:val="en-US"/>
        </w:rPr>
        <w:t>Calculation</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_Toc265129569 \h </w:instrText>
      </w:r>
      <w:r w:rsidR="00EF1C76" w:rsidRPr="006A444B">
        <w:rPr>
          <w:noProof/>
          <w:lang w:val="en-US"/>
        </w:rPr>
      </w:r>
      <w:r w:rsidR="00EF1C76" w:rsidRPr="006A444B">
        <w:rPr>
          <w:noProof/>
          <w:lang w:val="en-US"/>
        </w:rPr>
        <w:fldChar w:fldCharType="separate"/>
      </w:r>
      <w:r>
        <w:rPr>
          <w:noProof/>
          <w:lang w:val="en-US"/>
        </w:rPr>
        <w:t>25</w:t>
      </w:r>
      <w:r w:rsidR="00EF1C76" w:rsidRPr="006A444B">
        <w:rPr>
          <w:noProof/>
          <w:lang w:val="en-US"/>
        </w:rPr>
        <w:fldChar w:fldCharType="end"/>
      </w:r>
    </w:p>
    <w:p w:rsidR="00BF14E0" w:rsidRPr="006A444B" w:rsidRDefault="00BF14E0" w:rsidP="00BF14E0">
      <w:pPr>
        <w:pStyle w:val="TOC2"/>
        <w:tabs>
          <w:tab w:val="left" w:pos="1080"/>
          <w:tab w:val="left" w:leader="dot" w:pos="9090"/>
        </w:tabs>
        <w:ind w:left="1080" w:hanging="1080"/>
        <w:rPr>
          <w:rFonts w:ascii="Calibri" w:hAnsi="Calibri" w:cs="Arial"/>
          <w:noProof/>
          <w:sz w:val="22"/>
          <w:szCs w:val="22"/>
          <w:lang w:val="en-US"/>
        </w:rPr>
      </w:pPr>
      <w:r w:rsidRPr="006A444B">
        <w:rPr>
          <w:noProof/>
          <w:lang w:val="en-US"/>
        </w:rPr>
        <w:t>A2.2.3</w:t>
      </w:r>
      <w:r w:rsidRPr="006A444B">
        <w:rPr>
          <w:rFonts w:ascii="Calibri" w:hAnsi="Calibri" w:cs="Arial"/>
          <w:noProof/>
          <w:sz w:val="22"/>
          <w:szCs w:val="22"/>
          <w:lang w:val="en-US"/>
        </w:rPr>
        <w:tab/>
      </w:r>
      <w:r w:rsidRPr="006A444B">
        <w:rPr>
          <w:noProof/>
          <w:lang w:val="en-US"/>
        </w:rPr>
        <w:t xml:space="preserve">Calculation of power flux-density caused by limits provided by PLT </w:t>
      </w:r>
      <w:r w:rsidRPr="006A444B">
        <w:rPr>
          <w:noProof/>
          <w:lang w:val="en-US"/>
        </w:rPr>
        <w:br/>
        <w:t>system standards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_Toc265129570 \h </w:instrText>
      </w:r>
      <w:r w:rsidR="00EF1C76" w:rsidRPr="006A444B">
        <w:rPr>
          <w:noProof/>
          <w:lang w:val="en-US"/>
        </w:rPr>
      </w:r>
      <w:r w:rsidR="00EF1C76" w:rsidRPr="006A444B">
        <w:rPr>
          <w:noProof/>
          <w:lang w:val="en-US"/>
        </w:rPr>
        <w:fldChar w:fldCharType="separate"/>
      </w:r>
      <w:r>
        <w:rPr>
          <w:noProof/>
          <w:lang w:val="en-US"/>
        </w:rPr>
        <w:t>26</w:t>
      </w:r>
      <w:r w:rsidR="00EF1C76" w:rsidRPr="006A444B">
        <w:rPr>
          <w:noProof/>
          <w:lang w:val="en-US"/>
        </w:rPr>
        <w:fldChar w:fldCharType="end"/>
      </w:r>
    </w:p>
    <w:p w:rsidR="00BF14E0" w:rsidRPr="006A444B" w:rsidRDefault="00BF14E0" w:rsidP="00BF14E0">
      <w:pPr>
        <w:pStyle w:val="TOC2"/>
        <w:tabs>
          <w:tab w:val="left" w:pos="1080"/>
          <w:tab w:val="left" w:leader="dot" w:pos="9090"/>
        </w:tabs>
        <w:ind w:left="1080" w:hanging="1080"/>
        <w:rPr>
          <w:rFonts w:ascii="Calibri" w:hAnsi="Calibri" w:cs="Arial"/>
          <w:noProof/>
          <w:sz w:val="22"/>
          <w:szCs w:val="22"/>
          <w:lang w:val="en-US"/>
        </w:rPr>
      </w:pPr>
      <w:r w:rsidRPr="006A444B">
        <w:rPr>
          <w:noProof/>
          <w:lang w:val="en-US"/>
        </w:rPr>
        <w:t>A2.2.4</w:t>
      </w:r>
      <w:r w:rsidRPr="006A444B">
        <w:rPr>
          <w:rFonts w:ascii="Calibri" w:hAnsi="Calibri" w:cs="Arial"/>
          <w:noProof/>
          <w:sz w:val="22"/>
          <w:szCs w:val="22"/>
          <w:lang w:val="en-US"/>
        </w:rPr>
        <w:tab/>
      </w:r>
      <w:r w:rsidRPr="006A444B">
        <w:rPr>
          <w:noProof/>
          <w:lang w:val="en-US"/>
        </w:rPr>
        <w:t xml:space="preserve">Comparison of interference threshold required for airborne receiver and </w:t>
      </w:r>
      <w:r w:rsidRPr="006A444B">
        <w:rPr>
          <w:noProof/>
          <w:lang w:val="en-US"/>
        </w:rPr>
        <w:br/>
        <w:t>interference caused by PLT systems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_Toc265129571 \h </w:instrText>
      </w:r>
      <w:r w:rsidR="00EF1C76" w:rsidRPr="006A444B">
        <w:rPr>
          <w:noProof/>
          <w:lang w:val="en-US"/>
        </w:rPr>
      </w:r>
      <w:r w:rsidR="00EF1C76" w:rsidRPr="006A444B">
        <w:rPr>
          <w:noProof/>
          <w:lang w:val="en-US"/>
        </w:rPr>
        <w:fldChar w:fldCharType="separate"/>
      </w:r>
      <w:r>
        <w:rPr>
          <w:noProof/>
          <w:lang w:val="en-US"/>
        </w:rPr>
        <w:t>28</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A2.2.5</w:t>
      </w:r>
      <w:r w:rsidRPr="006A444B">
        <w:rPr>
          <w:rFonts w:ascii="Calibri" w:hAnsi="Calibri" w:cs="Arial"/>
          <w:noProof/>
          <w:sz w:val="22"/>
          <w:szCs w:val="22"/>
          <w:lang w:val="en-US"/>
        </w:rPr>
        <w:tab/>
      </w:r>
      <w:r w:rsidRPr="006A444B">
        <w:rPr>
          <w:noProof/>
          <w:lang w:val="en-US"/>
        </w:rPr>
        <w:t>Conclusions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_Toc265129572 \h </w:instrText>
      </w:r>
      <w:r w:rsidR="00EF1C76" w:rsidRPr="006A444B">
        <w:rPr>
          <w:noProof/>
          <w:lang w:val="en-US"/>
        </w:rPr>
      </w:r>
      <w:r w:rsidR="00EF1C76" w:rsidRPr="006A444B">
        <w:rPr>
          <w:noProof/>
          <w:lang w:val="en-US"/>
        </w:rPr>
        <w:fldChar w:fldCharType="separate"/>
      </w:r>
      <w:r>
        <w:rPr>
          <w:noProof/>
          <w:lang w:val="en-US"/>
        </w:rPr>
        <w:t>29</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A2.3</w:t>
      </w:r>
      <w:r w:rsidRPr="006A444B">
        <w:rPr>
          <w:rFonts w:ascii="Calibri" w:hAnsi="Calibri" w:cs="Arial"/>
          <w:noProof/>
          <w:sz w:val="22"/>
          <w:szCs w:val="22"/>
          <w:lang w:val="en-US"/>
        </w:rPr>
        <w:tab/>
      </w:r>
      <w:r w:rsidRPr="006A444B">
        <w:rPr>
          <w:noProof/>
          <w:lang w:val="en-US"/>
        </w:rPr>
        <w:t xml:space="preserve">PLT aggregation model applicable for aircraft radiocommunication and </w:t>
      </w:r>
      <w:r w:rsidRPr="006A444B">
        <w:rPr>
          <w:noProof/>
          <w:lang w:val="en-US"/>
        </w:rPr>
        <w:br/>
        <w:t>radionavigation systems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_Toc265129573 \h </w:instrText>
      </w:r>
      <w:r w:rsidR="00EF1C76" w:rsidRPr="006A444B">
        <w:rPr>
          <w:noProof/>
          <w:lang w:val="en-US"/>
        </w:rPr>
      </w:r>
      <w:r w:rsidR="00EF1C76" w:rsidRPr="006A444B">
        <w:rPr>
          <w:noProof/>
          <w:lang w:val="en-US"/>
        </w:rPr>
        <w:fldChar w:fldCharType="separate"/>
      </w:r>
      <w:r>
        <w:rPr>
          <w:noProof/>
          <w:lang w:val="en-US"/>
        </w:rPr>
        <w:t>29</w:t>
      </w:r>
      <w:r w:rsidR="00EF1C76" w:rsidRPr="006A444B">
        <w:rPr>
          <w:noProof/>
          <w:lang w:val="en-US"/>
        </w:rPr>
        <w:fldChar w:fldCharType="end"/>
      </w:r>
    </w:p>
    <w:p w:rsidR="00BF14E0" w:rsidRDefault="00BF14E0" w:rsidP="00BF14E0">
      <w:pPr>
        <w:pStyle w:val="toc0"/>
        <w:rPr>
          <w:lang w:val="en-US" w:eastAsia="zh-CN"/>
        </w:rPr>
      </w:pPr>
    </w:p>
    <w:p w:rsidR="00BF14E0" w:rsidRPr="006A444B" w:rsidRDefault="00BF14E0" w:rsidP="00BF14E0">
      <w:pPr>
        <w:pStyle w:val="toc0"/>
        <w:rPr>
          <w:lang w:val="en-US" w:eastAsia="zh-CN"/>
        </w:rPr>
      </w:pPr>
      <w:r w:rsidRPr="006A444B">
        <w:rPr>
          <w:lang w:val="en-US" w:eastAsia="zh-CN"/>
        </w:rPr>
        <w:tab/>
        <w:t>Page</w:t>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 xml:space="preserve">Annex 3 </w:t>
      </w:r>
      <w:r w:rsidRPr="006A444B">
        <w:rPr>
          <w:noProof/>
          <w:lang w:val="en-US"/>
        </w:rPr>
        <w:noBreakHyphen/>
        <w:t xml:space="preserve"> Radio-frequency emissions from PLT systems in the VHF and UHF bands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_Toc265129574 \h </w:instrText>
      </w:r>
      <w:r w:rsidR="00EF1C76" w:rsidRPr="006A444B">
        <w:rPr>
          <w:noProof/>
          <w:lang w:val="en-US"/>
        </w:rPr>
      </w:r>
      <w:r w:rsidR="00EF1C76" w:rsidRPr="006A444B">
        <w:rPr>
          <w:noProof/>
          <w:lang w:val="en-US"/>
        </w:rPr>
        <w:fldChar w:fldCharType="separate"/>
      </w:r>
      <w:r>
        <w:rPr>
          <w:noProof/>
          <w:lang w:val="en-US"/>
        </w:rPr>
        <w:t>30</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A3.1</w:t>
      </w:r>
      <w:r w:rsidRPr="006A444B">
        <w:rPr>
          <w:rFonts w:ascii="Calibri" w:hAnsi="Calibri" w:cs="Arial"/>
          <w:noProof/>
          <w:sz w:val="22"/>
          <w:szCs w:val="22"/>
          <w:lang w:val="en-US"/>
        </w:rPr>
        <w:tab/>
      </w:r>
      <w:r w:rsidRPr="006A444B">
        <w:rPr>
          <w:noProof/>
          <w:lang w:val="en-US"/>
        </w:rPr>
        <w:t>Introduction</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_Toc265129575 \h </w:instrText>
      </w:r>
      <w:r w:rsidR="00EF1C76" w:rsidRPr="006A444B">
        <w:rPr>
          <w:noProof/>
          <w:lang w:val="en-US"/>
        </w:rPr>
      </w:r>
      <w:r w:rsidR="00EF1C76" w:rsidRPr="006A444B">
        <w:rPr>
          <w:noProof/>
          <w:lang w:val="en-US"/>
        </w:rPr>
        <w:fldChar w:fldCharType="separate"/>
      </w:r>
      <w:r>
        <w:rPr>
          <w:noProof/>
          <w:lang w:val="en-US"/>
        </w:rPr>
        <w:t>30</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A3.2</w:t>
      </w:r>
      <w:r w:rsidRPr="006A444B">
        <w:rPr>
          <w:rFonts w:ascii="Calibri" w:hAnsi="Calibri" w:cs="Arial"/>
          <w:noProof/>
          <w:sz w:val="22"/>
          <w:szCs w:val="22"/>
          <w:lang w:val="en-US"/>
        </w:rPr>
        <w:tab/>
      </w:r>
      <w:r w:rsidRPr="006A444B">
        <w:rPr>
          <w:noProof/>
          <w:lang w:val="en-US"/>
        </w:rPr>
        <w:t>Radio-frequency emission measurements from PLT systems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_Toc265129576 \h </w:instrText>
      </w:r>
      <w:r w:rsidR="00EF1C76" w:rsidRPr="006A444B">
        <w:rPr>
          <w:noProof/>
          <w:lang w:val="en-US"/>
        </w:rPr>
      </w:r>
      <w:r w:rsidR="00EF1C76" w:rsidRPr="006A444B">
        <w:rPr>
          <w:noProof/>
          <w:lang w:val="en-US"/>
        </w:rPr>
        <w:fldChar w:fldCharType="separate"/>
      </w:r>
      <w:r>
        <w:rPr>
          <w:noProof/>
          <w:lang w:val="en-US"/>
        </w:rPr>
        <w:t>30</w:t>
      </w:r>
      <w:r w:rsidR="00EF1C76" w:rsidRPr="006A444B">
        <w:rPr>
          <w:noProof/>
          <w:lang w:val="en-US"/>
        </w:rPr>
        <w:fldChar w:fldCharType="end"/>
      </w:r>
    </w:p>
    <w:p w:rsidR="00BF14E0" w:rsidRPr="00FF5E2D" w:rsidRDefault="00BF14E0" w:rsidP="00BF14E0">
      <w:pPr>
        <w:pStyle w:val="TOC2"/>
        <w:tabs>
          <w:tab w:val="left" w:pos="1080"/>
          <w:tab w:val="left" w:leader="dot" w:pos="9090"/>
        </w:tabs>
        <w:rPr>
          <w:rFonts w:ascii="Calibri" w:hAnsi="Calibri" w:cs="Arial"/>
          <w:noProof/>
          <w:sz w:val="22"/>
          <w:szCs w:val="22"/>
          <w:lang w:val="de-CH"/>
        </w:rPr>
      </w:pPr>
      <w:r w:rsidRPr="00FF5E2D">
        <w:rPr>
          <w:noProof/>
          <w:lang w:val="de-CH" w:eastAsia="ja-JP"/>
        </w:rPr>
        <w:t>A3.2.1</w:t>
      </w:r>
      <w:r w:rsidRPr="00FF5E2D">
        <w:rPr>
          <w:rFonts w:ascii="Calibri" w:hAnsi="Calibri" w:cs="Arial"/>
          <w:noProof/>
          <w:sz w:val="22"/>
          <w:szCs w:val="22"/>
          <w:lang w:val="de-CH"/>
        </w:rPr>
        <w:tab/>
      </w:r>
      <w:r w:rsidRPr="00FF5E2D">
        <w:rPr>
          <w:noProof/>
          <w:lang w:val="de-CH" w:eastAsia="zh-CN"/>
        </w:rPr>
        <w:t>Institut für Rundfunktechnik GmbH (IRT)</w:t>
      </w:r>
      <w:r w:rsidRPr="00FF5E2D">
        <w:rPr>
          <w:noProof/>
          <w:lang w:val="de-CH" w:eastAsia="ja-JP"/>
        </w:rPr>
        <w:t xml:space="preserve"> measurements of PLT modems</w:t>
      </w:r>
      <w:r w:rsidRPr="00FF5E2D">
        <w:rPr>
          <w:noProof/>
          <w:lang w:val="de-CH"/>
        </w:rPr>
        <w:tab/>
      </w:r>
      <w:r w:rsidRPr="00FF5E2D">
        <w:rPr>
          <w:noProof/>
          <w:lang w:val="de-CH"/>
        </w:rPr>
        <w:tab/>
      </w:r>
      <w:r>
        <w:rPr>
          <w:noProof/>
          <w:lang w:val="de-CH"/>
        </w:rPr>
        <w:tab/>
      </w:r>
      <w:r w:rsidR="00EF1C76" w:rsidRPr="006A444B">
        <w:rPr>
          <w:noProof/>
          <w:lang w:val="en-US"/>
        </w:rPr>
        <w:fldChar w:fldCharType="begin"/>
      </w:r>
      <w:r w:rsidRPr="00FF5E2D">
        <w:rPr>
          <w:noProof/>
          <w:lang w:val="de-CH"/>
        </w:rPr>
        <w:instrText xml:space="preserve"> PAGEREF _Toc265129577 \h </w:instrText>
      </w:r>
      <w:r w:rsidR="00EF1C76" w:rsidRPr="006A444B">
        <w:rPr>
          <w:noProof/>
          <w:lang w:val="en-US"/>
        </w:rPr>
      </w:r>
      <w:r w:rsidR="00EF1C76" w:rsidRPr="006A444B">
        <w:rPr>
          <w:noProof/>
          <w:lang w:val="en-US"/>
        </w:rPr>
        <w:fldChar w:fldCharType="separate"/>
      </w:r>
      <w:r>
        <w:rPr>
          <w:noProof/>
          <w:lang w:val="de-CH"/>
        </w:rPr>
        <w:t>30</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A3.2.1.1</w:t>
      </w:r>
      <w:r w:rsidRPr="006A444B">
        <w:rPr>
          <w:rFonts w:ascii="Calibri" w:hAnsi="Calibri" w:cs="Arial"/>
          <w:noProof/>
          <w:sz w:val="22"/>
          <w:szCs w:val="22"/>
          <w:lang w:val="en-US"/>
        </w:rPr>
        <w:tab/>
      </w:r>
      <w:r w:rsidRPr="006A444B">
        <w:rPr>
          <w:noProof/>
          <w:lang w:val="en-US"/>
        </w:rPr>
        <w:t>Overview of the measurements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_Toc265129578 \h </w:instrText>
      </w:r>
      <w:r w:rsidR="00EF1C76" w:rsidRPr="006A444B">
        <w:rPr>
          <w:noProof/>
          <w:lang w:val="en-US"/>
        </w:rPr>
      </w:r>
      <w:r w:rsidR="00EF1C76" w:rsidRPr="006A444B">
        <w:rPr>
          <w:noProof/>
          <w:lang w:val="en-US"/>
        </w:rPr>
        <w:fldChar w:fldCharType="separate"/>
      </w:r>
      <w:r>
        <w:rPr>
          <w:noProof/>
          <w:lang w:val="en-US"/>
        </w:rPr>
        <w:t>30</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A3.2.1.2</w:t>
      </w:r>
      <w:r w:rsidRPr="006A444B">
        <w:rPr>
          <w:rFonts w:ascii="Calibri" w:hAnsi="Calibri" w:cs="Arial"/>
          <w:noProof/>
          <w:sz w:val="22"/>
          <w:szCs w:val="22"/>
          <w:lang w:val="en-US"/>
        </w:rPr>
        <w:tab/>
      </w:r>
      <w:r w:rsidRPr="006A444B">
        <w:rPr>
          <w:noProof/>
          <w:lang w:val="en-US"/>
        </w:rPr>
        <w:t>PLT performance</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_Toc265129579 \h </w:instrText>
      </w:r>
      <w:r w:rsidR="00EF1C76" w:rsidRPr="006A444B">
        <w:rPr>
          <w:noProof/>
          <w:lang w:val="en-US"/>
        </w:rPr>
      </w:r>
      <w:r w:rsidR="00EF1C76" w:rsidRPr="006A444B">
        <w:rPr>
          <w:noProof/>
          <w:lang w:val="en-US"/>
        </w:rPr>
        <w:fldChar w:fldCharType="separate"/>
      </w:r>
      <w:r>
        <w:rPr>
          <w:noProof/>
          <w:lang w:val="en-US"/>
        </w:rPr>
        <w:t>31</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A3.2.1.3</w:t>
      </w:r>
      <w:r w:rsidRPr="006A444B">
        <w:rPr>
          <w:rFonts w:ascii="Calibri" w:hAnsi="Calibri" w:cs="Arial"/>
          <w:noProof/>
          <w:sz w:val="22"/>
          <w:szCs w:val="22"/>
          <w:lang w:val="en-US"/>
        </w:rPr>
        <w:tab/>
      </w:r>
      <w:r w:rsidRPr="006A444B">
        <w:rPr>
          <w:noProof/>
          <w:lang w:val="en-US"/>
        </w:rPr>
        <w:t>Measuring of frequency spectrums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_Toc265129580 \h </w:instrText>
      </w:r>
      <w:r w:rsidR="00EF1C76" w:rsidRPr="006A444B">
        <w:rPr>
          <w:noProof/>
          <w:lang w:val="en-US"/>
        </w:rPr>
      </w:r>
      <w:r w:rsidR="00EF1C76" w:rsidRPr="006A444B">
        <w:rPr>
          <w:noProof/>
          <w:lang w:val="en-US"/>
        </w:rPr>
        <w:fldChar w:fldCharType="separate"/>
      </w:r>
      <w:r>
        <w:rPr>
          <w:noProof/>
          <w:lang w:val="en-US"/>
        </w:rPr>
        <w:t>32</w:t>
      </w:r>
      <w:r w:rsidR="00EF1C76" w:rsidRPr="006A444B">
        <w:rPr>
          <w:noProof/>
          <w:lang w:val="en-US"/>
        </w:rPr>
        <w:fldChar w:fldCharType="end"/>
      </w:r>
    </w:p>
    <w:p w:rsidR="00BF14E0" w:rsidRPr="006A444B" w:rsidRDefault="00BF14E0" w:rsidP="00BF14E0">
      <w:pPr>
        <w:pStyle w:val="TOC2"/>
        <w:tabs>
          <w:tab w:val="left" w:pos="1080"/>
          <w:tab w:val="left" w:leader="dot" w:pos="9090"/>
        </w:tabs>
        <w:ind w:left="1080" w:hanging="1080"/>
        <w:rPr>
          <w:rFonts w:ascii="Calibri" w:hAnsi="Calibri" w:cs="Arial"/>
          <w:noProof/>
          <w:sz w:val="22"/>
          <w:szCs w:val="22"/>
          <w:lang w:val="en-US"/>
        </w:rPr>
      </w:pPr>
      <w:r w:rsidRPr="006A444B">
        <w:rPr>
          <w:noProof/>
          <w:lang w:val="en-US"/>
        </w:rPr>
        <w:t>A3.2.1.4</w:t>
      </w:r>
      <w:r w:rsidRPr="006A444B">
        <w:rPr>
          <w:rFonts w:ascii="Calibri" w:hAnsi="Calibri" w:cs="Arial"/>
          <w:noProof/>
          <w:sz w:val="22"/>
          <w:szCs w:val="22"/>
          <w:lang w:val="en-US"/>
        </w:rPr>
        <w:tab/>
      </w:r>
      <w:r w:rsidRPr="006A444B">
        <w:rPr>
          <w:noProof/>
          <w:lang w:val="en-US"/>
        </w:rPr>
        <w:t xml:space="preserve">Interference radiation of the Belkin PLT modem “Powerline Gigabit” </w:t>
      </w:r>
      <w:r w:rsidRPr="006A444B">
        <w:rPr>
          <w:noProof/>
          <w:lang w:val="en-US"/>
        </w:rPr>
        <w:br/>
        <w:t>F5D4076</w:t>
      </w:r>
      <w:r w:rsidRPr="006A444B">
        <w:rPr>
          <w:noProof/>
          <w:lang w:val="en-US"/>
        </w:rPr>
        <w:noBreakHyphen/>
        <w:t>S v1</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_Toc265129581 \h </w:instrText>
      </w:r>
      <w:r w:rsidR="00EF1C76" w:rsidRPr="006A444B">
        <w:rPr>
          <w:noProof/>
          <w:lang w:val="en-US"/>
        </w:rPr>
      </w:r>
      <w:r w:rsidR="00EF1C76" w:rsidRPr="006A444B">
        <w:rPr>
          <w:noProof/>
          <w:lang w:val="en-US"/>
        </w:rPr>
        <w:fldChar w:fldCharType="separate"/>
      </w:r>
      <w:r>
        <w:rPr>
          <w:noProof/>
          <w:lang w:val="en-US"/>
        </w:rPr>
        <w:t>37</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A3.2.1.5</w:t>
      </w:r>
      <w:r w:rsidRPr="006A444B">
        <w:rPr>
          <w:rFonts w:ascii="Calibri" w:hAnsi="Calibri" w:cs="Arial"/>
          <w:noProof/>
          <w:sz w:val="22"/>
          <w:szCs w:val="22"/>
          <w:lang w:val="en-US"/>
        </w:rPr>
        <w:tab/>
      </w:r>
      <w:r w:rsidRPr="006A444B">
        <w:rPr>
          <w:noProof/>
          <w:lang w:val="en-US"/>
        </w:rPr>
        <w:t>Field strength with horizontal polarization</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_Toc265129582 \h </w:instrText>
      </w:r>
      <w:r w:rsidR="00EF1C76" w:rsidRPr="006A444B">
        <w:rPr>
          <w:noProof/>
          <w:lang w:val="en-US"/>
        </w:rPr>
      </w:r>
      <w:r w:rsidR="00EF1C76" w:rsidRPr="006A444B">
        <w:rPr>
          <w:noProof/>
          <w:lang w:val="en-US"/>
        </w:rPr>
        <w:fldChar w:fldCharType="separate"/>
      </w:r>
      <w:r>
        <w:rPr>
          <w:noProof/>
          <w:lang w:val="en-US"/>
        </w:rPr>
        <w:t>39</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A3.2.1.6</w:t>
      </w:r>
      <w:r w:rsidRPr="006A444B">
        <w:rPr>
          <w:rFonts w:ascii="Calibri" w:hAnsi="Calibri" w:cs="Arial"/>
          <w:noProof/>
          <w:sz w:val="22"/>
          <w:szCs w:val="22"/>
          <w:lang w:val="en-US"/>
        </w:rPr>
        <w:tab/>
      </w:r>
      <w:r w:rsidRPr="006A444B">
        <w:rPr>
          <w:noProof/>
          <w:lang w:val="en-US"/>
        </w:rPr>
        <w:t>Field strength with vertical polarization</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_Toc265129583 \h </w:instrText>
      </w:r>
      <w:r w:rsidR="00EF1C76" w:rsidRPr="006A444B">
        <w:rPr>
          <w:noProof/>
          <w:lang w:val="en-US"/>
        </w:rPr>
      </w:r>
      <w:r w:rsidR="00EF1C76" w:rsidRPr="006A444B">
        <w:rPr>
          <w:noProof/>
          <w:lang w:val="en-US"/>
        </w:rPr>
        <w:fldChar w:fldCharType="separate"/>
      </w:r>
      <w:r>
        <w:rPr>
          <w:noProof/>
          <w:lang w:val="en-US"/>
        </w:rPr>
        <w:t>40</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A3.2.1.7</w:t>
      </w:r>
      <w:r w:rsidRPr="006A444B">
        <w:rPr>
          <w:rFonts w:ascii="Calibri" w:hAnsi="Calibri" w:cs="Arial"/>
          <w:noProof/>
          <w:sz w:val="22"/>
          <w:szCs w:val="22"/>
          <w:lang w:val="en-US"/>
        </w:rPr>
        <w:tab/>
      </w:r>
      <w:r w:rsidRPr="006A444B">
        <w:rPr>
          <w:noProof/>
          <w:lang w:val="en-US"/>
        </w:rPr>
        <w:t>Conclusion from the IRT measurements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_Toc265129584 \h </w:instrText>
      </w:r>
      <w:r w:rsidR="00EF1C76" w:rsidRPr="006A444B">
        <w:rPr>
          <w:noProof/>
          <w:lang w:val="en-US"/>
        </w:rPr>
      </w:r>
      <w:r w:rsidR="00EF1C76" w:rsidRPr="006A444B">
        <w:rPr>
          <w:noProof/>
          <w:lang w:val="en-US"/>
        </w:rPr>
        <w:fldChar w:fldCharType="separate"/>
      </w:r>
      <w:r>
        <w:rPr>
          <w:noProof/>
          <w:lang w:val="en-US"/>
        </w:rPr>
        <w:t>41</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eastAsia="ja-JP"/>
        </w:rPr>
        <w:t>A3.2.2</w:t>
      </w:r>
      <w:r w:rsidRPr="006A444B">
        <w:rPr>
          <w:rFonts w:ascii="Calibri" w:hAnsi="Calibri" w:cs="Arial"/>
          <w:noProof/>
          <w:sz w:val="22"/>
          <w:szCs w:val="22"/>
          <w:lang w:val="en-US"/>
        </w:rPr>
        <w:tab/>
      </w:r>
      <w:r w:rsidRPr="006A444B">
        <w:rPr>
          <w:noProof/>
          <w:lang w:val="en-US" w:eastAsia="ja-JP"/>
        </w:rPr>
        <w:t>Communication Research Centre (Canada) measurements of PLT modems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_Toc265129585 \h </w:instrText>
      </w:r>
      <w:r w:rsidR="00EF1C76" w:rsidRPr="006A444B">
        <w:rPr>
          <w:noProof/>
          <w:lang w:val="en-US"/>
        </w:rPr>
      </w:r>
      <w:r w:rsidR="00EF1C76" w:rsidRPr="006A444B">
        <w:rPr>
          <w:noProof/>
          <w:lang w:val="en-US"/>
        </w:rPr>
        <w:fldChar w:fldCharType="separate"/>
      </w:r>
      <w:r>
        <w:rPr>
          <w:noProof/>
          <w:lang w:val="en-US"/>
        </w:rPr>
        <w:t>41</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A3.2.2.1</w:t>
      </w:r>
      <w:r w:rsidRPr="006A444B">
        <w:rPr>
          <w:rFonts w:ascii="Calibri" w:hAnsi="Calibri" w:cs="Arial"/>
          <w:noProof/>
          <w:sz w:val="22"/>
          <w:szCs w:val="22"/>
          <w:lang w:val="en-US"/>
        </w:rPr>
        <w:tab/>
      </w:r>
      <w:r w:rsidRPr="006A444B">
        <w:rPr>
          <w:noProof/>
          <w:lang w:val="en-US"/>
        </w:rPr>
        <w:t>CRC measurement procedure and conducted emission results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_Toc265129586 \h </w:instrText>
      </w:r>
      <w:r w:rsidR="00EF1C76" w:rsidRPr="006A444B">
        <w:rPr>
          <w:noProof/>
          <w:lang w:val="en-US"/>
        </w:rPr>
      </w:r>
      <w:r w:rsidR="00EF1C76" w:rsidRPr="006A444B">
        <w:rPr>
          <w:noProof/>
          <w:lang w:val="en-US"/>
        </w:rPr>
        <w:fldChar w:fldCharType="separate"/>
      </w:r>
      <w:r>
        <w:rPr>
          <w:noProof/>
          <w:lang w:val="en-US"/>
        </w:rPr>
        <w:t>41</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A3.2.2.2</w:t>
      </w:r>
      <w:r w:rsidRPr="006A444B">
        <w:rPr>
          <w:rFonts w:ascii="Calibri" w:hAnsi="Calibri" w:cs="Arial"/>
          <w:noProof/>
          <w:sz w:val="22"/>
          <w:szCs w:val="22"/>
          <w:lang w:val="en-US"/>
        </w:rPr>
        <w:tab/>
      </w:r>
      <w:r w:rsidRPr="006A444B">
        <w:rPr>
          <w:noProof/>
          <w:lang w:val="en-US"/>
        </w:rPr>
        <w:t>Conclusions from the CRC measurements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_Toc265129587 \h </w:instrText>
      </w:r>
      <w:r w:rsidR="00EF1C76" w:rsidRPr="006A444B">
        <w:rPr>
          <w:noProof/>
          <w:lang w:val="en-US"/>
        </w:rPr>
      </w:r>
      <w:r w:rsidR="00EF1C76" w:rsidRPr="006A444B">
        <w:rPr>
          <w:noProof/>
          <w:lang w:val="en-US"/>
        </w:rPr>
        <w:fldChar w:fldCharType="separate"/>
      </w:r>
      <w:r>
        <w:rPr>
          <w:noProof/>
          <w:lang w:val="en-US"/>
        </w:rPr>
        <w:t>44</w:t>
      </w:r>
      <w:r w:rsidR="00EF1C76" w:rsidRPr="006A444B">
        <w:rPr>
          <w:noProof/>
          <w:lang w:val="en-US"/>
        </w:rPr>
        <w:fldChar w:fldCharType="end"/>
      </w:r>
    </w:p>
    <w:p w:rsidR="00BF14E0" w:rsidRPr="006A444B" w:rsidRDefault="00BF14E0" w:rsidP="00BF14E0">
      <w:pPr>
        <w:pStyle w:val="TOC2"/>
        <w:tabs>
          <w:tab w:val="left" w:pos="1080"/>
          <w:tab w:val="left" w:leader="dot" w:pos="9090"/>
        </w:tabs>
        <w:ind w:left="1080" w:hanging="1080"/>
        <w:rPr>
          <w:rFonts w:ascii="Calibri" w:hAnsi="Calibri" w:cs="Arial"/>
          <w:noProof/>
          <w:sz w:val="22"/>
          <w:szCs w:val="22"/>
          <w:lang w:val="en-US"/>
        </w:rPr>
      </w:pPr>
      <w:r w:rsidRPr="006A444B">
        <w:rPr>
          <w:noProof/>
          <w:lang w:val="en-US"/>
        </w:rPr>
        <w:t>A3.2.3</w:t>
      </w:r>
      <w:r w:rsidRPr="006A444B">
        <w:rPr>
          <w:rFonts w:ascii="Calibri" w:hAnsi="Calibri" w:cs="Arial"/>
          <w:noProof/>
          <w:sz w:val="22"/>
          <w:szCs w:val="22"/>
          <w:lang w:val="en-US"/>
        </w:rPr>
        <w:tab/>
      </w:r>
      <w:r w:rsidRPr="006A444B">
        <w:rPr>
          <w:noProof/>
          <w:lang w:val="en-US"/>
        </w:rPr>
        <w:t xml:space="preserve">CBS Broadcasting and National Public Radio (NPR) measurements of a </w:t>
      </w:r>
      <w:r w:rsidRPr="006A444B">
        <w:rPr>
          <w:noProof/>
          <w:lang w:val="en-US"/>
        </w:rPr>
        <w:br/>
        <w:t>“Gigabit” PLT modem</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_Toc265129588 \h </w:instrText>
      </w:r>
      <w:r w:rsidR="00EF1C76" w:rsidRPr="006A444B">
        <w:rPr>
          <w:noProof/>
          <w:lang w:val="en-US"/>
        </w:rPr>
      </w:r>
      <w:r w:rsidR="00EF1C76" w:rsidRPr="006A444B">
        <w:rPr>
          <w:noProof/>
          <w:lang w:val="en-US"/>
        </w:rPr>
        <w:fldChar w:fldCharType="separate"/>
      </w:r>
      <w:r>
        <w:rPr>
          <w:noProof/>
          <w:lang w:val="en-US"/>
        </w:rPr>
        <w:t>44</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A3.2.3.1</w:t>
      </w:r>
      <w:r w:rsidRPr="006A444B">
        <w:rPr>
          <w:rFonts w:ascii="Calibri" w:hAnsi="Calibri" w:cs="Arial"/>
          <w:noProof/>
          <w:sz w:val="22"/>
          <w:szCs w:val="22"/>
          <w:lang w:val="en-US"/>
        </w:rPr>
        <w:tab/>
      </w:r>
      <w:r w:rsidRPr="006A444B">
        <w:rPr>
          <w:noProof/>
          <w:lang w:val="en-US"/>
        </w:rPr>
        <w:t>Measurement procedure</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_Toc265129589 \h </w:instrText>
      </w:r>
      <w:r w:rsidR="00EF1C76" w:rsidRPr="006A444B">
        <w:rPr>
          <w:noProof/>
          <w:lang w:val="en-US"/>
        </w:rPr>
      </w:r>
      <w:r w:rsidR="00EF1C76" w:rsidRPr="006A444B">
        <w:rPr>
          <w:noProof/>
          <w:lang w:val="en-US"/>
        </w:rPr>
        <w:fldChar w:fldCharType="separate"/>
      </w:r>
      <w:r>
        <w:rPr>
          <w:noProof/>
          <w:lang w:val="en-US"/>
        </w:rPr>
        <w:t>44</w:t>
      </w:r>
      <w:r w:rsidR="00EF1C76" w:rsidRPr="006A444B">
        <w:rPr>
          <w:noProof/>
          <w:lang w:val="en-US"/>
        </w:rPr>
        <w:fldChar w:fldCharType="end"/>
      </w:r>
    </w:p>
    <w:p w:rsidR="00BF14E0" w:rsidRPr="006A444B" w:rsidRDefault="00BF14E0" w:rsidP="00BF14E0">
      <w:pPr>
        <w:pStyle w:val="TOC2"/>
        <w:tabs>
          <w:tab w:val="left" w:pos="1080"/>
          <w:tab w:val="left" w:leader="dot" w:pos="9090"/>
        </w:tabs>
        <w:ind w:left="1080" w:hanging="1080"/>
        <w:rPr>
          <w:rFonts w:ascii="Calibri" w:hAnsi="Calibri" w:cs="Arial"/>
          <w:noProof/>
          <w:sz w:val="22"/>
          <w:szCs w:val="22"/>
          <w:lang w:val="en-US"/>
        </w:rPr>
      </w:pPr>
      <w:r w:rsidRPr="006A444B">
        <w:rPr>
          <w:noProof/>
          <w:lang w:val="en-US"/>
        </w:rPr>
        <w:t>A3.2.3.2</w:t>
      </w:r>
      <w:r w:rsidRPr="006A444B">
        <w:rPr>
          <w:rFonts w:ascii="Calibri" w:hAnsi="Calibri" w:cs="Arial"/>
          <w:noProof/>
          <w:sz w:val="22"/>
          <w:szCs w:val="22"/>
          <w:lang w:val="en-US"/>
        </w:rPr>
        <w:tab/>
      </w:r>
      <w:r w:rsidRPr="006A444B">
        <w:rPr>
          <w:noProof/>
          <w:lang w:val="en-US"/>
        </w:rPr>
        <w:t xml:space="preserve">Conducted emission measurement results for the Belkin “Gigabit </w:t>
      </w:r>
      <w:r w:rsidRPr="006A444B">
        <w:rPr>
          <w:noProof/>
          <w:lang w:val="en-US"/>
        </w:rPr>
        <w:br/>
        <w:t>Powerline HD” F5D4076</w:t>
      </w:r>
      <w:r w:rsidRPr="006A444B">
        <w:rPr>
          <w:noProof/>
          <w:lang w:val="en-US"/>
        </w:rPr>
        <w:noBreakHyphen/>
        <w:t>S v2 PLT modem</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_Toc265129590 \h </w:instrText>
      </w:r>
      <w:r w:rsidR="00EF1C76" w:rsidRPr="006A444B">
        <w:rPr>
          <w:noProof/>
          <w:lang w:val="en-US"/>
        </w:rPr>
      </w:r>
      <w:r w:rsidR="00EF1C76" w:rsidRPr="006A444B">
        <w:rPr>
          <w:noProof/>
          <w:lang w:val="en-US"/>
        </w:rPr>
        <w:fldChar w:fldCharType="separate"/>
      </w:r>
      <w:r>
        <w:rPr>
          <w:noProof/>
          <w:lang w:val="en-US"/>
        </w:rPr>
        <w:t>45</w:t>
      </w:r>
      <w:r w:rsidR="00EF1C76" w:rsidRPr="006A444B">
        <w:rPr>
          <w:noProof/>
          <w:lang w:val="en-US"/>
        </w:rPr>
        <w:fldChar w:fldCharType="end"/>
      </w:r>
    </w:p>
    <w:p w:rsidR="00BF14E0" w:rsidRPr="006A444B" w:rsidRDefault="00BF14E0" w:rsidP="00BF14E0">
      <w:pPr>
        <w:pStyle w:val="TOC2"/>
        <w:tabs>
          <w:tab w:val="left" w:pos="1080"/>
          <w:tab w:val="left" w:leader="dot" w:pos="9090"/>
        </w:tabs>
        <w:ind w:left="1080" w:hanging="1080"/>
        <w:rPr>
          <w:rFonts w:ascii="Calibri" w:hAnsi="Calibri" w:cs="Arial"/>
          <w:noProof/>
          <w:sz w:val="22"/>
          <w:szCs w:val="22"/>
          <w:lang w:val="en-US"/>
        </w:rPr>
      </w:pPr>
      <w:r w:rsidRPr="006A444B">
        <w:rPr>
          <w:noProof/>
          <w:lang w:val="en-US"/>
        </w:rPr>
        <w:t>A3.2.3.3</w:t>
      </w:r>
      <w:r w:rsidRPr="006A444B">
        <w:rPr>
          <w:rFonts w:ascii="Calibri" w:hAnsi="Calibri" w:cs="Arial"/>
          <w:noProof/>
          <w:sz w:val="22"/>
          <w:szCs w:val="22"/>
          <w:lang w:val="en-US"/>
        </w:rPr>
        <w:tab/>
      </w:r>
      <w:r w:rsidRPr="006A444B">
        <w:rPr>
          <w:noProof/>
          <w:lang w:val="en-US"/>
        </w:rPr>
        <w:t xml:space="preserve">FM receiver interference from the Belkin “Gigabit Powerline HD” </w:t>
      </w:r>
      <w:r w:rsidRPr="006A444B">
        <w:rPr>
          <w:noProof/>
          <w:lang w:val="en-US"/>
        </w:rPr>
        <w:br/>
        <w:t>F5D4076</w:t>
      </w:r>
      <w:r w:rsidRPr="006A444B">
        <w:rPr>
          <w:noProof/>
          <w:lang w:val="en-US"/>
        </w:rPr>
        <w:noBreakHyphen/>
        <w:t>S v2 PLT modem</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_Toc265129591 \h </w:instrText>
      </w:r>
      <w:r w:rsidR="00EF1C76" w:rsidRPr="006A444B">
        <w:rPr>
          <w:noProof/>
          <w:lang w:val="en-US"/>
        </w:rPr>
      </w:r>
      <w:r w:rsidR="00EF1C76" w:rsidRPr="006A444B">
        <w:rPr>
          <w:noProof/>
          <w:lang w:val="en-US"/>
        </w:rPr>
        <w:fldChar w:fldCharType="separate"/>
      </w:r>
      <w:r>
        <w:rPr>
          <w:noProof/>
          <w:lang w:val="en-US"/>
        </w:rPr>
        <w:t>48</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A3.2.3.4</w:t>
      </w:r>
      <w:r w:rsidRPr="006A444B">
        <w:rPr>
          <w:rFonts w:ascii="Calibri" w:hAnsi="Calibri" w:cs="Arial"/>
          <w:noProof/>
          <w:sz w:val="22"/>
          <w:szCs w:val="22"/>
          <w:lang w:val="en-US"/>
        </w:rPr>
        <w:tab/>
      </w:r>
      <w:r w:rsidRPr="006A444B">
        <w:rPr>
          <w:noProof/>
          <w:lang w:val="en-US"/>
        </w:rPr>
        <w:t>Conclusions from the CBS/NPR measurements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_Toc265129592 \h </w:instrText>
      </w:r>
      <w:r w:rsidR="00EF1C76" w:rsidRPr="006A444B">
        <w:rPr>
          <w:noProof/>
          <w:lang w:val="en-US"/>
        </w:rPr>
      </w:r>
      <w:r w:rsidR="00EF1C76" w:rsidRPr="006A444B">
        <w:rPr>
          <w:noProof/>
          <w:lang w:val="en-US"/>
        </w:rPr>
        <w:fldChar w:fldCharType="separate"/>
      </w:r>
      <w:r>
        <w:rPr>
          <w:noProof/>
          <w:lang w:val="en-US"/>
        </w:rPr>
        <w:t>49</w:t>
      </w:r>
      <w:r w:rsidR="00EF1C76" w:rsidRPr="006A444B">
        <w:rPr>
          <w:noProof/>
          <w:lang w:val="en-US"/>
        </w:rPr>
        <w:fldChar w:fldCharType="end"/>
      </w:r>
    </w:p>
    <w:p w:rsidR="00BF14E0" w:rsidRPr="006A444B" w:rsidRDefault="00BF14E0" w:rsidP="00BF14E0">
      <w:pPr>
        <w:pStyle w:val="TOC2"/>
        <w:tabs>
          <w:tab w:val="left" w:pos="1080"/>
          <w:tab w:val="left" w:leader="dot" w:pos="9090"/>
        </w:tabs>
        <w:rPr>
          <w:rFonts w:ascii="Calibri" w:hAnsi="Calibri" w:cs="Arial"/>
          <w:noProof/>
          <w:sz w:val="22"/>
          <w:szCs w:val="22"/>
          <w:lang w:val="en-US"/>
        </w:rPr>
      </w:pPr>
      <w:r w:rsidRPr="006A444B">
        <w:rPr>
          <w:noProof/>
          <w:lang w:val="en-US"/>
        </w:rPr>
        <w:t xml:space="preserve">Annex 4 </w:t>
      </w:r>
      <w:r w:rsidRPr="006A444B">
        <w:rPr>
          <w:noProof/>
          <w:lang w:val="en-US"/>
        </w:rPr>
        <w:noBreakHyphen/>
        <w:t xml:space="preserve"> Design examples of PLT technology using the VHF and UHF bands</w:t>
      </w:r>
      <w:r w:rsidRPr="006A444B">
        <w:rPr>
          <w:noProof/>
          <w:lang w:val="en-US"/>
        </w:rPr>
        <w:tab/>
      </w:r>
      <w:r w:rsidRPr="006A444B">
        <w:rPr>
          <w:noProof/>
          <w:lang w:val="en-US"/>
        </w:rPr>
        <w:tab/>
      </w:r>
      <w:r>
        <w:rPr>
          <w:noProof/>
          <w:lang w:val="en-US"/>
        </w:rPr>
        <w:tab/>
      </w:r>
      <w:r w:rsidR="00EF1C76" w:rsidRPr="006A444B">
        <w:rPr>
          <w:noProof/>
          <w:lang w:val="en-US"/>
        </w:rPr>
        <w:fldChar w:fldCharType="begin"/>
      </w:r>
      <w:r w:rsidRPr="006A444B">
        <w:rPr>
          <w:noProof/>
          <w:lang w:val="en-US"/>
        </w:rPr>
        <w:instrText xml:space="preserve"> PAGEREF _Toc265129593 \h </w:instrText>
      </w:r>
      <w:r w:rsidR="00EF1C76" w:rsidRPr="006A444B">
        <w:rPr>
          <w:noProof/>
          <w:lang w:val="en-US"/>
        </w:rPr>
      </w:r>
      <w:r w:rsidR="00EF1C76" w:rsidRPr="006A444B">
        <w:rPr>
          <w:noProof/>
          <w:lang w:val="en-US"/>
        </w:rPr>
        <w:fldChar w:fldCharType="separate"/>
      </w:r>
      <w:r>
        <w:rPr>
          <w:noProof/>
          <w:lang w:val="en-US"/>
        </w:rPr>
        <w:t>50</w:t>
      </w:r>
      <w:r w:rsidR="00EF1C76" w:rsidRPr="006A444B">
        <w:rPr>
          <w:noProof/>
          <w:lang w:val="en-US"/>
        </w:rPr>
        <w:fldChar w:fldCharType="end"/>
      </w:r>
    </w:p>
    <w:p w:rsidR="00BF14E0" w:rsidRPr="006A444B" w:rsidRDefault="00EF1C76" w:rsidP="00BF14E0">
      <w:pPr>
        <w:pStyle w:val="TOC2"/>
        <w:tabs>
          <w:tab w:val="left" w:pos="1080"/>
          <w:tab w:val="left" w:leader="dot" w:pos="9090"/>
        </w:tabs>
        <w:rPr>
          <w:lang w:val="en-US"/>
        </w:rPr>
      </w:pPr>
      <w:r w:rsidRPr="006A444B">
        <w:rPr>
          <w:lang w:val="en-US"/>
        </w:rPr>
        <w:fldChar w:fldCharType="end"/>
      </w:r>
    </w:p>
    <w:p w:rsidR="00BF14E0" w:rsidRPr="006A444B" w:rsidRDefault="00BF14E0">
      <w:pPr>
        <w:overflowPunct/>
        <w:autoSpaceDE/>
        <w:autoSpaceDN/>
        <w:adjustRightInd/>
        <w:spacing w:before="0"/>
        <w:textAlignment w:val="auto"/>
        <w:rPr>
          <w:b/>
          <w:webHidden/>
          <w:sz w:val="28"/>
          <w:lang w:val="en-US"/>
        </w:rPr>
      </w:pPr>
      <w:r w:rsidRPr="006A444B">
        <w:rPr>
          <w:webHidden/>
          <w:lang w:val="en-US"/>
        </w:rPr>
        <w:br w:type="page"/>
      </w:r>
    </w:p>
    <w:p w:rsidR="00BF14E0" w:rsidRPr="00BF14E0" w:rsidRDefault="00BF14E0" w:rsidP="00BF14E0">
      <w:pPr>
        <w:pStyle w:val="Heading1"/>
        <w:spacing w:before="280"/>
        <w:rPr>
          <w:webHidden/>
          <w:sz w:val="28"/>
          <w:szCs w:val="28"/>
        </w:rPr>
      </w:pPr>
      <w:bookmarkStart w:id="8" w:name="_Toc265129532"/>
      <w:r w:rsidRPr="00BF14E0">
        <w:rPr>
          <w:webHidden/>
          <w:sz w:val="28"/>
          <w:szCs w:val="28"/>
        </w:rPr>
        <w:t>1</w:t>
      </w:r>
      <w:r w:rsidRPr="00BF14E0">
        <w:rPr>
          <w:webHidden/>
          <w:sz w:val="28"/>
          <w:szCs w:val="28"/>
        </w:rPr>
        <w:tab/>
        <w:t>Introduction</w:t>
      </w:r>
      <w:bookmarkEnd w:id="8"/>
    </w:p>
    <w:p w:rsidR="00BF14E0" w:rsidRPr="006A444B" w:rsidRDefault="00BF14E0" w:rsidP="00BF14E0">
      <w:pPr>
        <w:rPr>
          <w:color w:val="000000"/>
          <w:lang w:val="en-US"/>
        </w:rPr>
      </w:pPr>
      <w:r w:rsidRPr="006A444B">
        <w:rPr>
          <w:color w:val="000000"/>
          <w:lang w:val="en-US"/>
        </w:rPr>
        <w:t xml:space="preserve">As part of the studies on the compatibility between radiocommunication systems and high data rate telecommunication systems using electricity power supply or telephone distribution wiring (Question ITU-R 221/1), this Report covers the use of the radio spectrum and associated protection requirements of radiocommunication services in respect to impact of power line telecommunications (PLT) in the VHF and UHF bands. It complements Report ITU-R SM. 2158 which already provides information and guidance for the frequency bands from the LF bands up to about 80 MHz. </w:t>
      </w:r>
    </w:p>
    <w:p w:rsidR="00BF14E0" w:rsidRPr="006A444B" w:rsidRDefault="00BF14E0" w:rsidP="00BF14E0">
      <w:pPr>
        <w:rPr>
          <w:color w:val="000000"/>
          <w:lang w:val="en-US"/>
        </w:rPr>
      </w:pPr>
      <w:r w:rsidRPr="006A444B">
        <w:rPr>
          <w:color w:val="000000"/>
          <w:lang w:val="en-US"/>
        </w:rPr>
        <w:t>Recent developments of PLT technology show that PLT Systems can use frequencies going far beyond 80 MHz. Future technological developments may even make the use of frequencies in the UHF bands possible for PLT.</w:t>
      </w:r>
    </w:p>
    <w:p w:rsidR="00BF14E0" w:rsidRPr="006A444B" w:rsidRDefault="00BF14E0" w:rsidP="00BF14E0">
      <w:pPr>
        <w:rPr>
          <w:color w:val="000000"/>
          <w:lang w:val="en-US"/>
        </w:rPr>
      </w:pPr>
      <w:r w:rsidRPr="006A444B">
        <w:rPr>
          <w:color w:val="000000"/>
          <w:lang w:val="en-US"/>
        </w:rPr>
        <w:t>There are presently two main families of PLT applications:</w:t>
      </w:r>
    </w:p>
    <w:p w:rsidR="00BF14E0" w:rsidRPr="006A444B" w:rsidRDefault="00BF14E0" w:rsidP="00BF14E0">
      <w:pPr>
        <w:pStyle w:val="enumlev1"/>
        <w:rPr>
          <w:color w:val="000000"/>
          <w:lang w:val="en-US"/>
        </w:rPr>
      </w:pPr>
      <w:r w:rsidRPr="006A444B">
        <w:rPr>
          <w:color w:val="000000"/>
          <w:lang w:val="en-US"/>
        </w:rPr>
        <w:t>−</w:t>
      </w:r>
      <w:r w:rsidRPr="006A444B">
        <w:rPr>
          <w:color w:val="000000"/>
          <w:lang w:val="en-US"/>
        </w:rPr>
        <w:tab/>
        <w:t>Access PLT whose target market is the last mile (i.e., 1.2 km) between the electricity supply substation and the subscriber and could therefore an alternative means of access to the telecommunication local loop.</w:t>
      </w:r>
    </w:p>
    <w:p w:rsidR="00BF14E0" w:rsidRPr="006A444B" w:rsidRDefault="00BF14E0" w:rsidP="00BF14E0">
      <w:pPr>
        <w:pStyle w:val="enumlev1"/>
        <w:rPr>
          <w:color w:val="000000"/>
          <w:lang w:val="en-US"/>
        </w:rPr>
      </w:pPr>
      <w:r w:rsidRPr="006A444B">
        <w:rPr>
          <w:color w:val="000000"/>
          <w:lang w:val="en-US"/>
        </w:rPr>
        <w:t>−</w:t>
      </w:r>
      <w:r w:rsidRPr="006A444B">
        <w:rPr>
          <w:color w:val="000000"/>
          <w:lang w:val="en-US"/>
        </w:rPr>
        <w:tab/>
        <w:t>Indoor PLT whose aim is to distribute signals (coming for example from access PLT from DSL or even from data sources within homes and without connection to an access network) to the mains electricity socket outlets inside buildings.</w:t>
      </w:r>
    </w:p>
    <w:p w:rsidR="00BF14E0" w:rsidRPr="006A444B" w:rsidRDefault="00BF14E0" w:rsidP="00BF14E0">
      <w:pPr>
        <w:rPr>
          <w:color w:val="000000"/>
          <w:lang w:val="en-US"/>
        </w:rPr>
      </w:pPr>
      <w:r w:rsidRPr="006A444B">
        <w:rPr>
          <w:color w:val="000000"/>
          <w:lang w:val="en-US"/>
        </w:rPr>
        <w:t>According to the information available, frequencies above 80 MHz are currently only used by indoor PLT systems.</w:t>
      </w:r>
    </w:p>
    <w:p w:rsidR="00BF14E0" w:rsidRPr="006A444B" w:rsidRDefault="00BF14E0" w:rsidP="00BF14E0">
      <w:pPr>
        <w:rPr>
          <w:color w:val="000000"/>
          <w:lang w:val="en-US"/>
        </w:rPr>
      </w:pPr>
      <w:r w:rsidRPr="006A444B">
        <w:rPr>
          <w:color w:val="000000"/>
          <w:lang w:val="en-US"/>
        </w:rPr>
        <w:t xml:space="preserve">The recently approved ITU-T Recommendation G. 9960 on “Unified high-speed wire line based home networking transceivers − Foundation” contains a physical layer specification for such PLT systems using frequencies up to 200 MHz. It should be noted that there are already indoor PLT systems on the market which use frequencies going up to about 300 MHz or even beyond. </w:t>
      </w:r>
    </w:p>
    <w:p w:rsidR="00BF14E0" w:rsidRPr="006A444B" w:rsidRDefault="00BF14E0" w:rsidP="00BF14E0">
      <w:pPr>
        <w:rPr>
          <w:color w:val="000000"/>
          <w:lang w:val="en-US"/>
        </w:rPr>
      </w:pPr>
      <w:r w:rsidRPr="006A444B">
        <w:rPr>
          <w:color w:val="000000"/>
          <w:lang w:val="en-US"/>
        </w:rPr>
        <w:t>Such PLT indoor systems potentially offer transmission rates of several hundred Mbit/s via the normal electrical power wiring inside every building. HD-film streaming and online-gaming in the home are applications which may require such transmission rates. The implementation of such PLT systems and their technical characteristics can vary considerably.</w:t>
      </w:r>
    </w:p>
    <w:p w:rsidR="00BF14E0" w:rsidRPr="006A444B" w:rsidRDefault="00BF14E0" w:rsidP="00BF14E0">
      <w:pPr>
        <w:rPr>
          <w:color w:val="000000"/>
          <w:lang w:val="en-US"/>
        </w:rPr>
      </w:pPr>
      <w:r w:rsidRPr="006A444B">
        <w:rPr>
          <w:color w:val="000000"/>
          <w:lang w:val="en-US"/>
        </w:rPr>
        <w:t xml:space="preserve">Because electrical power lines are not designed for the transmission of high data rate signals, PLT signals on electrical power lines have the potential of causing interference to radiocommunication services. </w:t>
      </w:r>
    </w:p>
    <w:p w:rsidR="00BF14E0" w:rsidRPr="006A444B" w:rsidRDefault="00BF14E0" w:rsidP="00BF14E0">
      <w:pPr>
        <w:rPr>
          <w:color w:val="000000"/>
          <w:lang w:val="en-US"/>
        </w:rPr>
      </w:pPr>
      <w:r w:rsidRPr="006A444B">
        <w:rPr>
          <w:color w:val="000000"/>
          <w:szCs w:val="24"/>
          <w:lang w:val="en-US" w:eastAsia="ja-JP"/>
        </w:rPr>
        <w:t>RR No. </w:t>
      </w:r>
      <w:r w:rsidRPr="006A444B">
        <w:rPr>
          <w:b/>
          <w:bCs/>
          <w:color w:val="000000"/>
          <w:szCs w:val="24"/>
          <w:lang w:val="en-US" w:eastAsia="ja-JP"/>
        </w:rPr>
        <w:t>15.12</w:t>
      </w:r>
      <w:r w:rsidRPr="006A444B">
        <w:rPr>
          <w:color w:val="000000"/>
          <w:szCs w:val="24"/>
          <w:lang w:val="en-US" w:eastAsia="ja-JP"/>
        </w:rPr>
        <w:t xml:space="preserve"> requires that:</w:t>
      </w:r>
      <w:r w:rsidRPr="006A444B">
        <w:rPr>
          <w:color w:val="000000"/>
          <w:lang w:val="en-US"/>
        </w:rPr>
        <w:t xml:space="preserve"> “Administrations shall take all practicable and necessary steps to ensure that the operation of electrical apparatus or installations of any kind, including power and telecommunication distribution networks, but excluding equipment used for industrial, scientific and medical applications, does not cause harmful interference to a radiocommunication service and, in particular, to a radionavigation or any other safety service operating in accordance with the provisions of these Regulations</w:t>
      </w:r>
      <w:r w:rsidRPr="006A444B">
        <w:rPr>
          <w:webHidden/>
          <w:color w:val="000000"/>
          <w:lang w:val="en-US"/>
        </w:rPr>
        <w:t>”</w:t>
      </w:r>
      <w:r w:rsidRPr="006A444B">
        <w:rPr>
          <w:rStyle w:val="FootnoteReference"/>
          <w:webHidden/>
          <w:color w:val="000000"/>
          <w:lang w:val="en-US"/>
        </w:rPr>
        <w:footnoteReference w:id="1"/>
      </w:r>
      <w:r w:rsidRPr="006A444B">
        <w:rPr>
          <w:webHidden/>
          <w:color w:val="000000"/>
          <w:lang w:val="en-US"/>
        </w:rPr>
        <w:t>“</w:t>
      </w:r>
      <w:r w:rsidRPr="006A444B">
        <w:rPr>
          <w:color w:val="000000"/>
          <w:lang w:val="en-US"/>
        </w:rPr>
        <w:t xml:space="preserve">. </w:t>
      </w:r>
    </w:p>
    <w:p w:rsidR="00BF14E0" w:rsidRPr="00BF14E0" w:rsidRDefault="00BF14E0" w:rsidP="00BF14E0">
      <w:pPr>
        <w:pStyle w:val="Heading1"/>
        <w:spacing w:before="280"/>
        <w:rPr>
          <w:sz w:val="28"/>
          <w:szCs w:val="28"/>
        </w:rPr>
      </w:pPr>
      <w:bookmarkStart w:id="9" w:name="_Toc265129533"/>
      <w:r w:rsidRPr="00BF14E0">
        <w:rPr>
          <w:sz w:val="28"/>
          <w:szCs w:val="28"/>
        </w:rPr>
        <w:t>2</w:t>
      </w:r>
      <w:r w:rsidRPr="00BF14E0">
        <w:rPr>
          <w:sz w:val="28"/>
          <w:szCs w:val="28"/>
        </w:rPr>
        <w:tab/>
      </w:r>
      <w:r w:rsidRPr="00BF14E0">
        <w:rPr>
          <w:rStyle w:val="Hyperlink"/>
          <w:color w:val="auto"/>
          <w:sz w:val="28"/>
          <w:szCs w:val="28"/>
          <w:u w:val="none"/>
        </w:rPr>
        <w:t xml:space="preserve">Characteristics of radio-frequency emission from PLT </w:t>
      </w:r>
      <w:r w:rsidR="00580FF1" w:rsidRPr="00BF14E0">
        <w:rPr>
          <w:rStyle w:val="Hyperlink"/>
          <w:color w:val="auto"/>
          <w:sz w:val="28"/>
          <w:szCs w:val="28"/>
          <w:u w:val="none"/>
        </w:rPr>
        <w:t>s</w:t>
      </w:r>
      <w:r w:rsidRPr="00BF14E0">
        <w:rPr>
          <w:rStyle w:val="Hyperlink"/>
          <w:color w:val="auto"/>
          <w:sz w:val="28"/>
          <w:szCs w:val="28"/>
          <w:u w:val="none"/>
        </w:rPr>
        <w:t>ystems in the VHF and UHF bands</w:t>
      </w:r>
      <w:bookmarkEnd w:id="9"/>
    </w:p>
    <w:p w:rsidR="00BF14E0" w:rsidRPr="006A444B" w:rsidRDefault="00BF14E0" w:rsidP="00BF14E0">
      <w:pPr>
        <w:rPr>
          <w:webHidden/>
          <w:lang w:val="en-US"/>
        </w:rPr>
      </w:pPr>
      <w:r w:rsidRPr="006A444B">
        <w:rPr>
          <w:webHidden/>
          <w:lang w:val="en-US"/>
        </w:rPr>
        <w:t>[TBD]</w:t>
      </w:r>
    </w:p>
    <w:p w:rsidR="00BF14E0" w:rsidRPr="00BF14E0" w:rsidRDefault="00BF14E0" w:rsidP="00BF14E0">
      <w:pPr>
        <w:pStyle w:val="Heading1"/>
        <w:spacing w:before="280"/>
        <w:rPr>
          <w:webHidden/>
          <w:sz w:val="28"/>
          <w:szCs w:val="28"/>
        </w:rPr>
      </w:pPr>
      <w:bookmarkStart w:id="10" w:name="_Toc265129534"/>
      <w:r w:rsidRPr="00BF14E0">
        <w:rPr>
          <w:webHidden/>
          <w:sz w:val="28"/>
          <w:szCs w:val="28"/>
        </w:rPr>
        <w:t>3</w:t>
      </w:r>
      <w:r w:rsidRPr="00BF14E0">
        <w:rPr>
          <w:webHidden/>
          <w:sz w:val="28"/>
          <w:szCs w:val="28"/>
        </w:rPr>
        <w:tab/>
      </w:r>
      <w:r w:rsidRPr="00BF14E0">
        <w:rPr>
          <w:rStyle w:val="Hyperlink"/>
          <w:color w:val="auto"/>
          <w:sz w:val="28"/>
          <w:szCs w:val="28"/>
          <w:u w:val="none"/>
        </w:rPr>
        <w:t>Radio system characteristics, protection criteria, and impact of PLT systems on radiocommunication systems</w:t>
      </w:r>
      <w:r w:rsidRPr="00BF14E0">
        <w:rPr>
          <w:webHidden/>
          <w:sz w:val="28"/>
          <w:szCs w:val="28"/>
        </w:rPr>
        <w:t xml:space="preserve"> in the VHF and UHF bands</w:t>
      </w:r>
      <w:bookmarkEnd w:id="10"/>
    </w:p>
    <w:p w:rsidR="00BF14E0" w:rsidRPr="00BF14E0" w:rsidRDefault="00BF14E0" w:rsidP="00BF14E0">
      <w:pPr>
        <w:pStyle w:val="Heading2"/>
        <w:rPr>
          <w:rStyle w:val="Hyperlink"/>
          <w:color w:val="auto"/>
          <w:u w:val="none"/>
        </w:rPr>
      </w:pPr>
      <w:bookmarkStart w:id="11" w:name="_Toc265129535"/>
      <w:r w:rsidRPr="00BF14E0">
        <w:rPr>
          <w:rStyle w:val="Hyperlink"/>
          <w:color w:val="auto"/>
          <w:u w:val="none"/>
        </w:rPr>
        <w:t>3.1</w:t>
      </w:r>
      <w:r w:rsidRPr="00BF14E0">
        <w:rPr>
          <w:rFonts w:eastAsia="SimSun"/>
        </w:rPr>
        <w:tab/>
      </w:r>
      <w:r w:rsidRPr="00BF14E0">
        <w:rPr>
          <w:rStyle w:val="Hyperlink"/>
          <w:color w:val="auto"/>
          <w:u w:val="none"/>
        </w:rPr>
        <w:t>Broadcasting</w:t>
      </w:r>
      <w:bookmarkEnd w:id="11"/>
    </w:p>
    <w:p w:rsidR="00BF14E0" w:rsidRPr="006A444B" w:rsidRDefault="00BF14E0" w:rsidP="00BF14E0">
      <w:pPr>
        <w:rPr>
          <w:lang w:val="en-US"/>
        </w:rPr>
      </w:pPr>
      <w:r w:rsidRPr="006A444B">
        <w:rPr>
          <w:lang w:val="en-US"/>
        </w:rPr>
        <w:t>With respect to unintentional emissions in the broadcasting bands above 30 MHz, the total aggregate interference to the broadcasting service should at no time and nowhere exceed one per cent of the total receiving system noise power.</w:t>
      </w:r>
    </w:p>
    <w:p w:rsidR="00BF14E0" w:rsidRPr="00BF14E0" w:rsidRDefault="00BF14E0" w:rsidP="00BF14E0">
      <w:pPr>
        <w:pStyle w:val="Heading2"/>
        <w:rPr>
          <w:rStyle w:val="Hyperlink"/>
          <w:rFonts w:eastAsia="SimSun"/>
          <w:color w:val="auto"/>
          <w:u w:val="none"/>
        </w:rPr>
      </w:pPr>
      <w:bookmarkStart w:id="12" w:name="_Toc265129536"/>
      <w:r w:rsidRPr="00BF14E0">
        <w:rPr>
          <w:rStyle w:val="Hyperlink"/>
          <w:rFonts w:eastAsia="SimSun"/>
          <w:color w:val="auto"/>
          <w:u w:val="none"/>
        </w:rPr>
        <w:t>3.2</w:t>
      </w:r>
      <w:r w:rsidRPr="00BF14E0">
        <w:rPr>
          <w:rFonts w:eastAsia="SimSun"/>
        </w:rPr>
        <w:tab/>
      </w:r>
      <w:r w:rsidRPr="00BF14E0">
        <w:rPr>
          <w:rStyle w:val="Hyperlink"/>
          <w:rFonts w:eastAsia="SimSun"/>
          <w:color w:val="auto"/>
          <w:u w:val="none"/>
        </w:rPr>
        <w:t>Amateur and amateur-satellite</w:t>
      </w:r>
      <w:bookmarkEnd w:id="12"/>
    </w:p>
    <w:p w:rsidR="00BF14E0" w:rsidRPr="006A444B" w:rsidRDefault="00BF14E0" w:rsidP="00BF14E0">
      <w:pPr>
        <w:rPr>
          <w:lang w:val="en-US"/>
        </w:rPr>
      </w:pPr>
      <w:r w:rsidRPr="006A444B">
        <w:rPr>
          <w:lang w:val="en-US"/>
        </w:rPr>
        <w:t>The only amateur band in the 80-200 MHz range is the 144</w:t>
      </w:r>
      <w:r w:rsidRPr="006A444B">
        <w:rPr>
          <w:lang w:val="en-US"/>
        </w:rPr>
        <w:noBreakHyphen/>
        <w:t>148 MHz band (144</w:t>
      </w:r>
      <w:r w:rsidRPr="006A444B">
        <w:rPr>
          <w:lang w:val="en-US"/>
        </w:rPr>
        <w:noBreakHyphen/>
        <w:t>146 MHz in ITU Region 1). As well as being heavily used for relatively local coverage by analogue FM and related modes, supported in most countries by an extensive network of repea</w:t>
      </w:r>
      <w:r>
        <w:rPr>
          <w:lang w:val="en-US"/>
        </w:rPr>
        <w:t>ters, this band has literally a </w:t>
      </w:r>
      <w:r w:rsidRPr="006A444B">
        <w:rPr>
          <w:lang w:val="en-US"/>
        </w:rPr>
        <w:t>world-wide scope in supporting long-distance communication at very low (and even negative) signal/noise ratios. It is these weak-signal applications that require interference protection, although the other forms of communication will also benefit.</w:t>
      </w:r>
    </w:p>
    <w:p w:rsidR="00BF14E0" w:rsidRPr="006A444B" w:rsidRDefault="00BF14E0" w:rsidP="00BF14E0">
      <w:pPr>
        <w:rPr>
          <w:lang w:val="en-US"/>
        </w:rPr>
      </w:pPr>
      <w:r w:rsidRPr="006A444B">
        <w:rPr>
          <w:lang w:val="en-US"/>
        </w:rPr>
        <w:t>Amateur weak-signal communication at VHF is making systematic use of transient modes of propagation such as extended troposcatter and reflections from aurora, meteor trails and the moon, which other services generally dismiss as ‘unreliable’ and are therefore receiving relatively little professional attention. In contrast, amateurs are using these modes of propagation for communication over distances 1 000 km and more, while moon-bounce communication spans all three ITU Regions. This type of operation uses SSB and Morse</w:t>
      </w:r>
      <w:r>
        <w:rPr>
          <w:lang w:val="en-US"/>
        </w:rPr>
        <w:t xml:space="preserve"> in a similar manner to HF, but </w:t>
      </w:r>
      <w:r w:rsidRPr="006A444B">
        <w:rPr>
          <w:lang w:val="en-US"/>
        </w:rPr>
        <w:t>makes more regular use of extremely weak and fading signals, often at signal/noise ratios down to 0 dB and using special protocols to capture information fro</w:t>
      </w:r>
      <w:r>
        <w:rPr>
          <w:lang w:val="en-US"/>
        </w:rPr>
        <w:t>m any brief enhancements. Newer </w:t>
      </w:r>
      <w:r w:rsidRPr="006A444B">
        <w:rPr>
          <w:lang w:val="en-US"/>
        </w:rPr>
        <w:t>digital modes are now capable of communication at 10</w:t>
      </w:r>
      <w:r w:rsidRPr="006A444B">
        <w:rPr>
          <w:lang w:val="en-US"/>
        </w:rPr>
        <w:noBreakHyphen/>
        <w:t xml:space="preserve">20 dB below the audible threshold. </w:t>
      </w:r>
    </w:p>
    <w:p w:rsidR="00BF14E0" w:rsidRPr="006A444B" w:rsidRDefault="00BF14E0" w:rsidP="00BF14E0">
      <w:pPr>
        <w:rPr>
          <w:lang w:val="en-US"/>
        </w:rPr>
      </w:pPr>
      <w:r w:rsidRPr="006A444B">
        <w:rPr>
          <w:lang w:val="en-US"/>
        </w:rPr>
        <w:t>These unique features make amateur VHF weak-signal communication extremely sensitive to any increase in the background noise level. The degree of protection required is comparable to radio astronomy.</w:t>
      </w:r>
    </w:p>
    <w:p w:rsidR="00BF14E0" w:rsidRPr="00BF14E0" w:rsidRDefault="00BF14E0" w:rsidP="00BF14E0">
      <w:pPr>
        <w:pStyle w:val="Heading3"/>
      </w:pPr>
      <w:bookmarkStart w:id="13" w:name="_Toc265129537"/>
      <w:r w:rsidRPr="00BF14E0">
        <w:t>3.2.1</w:t>
      </w:r>
      <w:r w:rsidRPr="00BF14E0">
        <w:tab/>
        <w:t>Background noise levels in the 144</w:t>
      </w:r>
      <w:r w:rsidRPr="00BF14E0">
        <w:noBreakHyphen/>
        <w:t>148 MHz band</w:t>
      </w:r>
      <w:bookmarkEnd w:id="13"/>
    </w:p>
    <w:p w:rsidR="00BF14E0" w:rsidRPr="006A444B" w:rsidRDefault="00BF14E0" w:rsidP="00476850">
      <w:pPr>
        <w:rPr>
          <w:b/>
          <w:sz w:val="28"/>
          <w:szCs w:val="28"/>
          <w:lang w:val="en-US"/>
        </w:rPr>
      </w:pPr>
      <w:r w:rsidRPr="006A444B">
        <w:rPr>
          <w:lang w:val="en-US"/>
        </w:rPr>
        <w:t>Recommendation ITU-R P.372-10 establishes that, in ‘quiet rural’ areas, background noise at these frequencies is dominated by sky noise, particularly from the Sun which appears as a quasi-point source, and from our own galaxy (the Milky Way), which appears as a broad belt of strong emission. From Rec</w:t>
      </w:r>
      <w:r w:rsidR="00476850">
        <w:rPr>
          <w:lang w:val="en-US"/>
        </w:rPr>
        <w:t>ommendation</w:t>
      </w:r>
      <w:r w:rsidRPr="006A444B">
        <w:rPr>
          <w:lang w:val="en-US"/>
        </w:rPr>
        <w:t xml:space="preserve"> ITU</w:t>
      </w:r>
      <w:r w:rsidRPr="006A444B">
        <w:rPr>
          <w:lang w:val="en-US"/>
        </w:rPr>
        <w:noBreakHyphen/>
        <w:t>R P.372, the median noise figure for galactic noise is about 0 dB relative to kTb and from equation (8) in Rec</w:t>
      </w:r>
      <w:r w:rsidR="00476850">
        <w:rPr>
          <w:lang w:val="en-US"/>
        </w:rPr>
        <w:t>ommendation</w:t>
      </w:r>
      <w:r w:rsidRPr="006A444B">
        <w:rPr>
          <w:lang w:val="en-US"/>
        </w:rPr>
        <w:t xml:space="preserve"> ITU</w:t>
      </w:r>
      <w:r w:rsidR="00476850">
        <w:rPr>
          <w:lang w:val="en-US"/>
        </w:rPr>
        <w:t>-R P.372, this corresponds to a </w:t>
      </w:r>
      <w:r w:rsidRPr="006A444B">
        <w:rPr>
          <w:lang w:val="en-US"/>
        </w:rPr>
        <w:t>field strength of −21.6 dB</w:t>
      </w:r>
      <w:r w:rsidRPr="006A444B">
        <w:rPr>
          <w:rFonts w:ascii="Symbol" w:hAnsi="Symbol"/>
          <w:lang w:val="en-US"/>
        </w:rPr>
        <w:t></w:t>
      </w:r>
      <w:r w:rsidRPr="006A444B">
        <w:rPr>
          <w:lang w:val="en-US"/>
        </w:rPr>
        <w:t xml:space="preserve">V/m. </w:t>
      </w:r>
    </w:p>
    <w:p w:rsidR="00BF14E0" w:rsidRPr="00476850" w:rsidRDefault="00BF14E0" w:rsidP="00476850">
      <w:pPr>
        <w:pStyle w:val="Heading3"/>
      </w:pPr>
      <w:bookmarkStart w:id="14" w:name="_Toc265129538"/>
      <w:r w:rsidRPr="00476850">
        <w:t>3.2.2</w:t>
      </w:r>
      <w:r w:rsidRPr="00476850">
        <w:tab/>
        <w:t>Characteristics of amateur stations in the 144</w:t>
      </w:r>
      <w:r w:rsidRPr="00476850">
        <w:noBreakHyphen/>
        <w:t>148 MHz band</w:t>
      </w:r>
      <w:bookmarkEnd w:id="14"/>
    </w:p>
    <w:p w:rsidR="00BF14E0" w:rsidRPr="006A444B" w:rsidRDefault="00BF14E0" w:rsidP="00BF14E0">
      <w:pPr>
        <w:rPr>
          <w:lang w:val="en-US"/>
        </w:rPr>
      </w:pPr>
      <w:r w:rsidRPr="006A444B">
        <w:rPr>
          <w:lang w:val="en-US"/>
        </w:rPr>
        <w:t>For this kind of VHF weak-signal operation, a well equipped</w:t>
      </w:r>
      <w:r w:rsidR="00476850">
        <w:rPr>
          <w:lang w:val="en-US"/>
        </w:rPr>
        <w:t xml:space="preserve"> amateur station aims to have a </w:t>
      </w:r>
      <w:r w:rsidRPr="006A444B">
        <w:rPr>
          <w:lang w:val="en-US"/>
        </w:rPr>
        <w:t>receiving system noise figure that is dominated by external noise, so</w:t>
      </w:r>
      <w:r w:rsidR="00476850">
        <w:rPr>
          <w:lang w:val="en-US"/>
        </w:rPr>
        <w:t xml:space="preserve"> the receiver itself may have a </w:t>
      </w:r>
      <w:r w:rsidRPr="006A444B">
        <w:rPr>
          <w:lang w:val="en-US"/>
        </w:rPr>
        <w:t>noise figure of less than 1 dB with feeder loss of under 1 dB. High-gain beam antennas are always used, with forward gains as high as 15 to 20 dBd and corresp</w:t>
      </w:r>
      <w:r w:rsidR="00476850">
        <w:rPr>
          <w:lang w:val="en-US"/>
        </w:rPr>
        <w:t>ondingly narrow beamwidths. The </w:t>
      </w:r>
      <w:r w:rsidRPr="006A444B">
        <w:rPr>
          <w:lang w:val="en-US"/>
        </w:rPr>
        <w:t>receiver noise floor would be equivalent to a level at the antenna of 28 nV in a 3 kHz bandwidth: with a dipole antenna in free space, this would correspond to a field strength of −21 dB</w:t>
      </w:r>
      <w:r w:rsidRPr="006A444B">
        <w:rPr>
          <w:rFonts w:ascii="Symbol" w:hAnsi="Symbol"/>
          <w:lang w:val="en-US"/>
        </w:rPr>
        <w:t></w:t>
      </w:r>
      <w:r w:rsidRPr="006A444B">
        <w:rPr>
          <w:lang w:val="en-US"/>
        </w:rPr>
        <w:t>V/m.</w:t>
      </w:r>
    </w:p>
    <w:p w:rsidR="00476850" w:rsidRDefault="00476850">
      <w:pPr>
        <w:tabs>
          <w:tab w:val="clear" w:pos="794"/>
          <w:tab w:val="clear" w:pos="1191"/>
          <w:tab w:val="clear" w:pos="1588"/>
          <w:tab w:val="clear" w:pos="1985"/>
        </w:tabs>
        <w:overflowPunct/>
        <w:autoSpaceDE/>
        <w:autoSpaceDN/>
        <w:adjustRightInd/>
        <w:spacing w:before="0"/>
        <w:textAlignment w:val="auto"/>
        <w:rPr>
          <w:lang w:val="en-US"/>
        </w:rPr>
      </w:pPr>
      <w:r>
        <w:rPr>
          <w:lang w:val="en-US"/>
        </w:rPr>
        <w:br w:type="page"/>
      </w:r>
    </w:p>
    <w:p w:rsidR="00BF14E0" w:rsidRPr="006A444B" w:rsidRDefault="00BF14E0" w:rsidP="00BF14E0">
      <w:pPr>
        <w:rPr>
          <w:lang w:val="en-US"/>
        </w:rPr>
      </w:pPr>
      <w:r w:rsidRPr="006A444B">
        <w:rPr>
          <w:lang w:val="en-US"/>
        </w:rPr>
        <w:t xml:space="preserve">It must be noted again that communication routinely takes place using </w:t>
      </w:r>
      <w:r w:rsidR="00476850">
        <w:rPr>
          <w:lang w:val="en-US"/>
        </w:rPr>
        <w:t>signals at the noise floor; and </w:t>
      </w:r>
      <w:r w:rsidRPr="006A444B">
        <w:rPr>
          <w:lang w:val="en-US"/>
        </w:rPr>
        <w:t>with digital modes, 10</w:t>
      </w:r>
      <w:r w:rsidRPr="006A444B">
        <w:rPr>
          <w:lang w:val="en-US"/>
        </w:rPr>
        <w:noBreakHyphen/>
        <w:t xml:space="preserve">20 dB below it. With weak and fading signals, it may only be possible to transfer data during occasional peaks of improved signal/noise ratio, so the </w:t>
      </w:r>
      <w:r w:rsidRPr="00580FF1">
        <w:rPr>
          <w:bCs/>
          <w:lang w:val="en-US"/>
        </w:rPr>
        <w:t>duration</w:t>
      </w:r>
      <w:r w:rsidRPr="006A444B">
        <w:rPr>
          <w:lang w:val="en-US"/>
        </w:rPr>
        <w:t xml:space="preserve"> of these peaks is of critical importance. Even a small increase in the external noise floor can dramatically reduce the amount of time available for the transfer of data.</w:t>
      </w:r>
    </w:p>
    <w:p w:rsidR="00BF14E0" w:rsidRPr="006A444B" w:rsidRDefault="00BF14E0" w:rsidP="00BF14E0">
      <w:pPr>
        <w:pStyle w:val="Heading3"/>
        <w:rPr>
          <w:lang w:val="en-US"/>
        </w:rPr>
      </w:pPr>
      <w:bookmarkStart w:id="15" w:name="_Toc265129539"/>
      <w:r w:rsidRPr="006A444B">
        <w:rPr>
          <w:lang w:val="en-US"/>
        </w:rPr>
        <w:t>3.2.3</w:t>
      </w:r>
      <w:r w:rsidRPr="006A444B">
        <w:rPr>
          <w:lang w:val="en-US"/>
        </w:rPr>
        <w:tab/>
        <w:t>Protection requirements</w:t>
      </w:r>
      <w:bookmarkEnd w:id="15"/>
    </w:p>
    <w:p w:rsidR="00BF14E0" w:rsidRPr="006A444B" w:rsidRDefault="00BF14E0" w:rsidP="00BF14E0">
      <w:pPr>
        <w:rPr>
          <w:lang w:val="en-US"/>
        </w:rPr>
      </w:pPr>
      <w:r w:rsidRPr="006A444B">
        <w:rPr>
          <w:lang w:val="en-US"/>
        </w:rPr>
        <w:t>To provide no more than a 0.05 dB degradation in the received SNR, which is consistent with the requirements of other services in this frequency range, the radiation from PLT, both at its fundamental and at harmonics falling in the 144</w:t>
      </w:r>
      <w:r w:rsidRPr="006A444B">
        <w:rPr>
          <w:lang w:val="en-US"/>
        </w:rPr>
        <w:noBreakHyphen/>
        <w:t>148 MHz band needs to be lower than the system noise floor by some 20 dB: i.e. measured at the antenna main lobe, it should be less than −41 dB</w:t>
      </w:r>
      <w:r w:rsidRPr="006A444B">
        <w:rPr>
          <w:rFonts w:ascii="Symbol" w:hAnsi="Symbol"/>
          <w:lang w:val="en-US"/>
        </w:rPr>
        <w:t></w:t>
      </w:r>
      <w:r w:rsidRPr="006A444B">
        <w:rPr>
          <w:lang w:val="en-US"/>
        </w:rPr>
        <w:t>V/m. It is fair to assume that the amateur antenna should be separated from the PLT installation by 10 metres; but amateur stations are installed in home properties, so greater separation distances should not be assumed.</w:t>
      </w:r>
    </w:p>
    <w:p w:rsidR="00BF14E0" w:rsidRPr="006A444B" w:rsidRDefault="00BF14E0" w:rsidP="00BF14E0">
      <w:pPr>
        <w:pStyle w:val="Heading3"/>
        <w:rPr>
          <w:lang w:val="en-US"/>
        </w:rPr>
      </w:pPr>
      <w:bookmarkStart w:id="16" w:name="_Toc265129540"/>
      <w:r w:rsidRPr="006A444B">
        <w:rPr>
          <w:lang w:val="en-US"/>
        </w:rPr>
        <w:t>3.2.4</w:t>
      </w:r>
      <w:r w:rsidRPr="006A444B">
        <w:rPr>
          <w:lang w:val="en-US"/>
        </w:rPr>
        <w:tab/>
        <w:t>Conclusion</w:t>
      </w:r>
      <w:bookmarkEnd w:id="16"/>
    </w:p>
    <w:p w:rsidR="00BF14E0" w:rsidRPr="006A444B" w:rsidRDefault="00BF14E0" w:rsidP="00BF14E0">
      <w:pPr>
        <w:rPr>
          <w:lang w:val="en-US"/>
        </w:rPr>
      </w:pPr>
      <w:r w:rsidRPr="006A444B">
        <w:rPr>
          <w:lang w:val="en-US"/>
        </w:rPr>
        <w:t>To provide adequate protection to weak-signal operations by the amateur services in the 144</w:t>
      </w:r>
      <w:r w:rsidRPr="006A444B">
        <w:rPr>
          <w:lang w:val="en-US"/>
        </w:rPr>
        <w:noBreakHyphen/>
        <w:t>148 MHz frequency range, radiation from PLT devices and installations should not exceed −41 dB</w:t>
      </w:r>
      <w:r w:rsidRPr="006A444B">
        <w:rPr>
          <w:rFonts w:ascii="Symbol" w:hAnsi="Symbol"/>
          <w:szCs w:val="24"/>
          <w:lang w:val="en-US"/>
        </w:rPr>
        <w:t></w:t>
      </w:r>
      <w:r w:rsidRPr="006A444B">
        <w:rPr>
          <w:szCs w:val="24"/>
          <w:lang w:val="en-US"/>
        </w:rPr>
        <w:t>V/m at a distance of 10 metres, in a 3 kHz bandwidth.</w:t>
      </w:r>
    </w:p>
    <w:p w:rsidR="00BF14E0" w:rsidRPr="006A444B" w:rsidRDefault="00BF14E0" w:rsidP="00BF14E0">
      <w:pPr>
        <w:pStyle w:val="Heading2"/>
        <w:rPr>
          <w:lang w:val="en-US" w:eastAsia="de-DE"/>
        </w:rPr>
      </w:pPr>
      <w:bookmarkStart w:id="17" w:name="_Toc265129541"/>
      <w:r w:rsidRPr="006A444B">
        <w:rPr>
          <w:lang w:val="en-US" w:eastAsia="de-DE"/>
        </w:rPr>
        <w:t>3.3</w:t>
      </w:r>
      <w:r w:rsidRPr="006A444B">
        <w:rPr>
          <w:lang w:val="en-US" w:eastAsia="de-DE"/>
        </w:rPr>
        <w:tab/>
        <w:t>Maritime mobile service including Global Maritime Distress and Safety System (GMDSS); aeronautical mobile service and radiodetermination service</w:t>
      </w:r>
      <w:bookmarkEnd w:id="17"/>
    </w:p>
    <w:p w:rsidR="00BF14E0" w:rsidRPr="006A444B" w:rsidRDefault="00BF14E0" w:rsidP="00BF14E0">
      <w:pPr>
        <w:rPr>
          <w:lang w:val="en-US"/>
        </w:rPr>
      </w:pPr>
      <w:r w:rsidRPr="006A444B">
        <w:rPr>
          <w:lang w:val="en-US"/>
        </w:rPr>
        <w:t>From the perspective of the radiocommunication services under the purview of Working Party 5B, WP</w:t>
      </w:r>
      <w:r w:rsidR="00476850">
        <w:rPr>
          <w:lang w:val="en-US"/>
        </w:rPr>
        <w:t> </w:t>
      </w:r>
      <w:r w:rsidRPr="006A444B">
        <w:rPr>
          <w:lang w:val="en-US"/>
        </w:rPr>
        <w:t>5B notes the particular problems of protecting airborne radiocommunication and radionavigation systems from a dense population of sources of radio-frequency radiation from the ground.</w:t>
      </w:r>
    </w:p>
    <w:p w:rsidR="00BF14E0" w:rsidRPr="006A444B" w:rsidRDefault="00BF14E0" w:rsidP="00BF14E0">
      <w:pPr>
        <w:rPr>
          <w:lang w:val="en-US"/>
        </w:rPr>
      </w:pPr>
      <w:r w:rsidRPr="006A444B">
        <w:rPr>
          <w:lang w:val="en-US"/>
        </w:rPr>
        <w:t xml:space="preserve">Several studies confirm that noise from PLT devices can produce noise 20-40 dB higher than background noise, even up to levels comparable with the required minimum field strength for radiocommunication services. No explanation is offered why PLT devices should be allowed to inject extraneous noise into the environment at levels considerably greater than properly established standards and practice. In previous ITU-R studies, a 1% increase in noise temperature is reserved for the aggregate of all interference from other sources. As a result, it may be appropriate for Working Party 1A to study whether some portion of the allowed 1% increase in noise temperature should be used as the limit for the aggregate of all unintentional radiators, such as PLT devices, to aeronautical and maritime services, in particular, recognizing their safety of life applications. </w:t>
      </w:r>
    </w:p>
    <w:p w:rsidR="00BF14E0" w:rsidRPr="006A444B" w:rsidRDefault="00BF14E0" w:rsidP="00BF14E0">
      <w:pPr>
        <w:rPr>
          <w:lang w:val="en-US"/>
        </w:rPr>
      </w:pPr>
      <w:r w:rsidRPr="006A444B">
        <w:rPr>
          <w:lang w:val="en-US"/>
        </w:rPr>
        <w:t>It is not clear to WP 5B how a “silicon mask” and “toolkit” that are included in the specification of ITU-T Recommendation G.9960 for regulatory purposes can be effective. Even if the capability to restrict power or frequency use were used, what would be its effectiveness when there is free circulation of this type of equipment? There is no certainty that restrictions (if any) made by one Administration will be applicable or relevant to another. Based on studies to date, WP 5B is not convinced that notching provides an adequate level of protection.</w:t>
      </w:r>
    </w:p>
    <w:p w:rsidR="00BF14E0" w:rsidRPr="006A444B" w:rsidRDefault="00BF14E0" w:rsidP="00BF14E0">
      <w:pPr>
        <w:rPr>
          <w:lang w:val="en-US"/>
        </w:rPr>
      </w:pPr>
      <w:r w:rsidRPr="006A444B">
        <w:rPr>
          <w:lang w:val="en-US"/>
        </w:rPr>
        <w:t>W</w:t>
      </w:r>
      <w:r w:rsidR="00476850">
        <w:rPr>
          <w:lang w:val="en-US"/>
        </w:rPr>
        <w:t xml:space="preserve">orking </w:t>
      </w:r>
      <w:r w:rsidRPr="006A444B">
        <w:rPr>
          <w:lang w:val="en-US"/>
        </w:rPr>
        <w:t>P</w:t>
      </w:r>
      <w:r w:rsidR="00476850">
        <w:rPr>
          <w:lang w:val="en-US"/>
        </w:rPr>
        <w:t>arty</w:t>
      </w:r>
      <w:r w:rsidRPr="006A444B">
        <w:rPr>
          <w:lang w:val="en-US"/>
        </w:rPr>
        <w:t> 5B considers that there is a need for Working Party 1A to investigate the level of aggregate interference from PLT devices. The effect of aggregation will be most severe on airborne radiocommunication and radio navigation systems because of the large area in view and the fact that aeronautical services have largely been planned on the basis of exclusive use of the bands allocated to the aeronautical mobile services and the aeronautical radionavigation service. The new work stream in WP 1A on the topic of power grid management using PLT connectivity and the continuing work in ITU-T WP</w:t>
      </w:r>
      <w:r w:rsidR="00476850">
        <w:rPr>
          <w:lang w:val="en-US"/>
        </w:rPr>
        <w:t xml:space="preserve"> </w:t>
      </w:r>
      <w:r w:rsidRPr="006A444B">
        <w:rPr>
          <w:lang w:val="en-US"/>
        </w:rPr>
        <w:t xml:space="preserve">1/15 on ITU-T Recommendation G.9960, lead together to the conclusion that, rather than having around 30% penetration with 2 to 4 modems per household for broadband connectivity (see section A.2.4.3 of Report ITU-R SM.2158), many items of electrical equipment are expected to incorporate PLT chips for the purposes of power grid management. </w:t>
      </w:r>
    </w:p>
    <w:p w:rsidR="00BF14E0" w:rsidRPr="006A444B" w:rsidRDefault="00BF14E0" w:rsidP="00BF14E0">
      <w:pPr>
        <w:rPr>
          <w:lang w:val="en-US"/>
        </w:rPr>
      </w:pPr>
      <w:r w:rsidRPr="006A444B">
        <w:rPr>
          <w:lang w:val="en-US"/>
        </w:rPr>
        <w:t>W</w:t>
      </w:r>
      <w:r w:rsidR="00476850">
        <w:rPr>
          <w:lang w:val="en-US"/>
        </w:rPr>
        <w:t xml:space="preserve">orking </w:t>
      </w:r>
      <w:r w:rsidRPr="006A444B">
        <w:rPr>
          <w:lang w:val="en-US"/>
        </w:rPr>
        <w:t>P</w:t>
      </w:r>
      <w:r w:rsidR="00476850">
        <w:rPr>
          <w:lang w:val="en-US"/>
        </w:rPr>
        <w:t>arty</w:t>
      </w:r>
      <w:r w:rsidRPr="006A444B">
        <w:rPr>
          <w:lang w:val="en-US"/>
        </w:rPr>
        <w:t> 5B concludes that the intent and methodology o</w:t>
      </w:r>
      <w:r w:rsidR="00580FF1">
        <w:rPr>
          <w:lang w:val="en-US"/>
        </w:rPr>
        <w:t>f the PDNR fails to recommend a </w:t>
      </w:r>
      <w:r w:rsidRPr="006A444B">
        <w:rPr>
          <w:lang w:val="en-US"/>
        </w:rPr>
        <w:t xml:space="preserve">method consistent with established EMC standards or limits for developing protection requirements, that should be met by sources of unintended radiation, such as from PLT devices. </w:t>
      </w:r>
    </w:p>
    <w:p w:rsidR="00BF14E0" w:rsidRPr="006A444B" w:rsidRDefault="00BF14E0" w:rsidP="00BF14E0">
      <w:pPr>
        <w:rPr>
          <w:lang w:val="en-US"/>
        </w:rPr>
      </w:pPr>
      <w:r w:rsidRPr="006A444B">
        <w:rPr>
          <w:lang w:val="en-US"/>
        </w:rPr>
        <w:t>Regarding the information on the protection requirements for aero</w:t>
      </w:r>
      <w:r w:rsidR="00580FF1">
        <w:rPr>
          <w:lang w:val="en-US"/>
        </w:rPr>
        <w:t>nautical radiocommunication and </w:t>
      </w:r>
      <w:r w:rsidRPr="006A444B">
        <w:rPr>
          <w:lang w:val="en-US"/>
        </w:rPr>
        <w:t xml:space="preserve">radionavigation systems, WP 5B advises that the material included in Report </w:t>
      </w:r>
      <w:r w:rsidR="00580FF1">
        <w:rPr>
          <w:lang w:val="en-US"/>
        </w:rPr>
        <w:t>ITU-R SM.2057 on </w:t>
      </w:r>
      <w:r w:rsidRPr="006A444B">
        <w:rPr>
          <w:lang w:val="en-US"/>
        </w:rPr>
        <w:t>ultra-wideband devices, may serve as an initial reference. However, noting the suggested limit above of 1% for the allowed increase in noise temperature, a table of protection requirements has been adapted, which is provided in Table 1.</w:t>
      </w:r>
    </w:p>
    <w:p w:rsidR="00BF14E0" w:rsidRPr="006A444B" w:rsidRDefault="00BF14E0" w:rsidP="00BF14E0">
      <w:pPr>
        <w:rPr>
          <w:lang w:val="en-US" w:eastAsia="en-GB"/>
        </w:rPr>
      </w:pPr>
      <w:r w:rsidRPr="006A444B">
        <w:rPr>
          <w:lang w:val="en-US"/>
        </w:rPr>
        <w:t>W</w:t>
      </w:r>
      <w:r w:rsidR="00476850">
        <w:rPr>
          <w:lang w:val="en-US"/>
        </w:rPr>
        <w:t xml:space="preserve">orking </w:t>
      </w:r>
      <w:r w:rsidRPr="006A444B">
        <w:rPr>
          <w:lang w:val="en-US"/>
        </w:rPr>
        <w:t>P</w:t>
      </w:r>
      <w:r w:rsidR="00476850">
        <w:rPr>
          <w:lang w:val="en-US"/>
        </w:rPr>
        <w:t>arty</w:t>
      </w:r>
      <w:r w:rsidRPr="006A444B">
        <w:rPr>
          <w:lang w:val="en-US"/>
        </w:rPr>
        <w:t xml:space="preserve"> 5B further notes that </w:t>
      </w:r>
      <w:r w:rsidRPr="006A444B">
        <w:rPr>
          <w:lang w:val="en-US" w:eastAsia="en-GB"/>
        </w:rPr>
        <w:t>during the work on ultra wideband devices, two aggregation models were used to calculate the aggregated level of ultra wid</w:t>
      </w:r>
      <w:r w:rsidR="00476850">
        <w:rPr>
          <w:lang w:val="en-US" w:eastAsia="en-GB"/>
        </w:rPr>
        <w:t>eband signals at the body of an </w:t>
      </w:r>
      <w:r w:rsidRPr="006A444B">
        <w:rPr>
          <w:lang w:val="en-US" w:eastAsia="en-GB"/>
        </w:rPr>
        <w:t>aircraft for a given aircraft altitude, ultra wideband device d</w:t>
      </w:r>
      <w:r w:rsidR="00476850">
        <w:rPr>
          <w:lang w:val="en-US" w:eastAsia="en-GB"/>
        </w:rPr>
        <w:t>ensity and radiated power. Both </w:t>
      </w:r>
      <w:r w:rsidRPr="006A444B">
        <w:rPr>
          <w:lang w:val="en-US" w:eastAsia="en-GB"/>
        </w:rPr>
        <w:t xml:space="preserve">models provided the same results. For the purposes of carrying out an assessment of aggregate levels of PLT interference at an aircraft hull, </w:t>
      </w:r>
      <w:r w:rsidRPr="006A444B">
        <w:rPr>
          <w:lang w:val="en-US"/>
        </w:rPr>
        <w:t xml:space="preserve">WP 5B recommends that WP 1A </w:t>
      </w:r>
      <w:r w:rsidRPr="006A444B">
        <w:rPr>
          <w:lang w:val="en-US" w:eastAsia="en-GB"/>
        </w:rPr>
        <w:t xml:space="preserve">consider the use of the model described in section 3.1.2.2.1 of Report ITU-R SM.2057 and editorially adjusted for PLT, attached in Annex 2 to this document (Section A2.3) as being the more convenient for assessing the cumulative impact of PLT devices. </w:t>
      </w:r>
    </w:p>
    <w:p w:rsidR="00BF14E0" w:rsidRPr="006A444B" w:rsidRDefault="00BF14E0" w:rsidP="00BF14E0">
      <w:pPr>
        <w:rPr>
          <w:lang w:val="en-US"/>
        </w:rPr>
      </w:pPr>
      <w:r w:rsidRPr="006A444B">
        <w:rPr>
          <w:lang w:val="en-US"/>
        </w:rPr>
        <w:t>A summary of protection requirements supplementing those given in Report ITU-R SM.2057 for applications in the maritime mobile service and the radiodeterminat</w:t>
      </w:r>
      <w:r w:rsidR="00476850">
        <w:rPr>
          <w:lang w:val="en-US"/>
        </w:rPr>
        <w:t>ion service is given in Section </w:t>
      </w:r>
      <w:r w:rsidRPr="006A444B">
        <w:rPr>
          <w:lang w:val="en-US"/>
        </w:rPr>
        <w:t>3.3.1 below.</w:t>
      </w:r>
    </w:p>
    <w:p w:rsidR="00BF14E0" w:rsidRPr="006A444B" w:rsidRDefault="00BF14E0" w:rsidP="00BF14E0">
      <w:pPr>
        <w:rPr>
          <w:lang w:val="en-US"/>
        </w:rPr>
      </w:pPr>
      <w:r w:rsidRPr="006A444B">
        <w:rPr>
          <w:lang w:val="en-US"/>
        </w:rPr>
        <w:t>Annex A2.2 contains a study dealing with the compatibility of aeronautical mobile and aeronautical radionavigation services and PLT systems in the frequency range of 30 to 380 MHz.</w:t>
      </w:r>
    </w:p>
    <w:p w:rsidR="00BF14E0" w:rsidRPr="006A444B" w:rsidRDefault="00BF14E0" w:rsidP="00BF14E0">
      <w:pPr>
        <w:overflowPunct/>
        <w:autoSpaceDE/>
        <w:autoSpaceDN/>
        <w:adjustRightInd/>
        <w:spacing w:before="0"/>
        <w:textAlignment w:val="auto"/>
        <w:rPr>
          <w:lang w:val="en-US" w:eastAsia="zh-CN"/>
        </w:rPr>
      </w:pPr>
    </w:p>
    <w:p w:rsidR="00BF14E0" w:rsidRPr="006A444B" w:rsidRDefault="00BF14E0" w:rsidP="00BF14E0">
      <w:pPr>
        <w:rPr>
          <w:lang w:val="en-US"/>
        </w:rPr>
        <w:sectPr w:rsidR="00BF14E0" w:rsidRPr="006A444B" w:rsidSect="00BF14E0">
          <w:headerReference w:type="default" r:id="rId9"/>
          <w:footerReference w:type="default" r:id="rId10"/>
          <w:footerReference w:type="first" r:id="rId11"/>
          <w:pgSz w:w="11907" w:h="16834"/>
          <w:pgMar w:top="1418" w:right="1134" w:bottom="1418" w:left="1134" w:header="720" w:footer="720" w:gutter="0"/>
          <w:paperSrc w:first="15" w:other="15"/>
          <w:cols w:space="720"/>
          <w:titlePg/>
        </w:sectPr>
      </w:pPr>
    </w:p>
    <w:p w:rsidR="00BF14E0" w:rsidRPr="00476850" w:rsidRDefault="00BF14E0" w:rsidP="00476850">
      <w:pPr>
        <w:pStyle w:val="TableNo"/>
        <w:rPr>
          <w:sz w:val="20"/>
        </w:rPr>
      </w:pPr>
      <w:r w:rsidRPr="00476850">
        <w:rPr>
          <w:sz w:val="20"/>
        </w:rPr>
        <w:t>Table 1</w:t>
      </w:r>
    </w:p>
    <w:p w:rsidR="00BF14E0" w:rsidRPr="00476850" w:rsidRDefault="00BF14E0" w:rsidP="00476850">
      <w:pPr>
        <w:pStyle w:val="Tabletitle"/>
        <w:rPr>
          <w:b w:val="0"/>
          <w:bCs/>
          <w:sz w:val="20"/>
          <w:lang w:val="en-US"/>
        </w:rPr>
      </w:pPr>
      <w:r w:rsidRPr="00476850">
        <w:rPr>
          <w:sz w:val="20"/>
          <w:lang w:val="en-US"/>
        </w:rPr>
        <w:t xml:space="preserve">Initial maximum </w:t>
      </w:r>
      <w:r w:rsidRPr="00476850">
        <w:rPr>
          <w:sz w:val="20"/>
        </w:rPr>
        <w:t>tolerable</w:t>
      </w:r>
      <w:r w:rsidRPr="00476850">
        <w:rPr>
          <w:sz w:val="20"/>
          <w:lang w:val="en-US"/>
        </w:rPr>
        <w:t xml:space="preserve"> value of interference for systems operating in </w:t>
      </w:r>
      <w:r w:rsidRPr="00476850">
        <w:rPr>
          <w:sz w:val="20"/>
          <w:lang w:val="en-US" w:eastAsia="en-GB"/>
        </w:rPr>
        <w:t>aeronautical services</w:t>
      </w:r>
      <w:r w:rsidRPr="00476850">
        <w:rPr>
          <w:sz w:val="20"/>
          <w:lang w:val="en-US" w:eastAsia="en-GB"/>
        </w:rPr>
        <w:br/>
      </w:r>
      <w:r w:rsidRPr="00476850">
        <w:rPr>
          <w:bCs/>
          <w:sz w:val="20"/>
          <w:lang w:val="en-US"/>
        </w:rPr>
        <w:t>Signal level to be protected at the receive antenna</w:t>
      </w:r>
    </w:p>
    <w:tbl>
      <w:tblPr>
        <w:tblW w:w="13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47"/>
        <w:gridCol w:w="1473"/>
        <w:gridCol w:w="1880"/>
        <w:gridCol w:w="1020"/>
        <w:gridCol w:w="1235"/>
        <w:gridCol w:w="1080"/>
        <w:gridCol w:w="1260"/>
        <w:gridCol w:w="1260"/>
        <w:gridCol w:w="960"/>
        <w:gridCol w:w="1200"/>
        <w:gridCol w:w="1260"/>
      </w:tblGrid>
      <w:tr w:rsidR="00BF14E0" w:rsidRPr="00476850" w:rsidTr="00BF14E0">
        <w:trPr>
          <w:cantSplit/>
          <w:trHeight w:val="1545"/>
          <w:jc w:val="center"/>
        </w:trPr>
        <w:tc>
          <w:tcPr>
            <w:tcW w:w="2720" w:type="dxa"/>
            <w:gridSpan w:val="2"/>
            <w:vMerge w:val="restart"/>
            <w:tcMar>
              <w:top w:w="15" w:type="dxa"/>
              <w:left w:w="15" w:type="dxa"/>
              <w:bottom w:w="0" w:type="dxa"/>
              <w:right w:w="15" w:type="dxa"/>
            </w:tcMar>
          </w:tcPr>
          <w:p w:rsidR="00BF14E0" w:rsidRPr="00476850" w:rsidRDefault="00BF14E0" w:rsidP="00BF14E0">
            <w:pPr>
              <w:spacing w:before="0"/>
              <w:jc w:val="center"/>
              <w:rPr>
                <w:b/>
                <w:bCs/>
                <w:sz w:val="20"/>
                <w:lang w:val="en-US"/>
              </w:rPr>
            </w:pPr>
            <w:r w:rsidRPr="00476850">
              <w:rPr>
                <w:b/>
                <w:bCs/>
                <w:sz w:val="20"/>
                <w:lang w:val="en-US"/>
              </w:rPr>
              <w:t>System</w:t>
            </w:r>
          </w:p>
        </w:tc>
        <w:tc>
          <w:tcPr>
            <w:tcW w:w="1880" w:type="dxa"/>
            <w:vMerge w:val="restart"/>
            <w:tcMar>
              <w:top w:w="15" w:type="dxa"/>
              <w:left w:w="15" w:type="dxa"/>
              <w:bottom w:w="0" w:type="dxa"/>
              <w:right w:w="15" w:type="dxa"/>
            </w:tcMar>
          </w:tcPr>
          <w:p w:rsidR="00BF14E0" w:rsidRPr="00476850" w:rsidRDefault="00BF14E0" w:rsidP="00BF14E0">
            <w:pPr>
              <w:spacing w:before="0"/>
              <w:jc w:val="center"/>
              <w:rPr>
                <w:b/>
                <w:bCs/>
                <w:sz w:val="20"/>
                <w:lang w:val="en-US"/>
              </w:rPr>
            </w:pPr>
            <w:r w:rsidRPr="00476850">
              <w:rPr>
                <w:b/>
                <w:bCs/>
                <w:sz w:val="20"/>
                <w:lang w:val="en-US"/>
              </w:rPr>
              <w:t>Frequency band</w:t>
            </w:r>
          </w:p>
        </w:tc>
        <w:tc>
          <w:tcPr>
            <w:tcW w:w="1020" w:type="dxa"/>
            <w:vMerge w:val="restart"/>
            <w:tcMar>
              <w:top w:w="15" w:type="dxa"/>
              <w:left w:w="15" w:type="dxa"/>
              <w:bottom w:w="0" w:type="dxa"/>
              <w:right w:w="15" w:type="dxa"/>
            </w:tcMar>
          </w:tcPr>
          <w:p w:rsidR="00BF14E0" w:rsidRPr="00476850" w:rsidRDefault="00BF14E0" w:rsidP="00BF14E0">
            <w:pPr>
              <w:spacing w:before="0"/>
              <w:jc w:val="center"/>
              <w:rPr>
                <w:b/>
                <w:bCs/>
                <w:sz w:val="20"/>
                <w:lang w:val="en-US"/>
              </w:rPr>
            </w:pPr>
            <w:r w:rsidRPr="00476850">
              <w:rPr>
                <w:b/>
                <w:bCs/>
                <w:sz w:val="20"/>
                <w:lang w:val="en-US"/>
              </w:rPr>
              <w:t>Receiver location</w:t>
            </w:r>
          </w:p>
        </w:tc>
        <w:tc>
          <w:tcPr>
            <w:tcW w:w="2315" w:type="dxa"/>
            <w:gridSpan w:val="2"/>
            <w:tcMar>
              <w:top w:w="15" w:type="dxa"/>
              <w:left w:w="15" w:type="dxa"/>
              <w:bottom w:w="0" w:type="dxa"/>
              <w:right w:w="15" w:type="dxa"/>
            </w:tcMar>
          </w:tcPr>
          <w:p w:rsidR="00BF14E0" w:rsidRPr="00476850" w:rsidRDefault="00BF14E0" w:rsidP="00BF14E0">
            <w:pPr>
              <w:spacing w:before="0"/>
              <w:jc w:val="center"/>
              <w:rPr>
                <w:b/>
                <w:bCs/>
                <w:sz w:val="20"/>
                <w:lang w:val="en-US"/>
              </w:rPr>
            </w:pPr>
            <w:r w:rsidRPr="00476850">
              <w:rPr>
                <w:b/>
                <w:bCs/>
                <w:sz w:val="20"/>
                <w:lang w:val="en-US"/>
              </w:rPr>
              <w:t>Minimum level of desired signal</w:t>
            </w:r>
          </w:p>
        </w:tc>
        <w:tc>
          <w:tcPr>
            <w:tcW w:w="1260" w:type="dxa"/>
            <w:tcMar>
              <w:top w:w="15" w:type="dxa"/>
              <w:left w:w="15" w:type="dxa"/>
              <w:bottom w:w="0" w:type="dxa"/>
              <w:right w:w="15" w:type="dxa"/>
            </w:tcMar>
          </w:tcPr>
          <w:p w:rsidR="00BF14E0" w:rsidRPr="00476850" w:rsidRDefault="00BF14E0" w:rsidP="00BF14E0">
            <w:pPr>
              <w:spacing w:before="0"/>
              <w:jc w:val="center"/>
              <w:rPr>
                <w:b/>
                <w:bCs/>
                <w:sz w:val="20"/>
                <w:lang w:val="en-US"/>
              </w:rPr>
            </w:pPr>
            <w:r w:rsidRPr="00476850">
              <w:rPr>
                <w:b/>
                <w:bCs/>
                <w:sz w:val="20"/>
                <w:lang w:val="en-US"/>
              </w:rPr>
              <w:t>Required D/U (Note 1)</w:t>
            </w:r>
          </w:p>
        </w:tc>
        <w:tc>
          <w:tcPr>
            <w:tcW w:w="1260" w:type="dxa"/>
            <w:tcMar>
              <w:top w:w="15" w:type="dxa"/>
              <w:left w:w="15" w:type="dxa"/>
              <w:bottom w:w="0" w:type="dxa"/>
              <w:right w:w="15" w:type="dxa"/>
            </w:tcMar>
          </w:tcPr>
          <w:p w:rsidR="00BF14E0" w:rsidRPr="00476850" w:rsidRDefault="00BF14E0" w:rsidP="00BF14E0">
            <w:pPr>
              <w:spacing w:before="0"/>
              <w:jc w:val="center"/>
              <w:rPr>
                <w:b/>
                <w:bCs/>
                <w:sz w:val="20"/>
                <w:lang w:val="en-US"/>
              </w:rPr>
            </w:pPr>
            <w:r w:rsidRPr="00476850">
              <w:rPr>
                <w:b/>
                <w:bCs/>
                <w:sz w:val="20"/>
                <w:lang w:val="en-US"/>
              </w:rPr>
              <w:t>Receiver bandwidth</w:t>
            </w:r>
          </w:p>
        </w:tc>
        <w:tc>
          <w:tcPr>
            <w:tcW w:w="960" w:type="dxa"/>
            <w:tcMar>
              <w:top w:w="15" w:type="dxa"/>
              <w:left w:w="15" w:type="dxa"/>
              <w:bottom w:w="0" w:type="dxa"/>
              <w:right w:w="15" w:type="dxa"/>
            </w:tcMar>
          </w:tcPr>
          <w:p w:rsidR="00BF14E0" w:rsidRPr="00476850" w:rsidRDefault="00BF14E0" w:rsidP="00BF14E0">
            <w:pPr>
              <w:spacing w:before="0"/>
              <w:jc w:val="center"/>
              <w:rPr>
                <w:b/>
                <w:bCs/>
                <w:sz w:val="20"/>
                <w:lang w:val="en-US"/>
              </w:rPr>
            </w:pPr>
            <w:r w:rsidRPr="00476850">
              <w:rPr>
                <w:b/>
                <w:bCs/>
                <w:sz w:val="20"/>
                <w:lang w:val="en-US"/>
              </w:rPr>
              <w:t>Aviation safety margin</w:t>
            </w:r>
          </w:p>
        </w:tc>
        <w:tc>
          <w:tcPr>
            <w:tcW w:w="1200" w:type="dxa"/>
            <w:tcMar>
              <w:top w:w="15" w:type="dxa"/>
              <w:left w:w="15" w:type="dxa"/>
              <w:bottom w:w="0" w:type="dxa"/>
              <w:right w:w="15" w:type="dxa"/>
            </w:tcMar>
          </w:tcPr>
          <w:p w:rsidR="00BF14E0" w:rsidRPr="00476850" w:rsidRDefault="00BF14E0" w:rsidP="00BF14E0">
            <w:pPr>
              <w:spacing w:before="0"/>
              <w:jc w:val="center"/>
              <w:rPr>
                <w:b/>
                <w:bCs/>
                <w:sz w:val="20"/>
                <w:lang w:val="en-US"/>
              </w:rPr>
            </w:pPr>
            <w:r w:rsidRPr="00476850">
              <w:rPr>
                <w:b/>
                <w:bCs/>
                <w:sz w:val="20"/>
                <w:lang w:val="en-US"/>
              </w:rPr>
              <w:t>Multiple technology limit</w:t>
            </w:r>
          </w:p>
        </w:tc>
        <w:tc>
          <w:tcPr>
            <w:tcW w:w="1260" w:type="dxa"/>
            <w:tcMar>
              <w:top w:w="15" w:type="dxa"/>
              <w:left w:w="15" w:type="dxa"/>
              <w:bottom w:w="0" w:type="dxa"/>
              <w:right w:w="15" w:type="dxa"/>
            </w:tcMar>
          </w:tcPr>
          <w:p w:rsidR="00BF14E0" w:rsidRPr="00476850" w:rsidRDefault="00BF14E0" w:rsidP="00BF14E0">
            <w:pPr>
              <w:pStyle w:val="Tablehead"/>
              <w:rPr>
                <w:bCs/>
                <w:sz w:val="20"/>
                <w:lang w:val="en-US"/>
              </w:rPr>
            </w:pPr>
            <w:r w:rsidRPr="00476850">
              <w:rPr>
                <w:sz w:val="20"/>
                <w:lang w:val="en-US"/>
              </w:rPr>
              <w:t>Initial maximum tolerable value of interference</w:t>
            </w:r>
          </w:p>
        </w:tc>
      </w:tr>
      <w:tr w:rsidR="00BF14E0" w:rsidRPr="006A444B" w:rsidTr="00BF14E0">
        <w:trPr>
          <w:cantSplit/>
          <w:trHeight w:val="330"/>
          <w:jc w:val="center"/>
        </w:trPr>
        <w:tc>
          <w:tcPr>
            <w:tcW w:w="2720" w:type="dxa"/>
            <w:gridSpan w:val="2"/>
            <w:vMerge/>
            <w:vAlign w:val="center"/>
          </w:tcPr>
          <w:p w:rsidR="00BF14E0" w:rsidRPr="006A444B" w:rsidRDefault="00BF14E0" w:rsidP="00BF14E0">
            <w:pPr>
              <w:spacing w:before="0"/>
              <w:rPr>
                <w:b/>
                <w:bCs/>
                <w:sz w:val="20"/>
                <w:lang w:val="en-US"/>
              </w:rPr>
            </w:pPr>
          </w:p>
        </w:tc>
        <w:tc>
          <w:tcPr>
            <w:tcW w:w="1880" w:type="dxa"/>
            <w:vMerge/>
            <w:vAlign w:val="center"/>
          </w:tcPr>
          <w:p w:rsidR="00BF14E0" w:rsidRPr="006A444B" w:rsidRDefault="00BF14E0" w:rsidP="00BF14E0">
            <w:pPr>
              <w:spacing w:before="0"/>
              <w:rPr>
                <w:b/>
                <w:bCs/>
                <w:sz w:val="20"/>
                <w:lang w:val="en-US"/>
              </w:rPr>
            </w:pPr>
          </w:p>
        </w:tc>
        <w:tc>
          <w:tcPr>
            <w:tcW w:w="1020" w:type="dxa"/>
            <w:vMerge/>
            <w:vAlign w:val="center"/>
          </w:tcPr>
          <w:p w:rsidR="00BF14E0" w:rsidRPr="006A444B" w:rsidRDefault="00BF14E0" w:rsidP="00BF14E0">
            <w:pPr>
              <w:spacing w:before="0"/>
              <w:rPr>
                <w:b/>
                <w:bCs/>
                <w:sz w:val="20"/>
                <w:lang w:val="en-US"/>
              </w:rPr>
            </w:pPr>
          </w:p>
        </w:tc>
        <w:tc>
          <w:tcPr>
            <w:tcW w:w="1235" w:type="dxa"/>
            <w:tcMar>
              <w:top w:w="15" w:type="dxa"/>
              <w:left w:w="15" w:type="dxa"/>
              <w:bottom w:w="0" w:type="dxa"/>
              <w:right w:w="15" w:type="dxa"/>
            </w:tcMar>
          </w:tcPr>
          <w:p w:rsidR="00BF14E0" w:rsidRPr="006A444B" w:rsidRDefault="00BF14E0" w:rsidP="00BF14E0">
            <w:pPr>
              <w:spacing w:before="0"/>
              <w:jc w:val="center"/>
              <w:rPr>
                <w:b/>
                <w:bCs/>
                <w:sz w:val="20"/>
                <w:lang w:val="en-US"/>
              </w:rPr>
            </w:pPr>
            <w:r w:rsidRPr="006A444B">
              <w:rPr>
                <w:b/>
                <w:bCs/>
                <w:sz w:val="20"/>
                <w:lang w:val="en-US"/>
              </w:rPr>
              <w:t>(µV/m)</w:t>
            </w:r>
          </w:p>
        </w:tc>
        <w:tc>
          <w:tcPr>
            <w:tcW w:w="1080" w:type="dxa"/>
            <w:tcMar>
              <w:top w:w="15" w:type="dxa"/>
              <w:left w:w="15" w:type="dxa"/>
              <w:bottom w:w="0" w:type="dxa"/>
              <w:right w:w="15" w:type="dxa"/>
            </w:tcMar>
          </w:tcPr>
          <w:p w:rsidR="00BF14E0" w:rsidRPr="006A444B" w:rsidRDefault="00BF14E0" w:rsidP="00BF14E0">
            <w:pPr>
              <w:spacing w:before="0"/>
              <w:jc w:val="center"/>
              <w:rPr>
                <w:b/>
                <w:bCs/>
                <w:sz w:val="20"/>
                <w:lang w:val="en-US"/>
              </w:rPr>
            </w:pPr>
            <w:r w:rsidRPr="006A444B">
              <w:rPr>
                <w:b/>
                <w:bCs/>
                <w:sz w:val="20"/>
                <w:lang w:val="en-US"/>
              </w:rPr>
              <w:t>(dBm)</w:t>
            </w:r>
          </w:p>
        </w:tc>
        <w:tc>
          <w:tcPr>
            <w:tcW w:w="1260" w:type="dxa"/>
            <w:tcMar>
              <w:top w:w="15" w:type="dxa"/>
              <w:left w:w="15" w:type="dxa"/>
              <w:bottom w:w="0" w:type="dxa"/>
              <w:right w:w="15" w:type="dxa"/>
            </w:tcMar>
          </w:tcPr>
          <w:p w:rsidR="00BF14E0" w:rsidRPr="006A444B" w:rsidRDefault="00BF14E0" w:rsidP="00BF14E0">
            <w:pPr>
              <w:spacing w:before="0"/>
              <w:jc w:val="center"/>
              <w:rPr>
                <w:b/>
                <w:bCs/>
                <w:sz w:val="20"/>
                <w:lang w:val="en-US"/>
              </w:rPr>
            </w:pPr>
            <w:r w:rsidRPr="006A444B">
              <w:rPr>
                <w:b/>
                <w:bCs/>
                <w:sz w:val="20"/>
                <w:lang w:val="en-US"/>
              </w:rPr>
              <w:t>(dB)</w:t>
            </w:r>
          </w:p>
        </w:tc>
        <w:tc>
          <w:tcPr>
            <w:tcW w:w="1260" w:type="dxa"/>
            <w:tcMar>
              <w:top w:w="15" w:type="dxa"/>
              <w:left w:w="15" w:type="dxa"/>
              <w:bottom w:w="0" w:type="dxa"/>
              <w:right w:w="15" w:type="dxa"/>
            </w:tcMar>
          </w:tcPr>
          <w:p w:rsidR="00BF14E0" w:rsidRPr="006A444B" w:rsidRDefault="00BF14E0" w:rsidP="00BF14E0">
            <w:pPr>
              <w:spacing w:before="0"/>
              <w:jc w:val="center"/>
              <w:rPr>
                <w:b/>
                <w:bCs/>
                <w:sz w:val="20"/>
                <w:lang w:val="en-US"/>
              </w:rPr>
            </w:pPr>
            <w:r w:rsidRPr="006A444B">
              <w:rPr>
                <w:b/>
                <w:bCs/>
                <w:sz w:val="20"/>
                <w:lang w:val="en-US"/>
              </w:rPr>
              <w:t>(kHz)</w:t>
            </w:r>
          </w:p>
        </w:tc>
        <w:tc>
          <w:tcPr>
            <w:tcW w:w="960" w:type="dxa"/>
            <w:tcMar>
              <w:top w:w="15" w:type="dxa"/>
              <w:left w:w="15" w:type="dxa"/>
              <w:bottom w:w="0" w:type="dxa"/>
              <w:right w:w="15" w:type="dxa"/>
            </w:tcMar>
          </w:tcPr>
          <w:p w:rsidR="00BF14E0" w:rsidRPr="006A444B" w:rsidRDefault="00BF14E0" w:rsidP="00BF14E0">
            <w:pPr>
              <w:spacing w:before="0"/>
              <w:jc w:val="center"/>
              <w:rPr>
                <w:b/>
                <w:bCs/>
                <w:sz w:val="20"/>
                <w:lang w:val="en-US"/>
              </w:rPr>
            </w:pPr>
            <w:r w:rsidRPr="006A444B">
              <w:rPr>
                <w:b/>
                <w:bCs/>
                <w:sz w:val="20"/>
                <w:lang w:val="en-US"/>
              </w:rPr>
              <w:t>(dB)</w:t>
            </w:r>
          </w:p>
        </w:tc>
        <w:tc>
          <w:tcPr>
            <w:tcW w:w="1200" w:type="dxa"/>
            <w:tcMar>
              <w:top w:w="15" w:type="dxa"/>
              <w:left w:w="15" w:type="dxa"/>
              <w:bottom w:w="0" w:type="dxa"/>
              <w:right w:w="15" w:type="dxa"/>
            </w:tcMar>
          </w:tcPr>
          <w:p w:rsidR="00BF14E0" w:rsidRPr="006A444B" w:rsidRDefault="00BF14E0" w:rsidP="00BF14E0">
            <w:pPr>
              <w:spacing w:before="0"/>
              <w:jc w:val="center"/>
              <w:rPr>
                <w:b/>
                <w:bCs/>
                <w:sz w:val="20"/>
                <w:lang w:val="en-US"/>
              </w:rPr>
            </w:pPr>
            <w:r w:rsidRPr="006A444B">
              <w:rPr>
                <w:b/>
                <w:bCs/>
                <w:sz w:val="20"/>
                <w:lang w:val="en-US"/>
              </w:rPr>
              <w:t>(dB)</w:t>
            </w:r>
          </w:p>
        </w:tc>
        <w:tc>
          <w:tcPr>
            <w:tcW w:w="1260" w:type="dxa"/>
            <w:tcMar>
              <w:top w:w="15" w:type="dxa"/>
              <w:left w:w="15" w:type="dxa"/>
              <w:bottom w:w="0" w:type="dxa"/>
              <w:right w:w="15" w:type="dxa"/>
            </w:tcMar>
          </w:tcPr>
          <w:p w:rsidR="00BF14E0" w:rsidRPr="006A444B" w:rsidRDefault="00BF14E0" w:rsidP="00BF14E0">
            <w:pPr>
              <w:spacing w:before="0"/>
              <w:jc w:val="center"/>
              <w:rPr>
                <w:b/>
                <w:bCs/>
                <w:sz w:val="20"/>
                <w:lang w:val="en-US"/>
              </w:rPr>
            </w:pPr>
            <w:r w:rsidRPr="006A444B">
              <w:rPr>
                <w:b/>
                <w:bCs/>
                <w:sz w:val="20"/>
                <w:lang w:val="en-US"/>
              </w:rPr>
              <w:t>(dBm/Hz)</w:t>
            </w:r>
          </w:p>
        </w:tc>
      </w:tr>
      <w:tr w:rsidR="00BF14E0" w:rsidRPr="006A444B" w:rsidTr="00BF14E0">
        <w:trPr>
          <w:trHeight w:val="255"/>
          <w:jc w:val="center"/>
        </w:trPr>
        <w:tc>
          <w:tcPr>
            <w:tcW w:w="2720" w:type="dxa"/>
            <w:gridSpan w:val="2"/>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ILS Localizer</w:t>
            </w:r>
          </w:p>
        </w:tc>
        <w:tc>
          <w:tcPr>
            <w:tcW w:w="188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108-112 MHz</w:t>
            </w:r>
          </w:p>
        </w:tc>
        <w:tc>
          <w:tcPr>
            <w:tcW w:w="102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Airborne</w:t>
            </w:r>
          </w:p>
        </w:tc>
        <w:tc>
          <w:tcPr>
            <w:tcW w:w="1235"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40</w:t>
            </w:r>
          </w:p>
        </w:tc>
        <w:tc>
          <w:tcPr>
            <w:tcW w:w="108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−86</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30</w:t>
            </w:r>
          </w:p>
        </w:tc>
        <w:tc>
          <w:tcPr>
            <w:tcW w:w="9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6</w:t>
            </w:r>
          </w:p>
        </w:tc>
        <w:tc>
          <w:tcPr>
            <w:tcW w:w="120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−177</w:t>
            </w:r>
          </w:p>
        </w:tc>
      </w:tr>
      <w:tr w:rsidR="00BF14E0" w:rsidRPr="006A444B" w:rsidTr="00BF14E0">
        <w:trPr>
          <w:trHeight w:val="255"/>
          <w:jc w:val="center"/>
        </w:trPr>
        <w:tc>
          <w:tcPr>
            <w:tcW w:w="2720" w:type="dxa"/>
            <w:gridSpan w:val="2"/>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ILS Glideslope</w:t>
            </w:r>
          </w:p>
        </w:tc>
        <w:tc>
          <w:tcPr>
            <w:tcW w:w="188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328.6-335.4 MHz</w:t>
            </w:r>
          </w:p>
        </w:tc>
        <w:tc>
          <w:tcPr>
            <w:tcW w:w="102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Airborne</w:t>
            </w:r>
          </w:p>
        </w:tc>
        <w:tc>
          <w:tcPr>
            <w:tcW w:w="1235"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400</w:t>
            </w:r>
          </w:p>
        </w:tc>
        <w:tc>
          <w:tcPr>
            <w:tcW w:w="108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−76</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42</w:t>
            </w:r>
          </w:p>
        </w:tc>
        <w:tc>
          <w:tcPr>
            <w:tcW w:w="9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6</w:t>
            </w:r>
          </w:p>
        </w:tc>
        <w:tc>
          <w:tcPr>
            <w:tcW w:w="120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−168</w:t>
            </w:r>
          </w:p>
        </w:tc>
      </w:tr>
      <w:tr w:rsidR="00BF14E0" w:rsidRPr="006A444B" w:rsidTr="00BF14E0">
        <w:trPr>
          <w:trHeight w:val="255"/>
          <w:jc w:val="center"/>
        </w:trPr>
        <w:tc>
          <w:tcPr>
            <w:tcW w:w="2720" w:type="dxa"/>
            <w:gridSpan w:val="2"/>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GBAS</w:t>
            </w:r>
          </w:p>
        </w:tc>
        <w:tc>
          <w:tcPr>
            <w:tcW w:w="188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108-117.975 MHz</w:t>
            </w:r>
          </w:p>
        </w:tc>
        <w:tc>
          <w:tcPr>
            <w:tcW w:w="102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Airborne</w:t>
            </w:r>
          </w:p>
        </w:tc>
        <w:tc>
          <w:tcPr>
            <w:tcW w:w="1235"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215</w:t>
            </w:r>
          </w:p>
        </w:tc>
        <w:tc>
          <w:tcPr>
            <w:tcW w:w="108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−72</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26</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14</w:t>
            </w:r>
          </w:p>
        </w:tc>
        <w:tc>
          <w:tcPr>
            <w:tcW w:w="9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6</w:t>
            </w:r>
          </w:p>
        </w:tc>
        <w:tc>
          <w:tcPr>
            <w:tcW w:w="120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−165</w:t>
            </w:r>
          </w:p>
        </w:tc>
      </w:tr>
      <w:tr w:rsidR="00BF14E0" w:rsidRPr="006A444B" w:rsidTr="00BF14E0">
        <w:trPr>
          <w:trHeight w:val="255"/>
          <w:jc w:val="center"/>
        </w:trPr>
        <w:tc>
          <w:tcPr>
            <w:tcW w:w="2720" w:type="dxa"/>
            <w:gridSpan w:val="2"/>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VOR</w:t>
            </w:r>
          </w:p>
        </w:tc>
        <w:tc>
          <w:tcPr>
            <w:tcW w:w="188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108-117.975 MHz</w:t>
            </w:r>
          </w:p>
        </w:tc>
        <w:tc>
          <w:tcPr>
            <w:tcW w:w="102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Airborne</w:t>
            </w:r>
          </w:p>
        </w:tc>
        <w:tc>
          <w:tcPr>
            <w:tcW w:w="1235"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90</w:t>
            </w:r>
          </w:p>
        </w:tc>
        <w:tc>
          <w:tcPr>
            <w:tcW w:w="108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−79</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36</w:t>
            </w:r>
          </w:p>
        </w:tc>
        <w:tc>
          <w:tcPr>
            <w:tcW w:w="9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6</w:t>
            </w:r>
          </w:p>
        </w:tc>
        <w:tc>
          <w:tcPr>
            <w:tcW w:w="120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−171</w:t>
            </w:r>
          </w:p>
        </w:tc>
      </w:tr>
      <w:tr w:rsidR="00BF14E0" w:rsidRPr="006A444B" w:rsidTr="00BF14E0">
        <w:trPr>
          <w:cantSplit/>
          <w:trHeight w:val="255"/>
          <w:jc w:val="center"/>
        </w:trPr>
        <w:tc>
          <w:tcPr>
            <w:tcW w:w="1247" w:type="dxa"/>
            <w:vMerge w:val="restart"/>
            <w:noWrap/>
            <w:tcMar>
              <w:top w:w="15" w:type="dxa"/>
              <w:left w:w="15" w:type="dxa"/>
              <w:bottom w:w="0" w:type="dxa"/>
              <w:right w:w="15" w:type="dxa"/>
            </w:tcMar>
          </w:tcPr>
          <w:p w:rsidR="00BF14E0" w:rsidRPr="006A444B" w:rsidRDefault="00BF14E0" w:rsidP="00BF14E0">
            <w:pPr>
              <w:spacing w:before="0"/>
              <w:rPr>
                <w:sz w:val="20"/>
                <w:lang w:val="en-US"/>
              </w:rPr>
            </w:pPr>
            <w:r w:rsidRPr="006A444B">
              <w:rPr>
                <w:sz w:val="20"/>
                <w:lang w:val="en-US"/>
              </w:rPr>
              <w:t xml:space="preserve">VHF Comms </w:t>
            </w:r>
          </w:p>
        </w:tc>
        <w:tc>
          <w:tcPr>
            <w:tcW w:w="1473" w:type="dxa"/>
            <w:vMerge w:val="restart"/>
            <w:noWrap/>
            <w:tcMar>
              <w:top w:w="15" w:type="dxa"/>
              <w:left w:w="15" w:type="dxa"/>
              <w:bottom w:w="0" w:type="dxa"/>
              <w:right w:w="15" w:type="dxa"/>
            </w:tcMar>
          </w:tcPr>
          <w:p w:rsidR="00BF14E0" w:rsidRPr="006A444B" w:rsidRDefault="00BF14E0" w:rsidP="00BF14E0">
            <w:pPr>
              <w:spacing w:before="0"/>
              <w:rPr>
                <w:sz w:val="20"/>
                <w:lang w:val="en-US"/>
              </w:rPr>
            </w:pPr>
            <w:r w:rsidRPr="006A444B">
              <w:rPr>
                <w:sz w:val="20"/>
                <w:lang w:val="en-US"/>
              </w:rPr>
              <w:t>25 kHz</w:t>
            </w:r>
          </w:p>
        </w:tc>
        <w:tc>
          <w:tcPr>
            <w:tcW w:w="188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117.975-137 MHz</w:t>
            </w:r>
          </w:p>
        </w:tc>
        <w:tc>
          <w:tcPr>
            <w:tcW w:w="102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Airborne</w:t>
            </w:r>
          </w:p>
        </w:tc>
        <w:tc>
          <w:tcPr>
            <w:tcW w:w="1235"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75</w:t>
            </w:r>
          </w:p>
        </w:tc>
        <w:tc>
          <w:tcPr>
            <w:tcW w:w="108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−82</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16</w:t>
            </w:r>
          </w:p>
        </w:tc>
        <w:tc>
          <w:tcPr>
            <w:tcW w:w="9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6</w:t>
            </w:r>
          </w:p>
        </w:tc>
        <w:tc>
          <w:tcPr>
            <w:tcW w:w="120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−170</w:t>
            </w:r>
          </w:p>
        </w:tc>
      </w:tr>
      <w:tr w:rsidR="00BF14E0" w:rsidRPr="006A444B" w:rsidTr="00BF14E0">
        <w:trPr>
          <w:cantSplit/>
          <w:trHeight w:val="255"/>
          <w:jc w:val="center"/>
        </w:trPr>
        <w:tc>
          <w:tcPr>
            <w:tcW w:w="1247" w:type="dxa"/>
            <w:vMerge/>
            <w:vAlign w:val="center"/>
          </w:tcPr>
          <w:p w:rsidR="00BF14E0" w:rsidRPr="006A444B" w:rsidRDefault="00BF14E0" w:rsidP="00BF14E0">
            <w:pPr>
              <w:spacing w:before="0"/>
              <w:rPr>
                <w:sz w:val="20"/>
                <w:lang w:val="en-US"/>
              </w:rPr>
            </w:pPr>
          </w:p>
        </w:tc>
        <w:tc>
          <w:tcPr>
            <w:tcW w:w="1473" w:type="dxa"/>
            <w:vMerge/>
            <w:vAlign w:val="center"/>
          </w:tcPr>
          <w:p w:rsidR="00BF14E0" w:rsidRPr="006A444B" w:rsidRDefault="00BF14E0" w:rsidP="00BF14E0">
            <w:pPr>
              <w:spacing w:before="0"/>
              <w:rPr>
                <w:sz w:val="20"/>
                <w:lang w:val="en-US"/>
              </w:rPr>
            </w:pPr>
          </w:p>
        </w:tc>
        <w:tc>
          <w:tcPr>
            <w:tcW w:w="188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117.975-137 MHz</w:t>
            </w:r>
          </w:p>
        </w:tc>
        <w:tc>
          <w:tcPr>
            <w:tcW w:w="102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Ground</w:t>
            </w:r>
          </w:p>
        </w:tc>
        <w:tc>
          <w:tcPr>
            <w:tcW w:w="1235"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08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−93</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16</w:t>
            </w:r>
          </w:p>
        </w:tc>
        <w:tc>
          <w:tcPr>
            <w:tcW w:w="9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6</w:t>
            </w:r>
          </w:p>
        </w:tc>
        <w:tc>
          <w:tcPr>
            <w:tcW w:w="120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−181</w:t>
            </w:r>
          </w:p>
        </w:tc>
      </w:tr>
      <w:tr w:rsidR="00BF14E0" w:rsidRPr="006A444B" w:rsidTr="00BF14E0">
        <w:trPr>
          <w:cantSplit/>
          <w:trHeight w:val="255"/>
          <w:jc w:val="center"/>
        </w:trPr>
        <w:tc>
          <w:tcPr>
            <w:tcW w:w="1247" w:type="dxa"/>
            <w:vMerge/>
            <w:vAlign w:val="center"/>
          </w:tcPr>
          <w:p w:rsidR="00BF14E0" w:rsidRPr="006A444B" w:rsidRDefault="00BF14E0" w:rsidP="00BF14E0">
            <w:pPr>
              <w:spacing w:before="0"/>
              <w:rPr>
                <w:sz w:val="20"/>
                <w:lang w:val="en-US"/>
              </w:rPr>
            </w:pPr>
          </w:p>
        </w:tc>
        <w:tc>
          <w:tcPr>
            <w:tcW w:w="1473" w:type="dxa"/>
            <w:vMerge w:val="restart"/>
            <w:noWrap/>
            <w:tcMar>
              <w:top w:w="15" w:type="dxa"/>
              <w:left w:w="15" w:type="dxa"/>
              <w:bottom w:w="0" w:type="dxa"/>
              <w:right w:w="15" w:type="dxa"/>
            </w:tcMar>
          </w:tcPr>
          <w:p w:rsidR="00BF14E0" w:rsidRPr="006A444B" w:rsidRDefault="00BF14E0" w:rsidP="00BF14E0">
            <w:pPr>
              <w:spacing w:before="0"/>
              <w:rPr>
                <w:sz w:val="20"/>
                <w:lang w:val="en-US"/>
              </w:rPr>
            </w:pPr>
            <w:r w:rsidRPr="006A444B">
              <w:rPr>
                <w:sz w:val="20"/>
                <w:lang w:val="en-US"/>
              </w:rPr>
              <w:t>8.33 kHz</w:t>
            </w:r>
          </w:p>
        </w:tc>
        <w:tc>
          <w:tcPr>
            <w:tcW w:w="188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117.975-137 MHz</w:t>
            </w:r>
          </w:p>
        </w:tc>
        <w:tc>
          <w:tcPr>
            <w:tcW w:w="102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Airborne</w:t>
            </w:r>
          </w:p>
        </w:tc>
        <w:tc>
          <w:tcPr>
            <w:tcW w:w="1235"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75</w:t>
            </w:r>
          </w:p>
        </w:tc>
        <w:tc>
          <w:tcPr>
            <w:tcW w:w="108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−82</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5.6</w:t>
            </w:r>
          </w:p>
        </w:tc>
        <w:tc>
          <w:tcPr>
            <w:tcW w:w="9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6</w:t>
            </w:r>
          </w:p>
        </w:tc>
        <w:tc>
          <w:tcPr>
            <w:tcW w:w="120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−165</w:t>
            </w:r>
          </w:p>
        </w:tc>
      </w:tr>
      <w:tr w:rsidR="00BF14E0" w:rsidRPr="006A444B" w:rsidTr="00BF14E0">
        <w:trPr>
          <w:cantSplit/>
          <w:trHeight w:val="255"/>
          <w:jc w:val="center"/>
        </w:trPr>
        <w:tc>
          <w:tcPr>
            <w:tcW w:w="1247" w:type="dxa"/>
            <w:vMerge/>
            <w:vAlign w:val="center"/>
          </w:tcPr>
          <w:p w:rsidR="00BF14E0" w:rsidRPr="006A444B" w:rsidRDefault="00BF14E0" w:rsidP="00BF14E0">
            <w:pPr>
              <w:spacing w:before="0"/>
              <w:rPr>
                <w:sz w:val="20"/>
                <w:lang w:val="en-US"/>
              </w:rPr>
            </w:pPr>
          </w:p>
        </w:tc>
        <w:tc>
          <w:tcPr>
            <w:tcW w:w="1473" w:type="dxa"/>
            <w:vMerge/>
            <w:vAlign w:val="center"/>
          </w:tcPr>
          <w:p w:rsidR="00BF14E0" w:rsidRPr="006A444B" w:rsidRDefault="00BF14E0" w:rsidP="00BF14E0">
            <w:pPr>
              <w:spacing w:before="0"/>
              <w:rPr>
                <w:sz w:val="20"/>
                <w:lang w:val="en-US"/>
              </w:rPr>
            </w:pPr>
          </w:p>
        </w:tc>
        <w:tc>
          <w:tcPr>
            <w:tcW w:w="188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117.975-137 MHz</w:t>
            </w:r>
          </w:p>
        </w:tc>
        <w:tc>
          <w:tcPr>
            <w:tcW w:w="102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Ground</w:t>
            </w:r>
          </w:p>
        </w:tc>
        <w:tc>
          <w:tcPr>
            <w:tcW w:w="1235"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08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−93</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5.6</w:t>
            </w:r>
          </w:p>
        </w:tc>
        <w:tc>
          <w:tcPr>
            <w:tcW w:w="9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6</w:t>
            </w:r>
          </w:p>
        </w:tc>
        <w:tc>
          <w:tcPr>
            <w:tcW w:w="120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−177</w:t>
            </w:r>
          </w:p>
        </w:tc>
      </w:tr>
      <w:tr w:rsidR="00BF14E0" w:rsidRPr="006A444B" w:rsidTr="00BF14E0">
        <w:trPr>
          <w:cantSplit/>
          <w:trHeight w:val="255"/>
          <w:jc w:val="center"/>
        </w:trPr>
        <w:tc>
          <w:tcPr>
            <w:tcW w:w="1247" w:type="dxa"/>
            <w:vMerge/>
            <w:vAlign w:val="center"/>
          </w:tcPr>
          <w:p w:rsidR="00BF14E0" w:rsidRPr="006A444B" w:rsidRDefault="00BF14E0" w:rsidP="00BF14E0">
            <w:pPr>
              <w:spacing w:before="0"/>
              <w:rPr>
                <w:sz w:val="20"/>
                <w:lang w:val="en-US"/>
              </w:rPr>
            </w:pPr>
          </w:p>
        </w:tc>
        <w:tc>
          <w:tcPr>
            <w:tcW w:w="1473" w:type="dxa"/>
            <w:vMerge w:val="restart"/>
            <w:noWrap/>
            <w:tcMar>
              <w:top w:w="15" w:type="dxa"/>
              <w:left w:w="15" w:type="dxa"/>
              <w:bottom w:w="0" w:type="dxa"/>
              <w:right w:w="15" w:type="dxa"/>
            </w:tcMar>
          </w:tcPr>
          <w:p w:rsidR="00BF14E0" w:rsidRPr="006A444B" w:rsidRDefault="00BF14E0" w:rsidP="00BF14E0">
            <w:pPr>
              <w:spacing w:before="0"/>
              <w:rPr>
                <w:sz w:val="20"/>
                <w:lang w:val="en-US"/>
              </w:rPr>
            </w:pPr>
            <w:r w:rsidRPr="006A444B">
              <w:rPr>
                <w:sz w:val="20"/>
                <w:lang w:val="en-US"/>
              </w:rPr>
              <w:t>VDL Mode 2 and 3</w:t>
            </w:r>
          </w:p>
        </w:tc>
        <w:tc>
          <w:tcPr>
            <w:tcW w:w="188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117.975-137 MHz</w:t>
            </w:r>
          </w:p>
        </w:tc>
        <w:tc>
          <w:tcPr>
            <w:tcW w:w="102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Airborne</w:t>
            </w:r>
          </w:p>
        </w:tc>
        <w:tc>
          <w:tcPr>
            <w:tcW w:w="1235"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75</w:t>
            </w:r>
          </w:p>
        </w:tc>
        <w:tc>
          <w:tcPr>
            <w:tcW w:w="108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−82</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8</w:t>
            </w:r>
          </w:p>
        </w:tc>
        <w:tc>
          <w:tcPr>
            <w:tcW w:w="9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6</w:t>
            </w:r>
          </w:p>
        </w:tc>
        <w:tc>
          <w:tcPr>
            <w:tcW w:w="120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−167</w:t>
            </w:r>
          </w:p>
        </w:tc>
      </w:tr>
      <w:tr w:rsidR="00BF14E0" w:rsidRPr="006A444B" w:rsidTr="00BF14E0">
        <w:trPr>
          <w:cantSplit/>
          <w:trHeight w:val="255"/>
          <w:jc w:val="center"/>
        </w:trPr>
        <w:tc>
          <w:tcPr>
            <w:tcW w:w="1247" w:type="dxa"/>
            <w:vMerge/>
            <w:vAlign w:val="center"/>
          </w:tcPr>
          <w:p w:rsidR="00BF14E0" w:rsidRPr="006A444B" w:rsidRDefault="00BF14E0" w:rsidP="00BF14E0">
            <w:pPr>
              <w:spacing w:before="0"/>
              <w:rPr>
                <w:sz w:val="20"/>
                <w:lang w:val="en-US"/>
              </w:rPr>
            </w:pPr>
          </w:p>
        </w:tc>
        <w:tc>
          <w:tcPr>
            <w:tcW w:w="1473" w:type="dxa"/>
            <w:vMerge/>
            <w:vAlign w:val="center"/>
          </w:tcPr>
          <w:p w:rsidR="00BF14E0" w:rsidRPr="006A444B" w:rsidRDefault="00BF14E0" w:rsidP="00BF14E0">
            <w:pPr>
              <w:spacing w:before="0"/>
              <w:rPr>
                <w:sz w:val="20"/>
                <w:lang w:val="en-US"/>
              </w:rPr>
            </w:pPr>
          </w:p>
        </w:tc>
        <w:tc>
          <w:tcPr>
            <w:tcW w:w="188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117.975-137 MHz</w:t>
            </w:r>
          </w:p>
        </w:tc>
        <w:tc>
          <w:tcPr>
            <w:tcW w:w="102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Ground</w:t>
            </w:r>
          </w:p>
        </w:tc>
        <w:tc>
          <w:tcPr>
            <w:tcW w:w="1235"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08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−93</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16</w:t>
            </w:r>
          </w:p>
        </w:tc>
        <w:tc>
          <w:tcPr>
            <w:tcW w:w="9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6</w:t>
            </w:r>
          </w:p>
        </w:tc>
        <w:tc>
          <w:tcPr>
            <w:tcW w:w="120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−181</w:t>
            </w:r>
          </w:p>
        </w:tc>
      </w:tr>
      <w:tr w:rsidR="00BF14E0" w:rsidRPr="006A444B" w:rsidTr="00BF14E0">
        <w:trPr>
          <w:cantSplit/>
          <w:trHeight w:val="255"/>
          <w:jc w:val="center"/>
        </w:trPr>
        <w:tc>
          <w:tcPr>
            <w:tcW w:w="1247" w:type="dxa"/>
            <w:vMerge/>
            <w:vAlign w:val="center"/>
          </w:tcPr>
          <w:p w:rsidR="00BF14E0" w:rsidRPr="006A444B" w:rsidRDefault="00BF14E0" w:rsidP="00BF14E0">
            <w:pPr>
              <w:spacing w:before="0"/>
              <w:rPr>
                <w:sz w:val="20"/>
                <w:lang w:val="en-US"/>
              </w:rPr>
            </w:pPr>
          </w:p>
        </w:tc>
        <w:tc>
          <w:tcPr>
            <w:tcW w:w="1473" w:type="dxa"/>
            <w:vMerge w:val="restart"/>
            <w:noWrap/>
            <w:tcMar>
              <w:top w:w="15" w:type="dxa"/>
              <w:left w:w="15" w:type="dxa"/>
              <w:bottom w:w="0" w:type="dxa"/>
              <w:right w:w="15" w:type="dxa"/>
            </w:tcMar>
          </w:tcPr>
          <w:p w:rsidR="00BF14E0" w:rsidRPr="006A444B" w:rsidRDefault="00BF14E0" w:rsidP="00BF14E0">
            <w:pPr>
              <w:spacing w:before="0"/>
              <w:rPr>
                <w:sz w:val="20"/>
                <w:lang w:val="en-US"/>
              </w:rPr>
            </w:pPr>
            <w:r w:rsidRPr="006A444B">
              <w:rPr>
                <w:sz w:val="20"/>
                <w:lang w:val="en-US"/>
              </w:rPr>
              <w:t>VDL Mode 4</w:t>
            </w:r>
          </w:p>
        </w:tc>
        <w:tc>
          <w:tcPr>
            <w:tcW w:w="188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108-137 MHz</w:t>
            </w:r>
          </w:p>
        </w:tc>
        <w:tc>
          <w:tcPr>
            <w:tcW w:w="102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Airborne</w:t>
            </w:r>
          </w:p>
        </w:tc>
        <w:tc>
          <w:tcPr>
            <w:tcW w:w="1235"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75</w:t>
            </w:r>
          </w:p>
        </w:tc>
        <w:tc>
          <w:tcPr>
            <w:tcW w:w="108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−81</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5.56</w:t>
            </w:r>
          </w:p>
        </w:tc>
        <w:tc>
          <w:tcPr>
            <w:tcW w:w="9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6</w:t>
            </w:r>
          </w:p>
        </w:tc>
        <w:tc>
          <w:tcPr>
            <w:tcW w:w="120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−165</w:t>
            </w:r>
          </w:p>
        </w:tc>
      </w:tr>
      <w:tr w:rsidR="00BF14E0" w:rsidRPr="006A444B" w:rsidTr="00BF14E0">
        <w:trPr>
          <w:cantSplit/>
          <w:trHeight w:val="270"/>
          <w:jc w:val="center"/>
        </w:trPr>
        <w:tc>
          <w:tcPr>
            <w:tcW w:w="1247" w:type="dxa"/>
            <w:vMerge/>
            <w:vAlign w:val="center"/>
          </w:tcPr>
          <w:p w:rsidR="00BF14E0" w:rsidRPr="006A444B" w:rsidRDefault="00BF14E0" w:rsidP="00BF14E0">
            <w:pPr>
              <w:spacing w:before="0"/>
              <w:rPr>
                <w:sz w:val="20"/>
                <w:lang w:val="en-US"/>
              </w:rPr>
            </w:pPr>
          </w:p>
        </w:tc>
        <w:tc>
          <w:tcPr>
            <w:tcW w:w="1473" w:type="dxa"/>
            <w:vMerge/>
            <w:vAlign w:val="center"/>
          </w:tcPr>
          <w:p w:rsidR="00BF14E0" w:rsidRPr="006A444B" w:rsidRDefault="00BF14E0" w:rsidP="00BF14E0">
            <w:pPr>
              <w:spacing w:before="0"/>
              <w:rPr>
                <w:sz w:val="20"/>
                <w:lang w:val="en-US"/>
              </w:rPr>
            </w:pPr>
          </w:p>
        </w:tc>
        <w:tc>
          <w:tcPr>
            <w:tcW w:w="188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108-137 MHz</w:t>
            </w:r>
          </w:p>
        </w:tc>
        <w:tc>
          <w:tcPr>
            <w:tcW w:w="1020" w:type="dxa"/>
            <w:noWrap/>
            <w:tcMar>
              <w:top w:w="15" w:type="dxa"/>
              <w:left w:w="15" w:type="dxa"/>
              <w:bottom w:w="0" w:type="dxa"/>
              <w:right w:w="15" w:type="dxa"/>
            </w:tcMar>
            <w:vAlign w:val="bottom"/>
          </w:tcPr>
          <w:p w:rsidR="00BF14E0" w:rsidRPr="006A444B" w:rsidRDefault="00BF14E0" w:rsidP="00BF14E0">
            <w:pPr>
              <w:spacing w:before="0"/>
              <w:rPr>
                <w:sz w:val="20"/>
                <w:lang w:val="en-US"/>
              </w:rPr>
            </w:pPr>
            <w:r w:rsidRPr="006A444B">
              <w:rPr>
                <w:sz w:val="20"/>
                <w:lang w:val="en-US"/>
              </w:rPr>
              <w:t>Ground</w:t>
            </w:r>
          </w:p>
        </w:tc>
        <w:tc>
          <w:tcPr>
            <w:tcW w:w="1235"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08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−93</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6</w:t>
            </w:r>
          </w:p>
        </w:tc>
        <w:tc>
          <w:tcPr>
            <w:tcW w:w="9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6</w:t>
            </w:r>
          </w:p>
        </w:tc>
        <w:tc>
          <w:tcPr>
            <w:tcW w:w="120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20</w:t>
            </w:r>
          </w:p>
        </w:tc>
        <w:tc>
          <w:tcPr>
            <w:tcW w:w="1260" w:type="dxa"/>
            <w:noWrap/>
            <w:tcMar>
              <w:top w:w="15" w:type="dxa"/>
              <w:left w:w="15" w:type="dxa"/>
              <w:bottom w:w="0" w:type="dxa"/>
              <w:right w:w="15" w:type="dxa"/>
            </w:tcMar>
            <w:vAlign w:val="bottom"/>
          </w:tcPr>
          <w:p w:rsidR="00BF14E0" w:rsidRPr="006A444B" w:rsidRDefault="00BF14E0" w:rsidP="00BF14E0">
            <w:pPr>
              <w:spacing w:before="0"/>
              <w:jc w:val="center"/>
              <w:rPr>
                <w:sz w:val="20"/>
                <w:lang w:val="en-US"/>
              </w:rPr>
            </w:pPr>
            <w:r w:rsidRPr="006A444B">
              <w:rPr>
                <w:sz w:val="20"/>
                <w:lang w:val="en-US"/>
              </w:rPr>
              <w:t>−177</w:t>
            </w:r>
          </w:p>
        </w:tc>
      </w:tr>
    </w:tbl>
    <w:p w:rsidR="00BF14E0" w:rsidRPr="006A444B" w:rsidRDefault="00BF14E0" w:rsidP="00BF14E0">
      <w:pPr>
        <w:jc w:val="both"/>
        <w:rPr>
          <w:sz w:val="20"/>
          <w:lang w:val="en-US"/>
        </w:rPr>
      </w:pPr>
      <w:r w:rsidRPr="006A444B">
        <w:rPr>
          <w:sz w:val="20"/>
          <w:lang w:val="en-US"/>
        </w:rPr>
        <w:t>NOTE 1 − Value taken here are the Intra System D/U ratio or in the case of Radar the System I/N ratio and are provided as an initial value.</w:t>
      </w:r>
    </w:p>
    <w:p w:rsidR="00BF14E0" w:rsidRPr="006A444B" w:rsidRDefault="00BF14E0" w:rsidP="00BF14E0">
      <w:pPr>
        <w:rPr>
          <w:lang w:val="en-US"/>
        </w:rPr>
      </w:pPr>
    </w:p>
    <w:p w:rsidR="00BF14E0" w:rsidRPr="006A444B" w:rsidRDefault="00BF14E0" w:rsidP="00BF14E0">
      <w:pPr>
        <w:jc w:val="center"/>
        <w:rPr>
          <w:b/>
          <w:bCs/>
          <w:sz w:val="28"/>
          <w:lang w:val="en-US"/>
        </w:rPr>
        <w:sectPr w:rsidR="00BF14E0" w:rsidRPr="006A444B" w:rsidSect="00BF14E0">
          <w:pgSz w:w="15840" w:h="12240" w:orient="landscape"/>
          <w:pgMar w:top="1152" w:right="1440" w:bottom="1152" w:left="1440" w:header="706" w:footer="706" w:gutter="0"/>
          <w:cols w:space="708"/>
          <w:docGrid w:linePitch="360"/>
        </w:sectPr>
      </w:pPr>
    </w:p>
    <w:p w:rsidR="00BF14E0" w:rsidRPr="006A444B" w:rsidRDefault="00BF14E0" w:rsidP="00BF14E0">
      <w:pPr>
        <w:pStyle w:val="Heading3"/>
        <w:rPr>
          <w:lang w:val="en-US"/>
        </w:rPr>
      </w:pPr>
      <w:bookmarkStart w:id="18" w:name="_Toc265129542"/>
      <w:r w:rsidRPr="006A444B">
        <w:rPr>
          <w:lang w:val="en-US"/>
        </w:rPr>
        <w:t>3.3.1</w:t>
      </w:r>
      <w:r w:rsidRPr="006A444B">
        <w:rPr>
          <w:lang w:val="en-US"/>
        </w:rPr>
        <w:tab/>
        <w:t>Initial maximum tolerable value of interference for systems operating in maritime and radiodetermination services</w:t>
      </w:r>
      <w:bookmarkEnd w:id="18"/>
    </w:p>
    <w:p w:rsidR="00BF14E0" w:rsidRPr="006A444B" w:rsidRDefault="00BF14E0" w:rsidP="00BF14E0">
      <w:pPr>
        <w:pStyle w:val="Headingb"/>
        <w:rPr>
          <w:lang w:val="en-US" w:eastAsia="zh-CN"/>
        </w:rPr>
      </w:pPr>
      <w:r w:rsidRPr="006A444B">
        <w:rPr>
          <w:lang w:val="en-US" w:eastAsia="zh-CN"/>
        </w:rPr>
        <w:t>Maritime VHF receivers − 154-174 MHz</w:t>
      </w:r>
    </w:p>
    <w:p w:rsidR="00BF14E0" w:rsidRPr="006A444B" w:rsidRDefault="00BF14E0" w:rsidP="00BF14E0">
      <w:pPr>
        <w:rPr>
          <w:b/>
          <w:lang w:val="en-US"/>
        </w:rPr>
      </w:pPr>
      <w:r w:rsidRPr="006A444B">
        <w:rPr>
          <w:lang w:val="en-US"/>
        </w:rPr>
        <w:t xml:space="preserve">Recommendation </w:t>
      </w:r>
      <w:r w:rsidRPr="006A444B">
        <w:rPr>
          <w:bCs/>
          <w:lang w:val="en-US"/>
        </w:rPr>
        <w:t>ITU-R M.489-2</w:t>
      </w:r>
      <w:r w:rsidRPr="006A444B">
        <w:rPr>
          <w:lang w:val="en-US"/>
        </w:rPr>
        <w:t xml:space="preserve"> provides that</w:t>
      </w:r>
      <w:r w:rsidRPr="006A444B">
        <w:rPr>
          <w:bCs/>
          <w:lang w:val="en-US"/>
        </w:rPr>
        <w:t>:</w:t>
      </w:r>
    </w:p>
    <w:p w:rsidR="00BF14E0" w:rsidRPr="006A444B" w:rsidRDefault="00BF14E0" w:rsidP="00BF14E0">
      <w:pPr>
        <w:pStyle w:val="enumlev1"/>
        <w:rPr>
          <w:lang w:val="en-US"/>
        </w:rPr>
      </w:pPr>
      <w:r w:rsidRPr="006A444B">
        <w:rPr>
          <w:lang w:val="en-US"/>
        </w:rPr>
        <w:t>−</w:t>
      </w:r>
      <w:r w:rsidRPr="006A444B">
        <w:rPr>
          <w:lang w:val="en-US"/>
        </w:rPr>
        <w:tab/>
        <w:t>the reference sensitivity should be equal to or less than 2.0 µV, e.m.f., for a given reference signal-to-noise ratio at the output of the receiver;</w:t>
      </w:r>
    </w:p>
    <w:p w:rsidR="00BF14E0" w:rsidRPr="006A444B" w:rsidRDefault="00BF14E0" w:rsidP="00BF14E0">
      <w:pPr>
        <w:pStyle w:val="enumlev1"/>
        <w:rPr>
          <w:lang w:val="en-US"/>
        </w:rPr>
      </w:pPr>
      <w:r w:rsidRPr="006A444B">
        <w:rPr>
          <w:lang w:val="en-US"/>
        </w:rPr>
        <w:t>−</w:t>
      </w:r>
      <w:r w:rsidRPr="006A444B">
        <w:rPr>
          <w:lang w:val="en-US"/>
        </w:rPr>
        <w:tab/>
        <w:t>the adjacent channel selectivity should be at least 70 dB;</w:t>
      </w:r>
    </w:p>
    <w:p w:rsidR="00BF14E0" w:rsidRPr="006A444B" w:rsidRDefault="00BF14E0" w:rsidP="00BF14E0">
      <w:pPr>
        <w:pStyle w:val="enumlev1"/>
        <w:rPr>
          <w:lang w:val="en-US"/>
        </w:rPr>
      </w:pPr>
      <w:r w:rsidRPr="006A444B">
        <w:rPr>
          <w:lang w:val="en-US"/>
        </w:rPr>
        <w:t>−</w:t>
      </w:r>
      <w:r w:rsidRPr="006A444B">
        <w:rPr>
          <w:lang w:val="en-US"/>
        </w:rPr>
        <w:tab/>
        <w:t>the spurious response rejection ratio should be at least 70 dB;</w:t>
      </w:r>
    </w:p>
    <w:p w:rsidR="00BF14E0" w:rsidRPr="006A444B" w:rsidRDefault="00BF14E0" w:rsidP="00BF14E0">
      <w:pPr>
        <w:pStyle w:val="enumlev1"/>
        <w:rPr>
          <w:lang w:val="en-US"/>
        </w:rPr>
      </w:pPr>
      <w:r w:rsidRPr="006A444B">
        <w:rPr>
          <w:lang w:val="en-US"/>
        </w:rPr>
        <w:t>−</w:t>
      </w:r>
      <w:r w:rsidRPr="006A444B">
        <w:rPr>
          <w:lang w:val="en-US"/>
        </w:rPr>
        <w:tab/>
        <w:t>the radio-frequency intermodulation rejection ratio should be at least 65 dB;</w:t>
      </w:r>
    </w:p>
    <w:p w:rsidR="00BF14E0" w:rsidRPr="006A444B" w:rsidRDefault="00BF14E0" w:rsidP="00BF14E0">
      <w:pPr>
        <w:pStyle w:val="enumlev1"/>
        <w:rPr>
          <w:lang w:val="en-US"/>
        </w:rPr>
      </w:pPr>
      <w:r w:rsidRPr="006A444B">
        <w:rPr>
          <w:lang w:val="en-US"/>
        </w:rPr>
        <w:t>−</w:t>
      </w:r>
      <w:r w:rsidRPr="006A444B">
        <w:rPr>
          <w:lang w:val="en-US"/>
        </w:rPr>
        <w:tab/>
        <w:t>the power of any conducted spurious emission, measured a</w:t>
      </w:r>
      <w:r w:rsidR="00476850">
        <w:rPr>
          <w:lang w:val="en-US"/>
        </w:rPr>
        <w:t>t the antenna terminals, should </w:t>
      </w:r>
      <w:r w:rsidRPr="006A444B">
        <w:rPr>
          <w:lang w:val="en-US"/>
        </w:rPr>
        <w:t>not exceed 2.0 nW at any discrete frequency. In some radio environments lower values may be required.</w:t>
      </w:r>
    </w:p>
    <w:p w:rsidR="00BF14E0" w:rsidRPr="006A444B" w:rsidRDefault="00BF14E0" w:rsidP="00BF14E0">
      <w:pPr>
        <w:pStyle w:val="Headingb"/>
        <w:rPr>
          <w:lang w:val="en-US" w:eastAsia="zh-CN"/>
        </w:rPr>
      </w:pPr>
      <w:r w:rsidRPr="006A444B">
        <w:rPr>
          <w:lang w:val="en-US" w:eastAsia="zh-CN"/>
        </w:rPr>
        <w:t>Automatic identification of ships (AIS) receivers</w:t>
      </w:r>
    </w:p>
    <w:p w:rsidR="00BF14E0" w:rsidRPr="006A444B" w:rsidRDefault="00BF14E0" w:rsidP="00BF14E0">
      <w:pPr>
        <w:rPr>
          <w:highlight w:val="yellow"/>
          <w:lang w:val="en-US"/>
        </w:rPr>
      </w:pPr>
      <w:r w:rsidRPr="006A444B">
        <w:rPr>
          <w:lang w:val="en-US"/>
        </w:rPr>
        <w:t xml:space="preserve">AIS receivers operate on two frequencies, 161.975 and 162.025 MHz, for the purpose of meeting a wide range of marine safety and security objectives developed by IMO, which include managing ship movements along congested shipping lanes, collision avoidance, improving the SAR response to distress incidents, protecting against oil pollution and maintaining a secure environment for ships and ports. </w:t>
      </w:r>
    </w:p>
    <w:p w:rsidR="00BF14E0" w:rsidRPr="006A444B" w:rsidRDefault="00BF14E0" w:rsidP="00BF14E0">
      <w:pPr>
        <w:pStyle w:val="enumlev1"/>
        <w:rPr>
          <w:lang w:val="en-US"/>
        </w:rPr>
      </w:pPr>
      <w:r w:rsidRPr="006A444B">
        <w:rPr>
          <w:lang w:val="en-US"/>
        </w:rPr>
        <w:t>−</w:t>
      </w:r>
      <w:r w:rsidRPr="006A444B">
        <w:rPr>
          <w:lang w:val="en-US"/>
        </w:rPr>
        <w:tab/>
        <w:t>AIS minimum receiver sensitivity specification level (for a 20% permitted error rate) = −107 dBm;</w:t>
      </w:r>
    </w:p>
    <w:p w:rsidR="00BF14E0" w:rsidRPr="006A444B" w:rsidRDefault="00BF14E0" w:rsidP="00BF14E0">
      <w:pPr>
        <w:pStyle w:val="enumlev1"/>
        <w:rPr>
          <w:lang w:val="en-US"/>
        </w:rPr>
      </w:pPr>
      <w:r w:rsidRPr="006A444B">
        <w:rPr>
          <w:lang w:val="en-US"/>
        </w:rPr>
        <w:t>−</w:t>
      </w:r>
      <w:r w:rsidRPr="006A444B">
        <w:rPr>
          <w:lang w:val="en-US"/>
        </w:rPr>
        <w:tab/>
        <w:t>typically, AIS base stations have a receiving sensitivity of −115 dBm or better.</w:t>
      </w:r>
    </w:p>
    <w:p w:rsidR="00BF14E0" w:rsidRPr="006A444B" w:rsidRDefault="00BF14E0" w:rsidP="00BF14E0">
      <w:pPr>
        <w:pStyle w:val="Heading2"/>
        <w:rPr>
          <w:lang w:val="en-US"/>
        </w:rPr>
      </w:pPr>
      <w:bookmarkStart w:id="19" w:name="_Toc265129543"/>
      <w:r w:rsidRPr="006A444B">
        <w:rPr>
          <w:lang w:val="en-US"/>
        </w:rPr>
        <w:t>3.4</w:t>
      </w:r>
      <w:r w:rsidRPr="006A444B">
        <w:rPr>
          <w:lang w:val="en-US"/>
        </w:rPr>
        <w:tab/>
        <w:t>Land mobile</w:t>
      </w:r>
      <w:bookmarkEnd w:id="19"/>
    </w:p>
    <w:p w:rsidR="00BF14E0" w:rsidRPr="006A444B" w:rsidRDefault="00BF14E0" w:rsidP="00BF14E0">
      <w:pPr>
        <w:rPr>
          <w:lang w:val="en-US"/>
        </w:rPr>
      </w:pPr>
      <w:r w:rsidRPr="006A444B">
        <w:rPr>
          <w:lang w:val="en-US"/>
        </w:rPr>
        <w:t>[TBD]</w:t>
      </w:r>
    </w:p>
    <w:p w:rsidR="00BF14E0" w:rsidRPr="006A444B" w:rsidRDefault="00BF14E0" w:rsidP="00BF14E0">
      <w:pPr>
        <w:pStyle w:val="Heading2"/>
        <w:rPr>
          <w:lang w:val="en-US"/>
        </w:rPr>
      </w:pPr>
      <w:bookmarkStart w:id="20" w:name="_Toc265129544"/>
      <w:r w:rsidRPr="006A444B">
        <w:rPr>
          <w:lang w:val="en-US"/>
        </w:rPr>
        <w:t>3.5</w:t>
      </w:r>
      <w:r w:rsidRPr="006A444B">
        <w:rPr>
          <w:lang w:val="en-US"/>
        </w:rPr>
        <w:tab/>
        <w:t>Radio astronomy</w:t>
      </w:r>
      <w:bookmarkEnd w:id="20"/>
    </w:p>
    <w:p w:rsidR="00BF14E0" w:rsidRPr="006A444B" w:rsidRDefault="00BF14E0" w:rsidP="00BF14E0">
      <w:pPr>
        <w:rPr>
          <w:lang w:val="en-US" w:eastAsia="ja-JP"/>
        </w:rPr>
      </w:pPr>
      <w:r w:rsidRPr="006A444B">
        <w:rPr>
          <w:lang w:val="en-US" w:eastAsia="ja-JP"/>
        </w:rPr>
        <w:t xml:space="preserve">The radio astronomy service (RAS) has a frequency allocation </w:t>
      </w:r>
      <w:r w:rsidR="00580FF1">
        <w:rPr>
          <w:lang w:val="en-US" w:eastAsia="ja-JP"/>
        </w:rPr>
        <w:t>in the band 150.05</w:t>
      </w:r>
      <w:r w:rsidR="00580FF1">
        <w:rPr>
          <w:lang w:val="en-US" w:eastAsia="ja-JP"/>
        </w:rPr>
        <w:noBreakHyphen/>
        <w:t>153 MHz on a </w:t>
      </w:r>
      <w:r w:rsidRPr="006A444B">
        <w:rPr>
          <w:lang w:val="en-US" w:eastAsia="ja-JP"/>
        </w:rPr>
        <w:t xml:space="preserve">primary basis in some Regions and countries, where </w:t>
      </w:r>
      <w:r w:rsidR="00476850">
        <w:rPr>
          <w:lang w:val="en-US" w:eastAsia="ja-JP"/>
        </w:rPr>
        <w:t xml:space="preserve">RR </w:t>
      </w:r>
      <w:r w:rsidRPr="006A444B">
        <w:rPr>
          <w:lang w:val="en-US" w:eastAsia="ja-JP"/>
        </w:rPr>
        <w:t xml:space="preserve">footnote </w:t>
      </w:r>
      <w:r w:rsidR="00476850">
        <w:rPr>
          <w:lang w:val="en-US" w:eastAsia="ja-JP"/>
        </w:rPr>
        <w:t xml:space="preserve">No. </w:t>
      </w:r>
      <w:r w:rsidRPr="006A444B">
        <w:rPr>
          <w:b/>
          <w:lang w:val="en-US" w:eastAsia="ja-JP"/>
        </w:rPr>
        <w:t>5.149</w:t>
      </w:r>
      <w:r w:rsidRPr="006A444B">
        <w:rPr>
          <w:lang w:val="en-US" w:eastAsia="ja-JP"/>
        </w:rPr>
        <w:t xml:space="preserve"> applies</w:t>
      </w:r>
      <w:r w:rsidRPr="006A444B">
        <w:rPr>
          <w:lang w:val="en-US"/>
        </w:rPr>
        <w:t>.</w:t>
      </w:r>
      <w:r w:rsidRPr="006A444B">
        <w:rPr>
          <w:lang w:val="en-US" w:eastAsia="ja-JP"/>
        </w:rPr>
        <w:t xml:space="preserve"> This band is used for continuum observations (i.e., total power mode) only, and the interference threshold level detrimental to the RAS</w:t>
      </w:r>
      <w:r w:rsidR="00476850">
        <w:rPr>
          <w:lang w:val="en-US" w:eastAsia="ja-JP"/>
        </w:rPr>
        <w:t xml:space="preserve"> is given in Recommendation ITU-</w:t>
      </w:r>
      <w:r w:rsidRPr="006A444B">
        <w:rPr>
          <w:lang w:val="en-US" w:eastAsia="ja-JP"/>
        </w:rPr>
        <w:t>R RA.769 to be −194 dB(W/m</w:t>
      </w:r>
      <w:r w:rsidRPr="006A444B">
        <w:rPr>
          <w:vertAlign w:val="superscript"/>
          <w:lang w:val="en-US" w:eastAsia="ja-JP"/>
        </w:rPr>
        <w:t>2</w:t>
      </w:r>
      <w:r w:rsidRPr="006A444B">
        <w:rPr>
          <w:lang w:val="en-US" w:eastAsia="ja-JP"/>
        </w:rPr>
        <w:t>) and/or −259 dB(W/m</w:t>
      </w:r>
      <w:r w:rsidRPr="006A444B">
        <w:rPr>
          <w:vertAlign w:val="superscript"/>
          <w:lang w:val="en-US" w:eastAsia="ja-JP"/>
        </w:rPr>
        <w:t>2</w:t>
      </w:r>
      <w:r w:rsidRPr="006A444B">
        <w:rPr>
          <w:lang w:val="en-US" w:eastAsia="ja-JP"/>
        </w:rPr>
        <w:t>/Hz). The equivalent electric field value is given in Report ITU-R RA.2131 to be −48.2 dB(</w:t>
      </w:r>
      <w:r w:rsidRPr="006A444B">
        <w:rPr>
          <w:rFonts w:ascii="Symbol" w:hAnsi="Symbol"/>
          <w:lang w:val="en-US" w:eastAsia="ja-JP"/>
        </w:rPr>
        <w:t></w:t>
      </w:r>
      <w:r w:rsidRPr="006A444B">
        <w:rPr>
          <w:lang w:val="en-US" w:eastAsia="ja-JP"/>
        </w:rPr>
        <w:t>V/m) in 2.95 MHz bandwidth.</w:t>
      </w:r>
    </w:p>
    <w:p w:rsidR="00BF14E0" w:rsidRPr="006A444B" w:rsidRDefault="00BF14E0" w:rsidP="00BF14E0">
      <w:pPr>
        <w:pStyle w:val="Heading2"/>
        <w:rPr>
          <w:lang w:val="en-US"/>
        </w:rPr>
      </w:pPr>
      <w:bookmarkStart w:id="21" w:name="_Toc265129545"/>
      <w:r w:rsidRPr="006A444B">
        <w:rPr>
          <w:lang w:val="en-US"/>
        </w:rPr>
        <w:t>3.6</w:t>
      </w:r>
      <w:r w:rsidRPr="006A444B">
        <w:rPr>
          <w:lang w:val="en-US"/>
        </w:rPr>
        <w:tab/>
        <w:t>Fixed</w:t>
      </w:r>
      <w:bookmarkEnd w:id="21"/>
    </w:p>
    <w:p w:rsidR="00BF14E0" w:rsidRPr="006A444B" w:rsidRDefault="00BF14E0" w:rsidP="00BF14E0">
      <w:pPr>
        <w:rPr>
          <w:lang w:val="en-US"/>
        </w:rPr>
      </w:pPr>
      <w:r w:rsidRPr="006A444B">
        <w:rPr>
          <w:lang w:val="en-US"/>
        </w:rPr>
        <w:t>[TBD]</w:t>
      </w:r>
    </w:p>
    <w:p w:rsidR="00BF14E0" w:rsidRPr="006A444B" w:rsidRDefault="00BF14E0" w:rsidP="00BF14E0">
      <w:pPr>
        <w:pStyle w:val="Heading2"/>
        <w:rPr>
          <w:lang w:val="en-US"/>
        </w:rPr>
      </w:pPr>
      <w:bookmarkStart w:id="22" w:name="_Toc265129546"/>
      <w:r w:rsidRPr="006A444B">
        <w:rPr>
          <w:lang w:val="en-US"/>
        </w:rPr>
        <w:t>3.7</w:t>
      </w:r>
      <w:r w:rsidRPr="006A444B">
        <w:rPr>
          <w:lang w:val="en-US"/>
        </w:rPr>
        <w:tab/>
        <w:t>Mobile-satellite se</w:t>
      </w:r>
      <w:r w:rsidR="00476850">
        <w:rPr>
          <w:lang w:val="en-US"/>
        </w:rPr>
        <w:t>rvice (MSS) and radionavigation-</w:t>
      </w:r>
      <w:r w:rsidRPr="006A444B">
        <w:rPr>
          <w:lang w:val="en-US"/>
        </w:rPr>
        <w:t>satellite service (RNSS)</w:t>
      </w:r>
      <w:bookmarkEnd w:id="22"/>
    </w:p>
    <w:p w:rsidR="00BF14E0" w:rsidRPr="006A444B" w:rsidRDefault="00BF14E0" w:rsidP="00BF14E0">
      <w:pPr>
        <w:rPr>
          <w:lang w:val="en-US"/>
        </w:rPr>
      </w:pPr>
      <w:r w:rsidRPr="006A444B">
        <w:rPr>
          <w:lang w:val="en-US"/>
        </w:rPr>
        <w:t xml:space="preserve">Working Party 4C reviewed the frequency allocations for the mobile-satellite service and the radionavigation-satellite service below 200 MHz and provided the following information. </w:t>
      </w:r>
    </w:p>
    <w:p w:rsidR="00BF14E0" w:rsidRPr="006A444B" w:rsidRDefault="00BF14E0" w:rsidP="00BF14E0">
      <w:pPr>
        <w:pStyle w:val="Heading3"/>
        <w:rPr>
          <w:lang w:val="en-US"/>
        </w:rPr>
      </w:pPr>
      <w:bookmarkStart w:id="23" w:name="_Toc265129547"/>
      <w:r w:rsidRPr="006A444B">
        <w:rPr>
          <w:lang w:val="en-US"/>
        </w:rPr>
        <w:t>3.7.1</w:t>
      </w:r>
      <w:r w:rsidRPr="006A444B">
        <w:rPr>
          <w:lang w:val="en-US"/>
        </w:rPr>
        <w:tab/>
        <w:t>Frequency bands</w:t>
      </w:r>
      <w:bookmarkEnd w:id="23"/>
    </w:p>
    <w:p w:rsidR="00BF14E0" w:rsidRPr="006A444B" w:rsidRDefault="00BF14E0" w:rsidP="00BF14E0">
      <w:pPr>
        <w:rPr>
          <w:lang w:val="en-US"/>
        </w:rPr>
      </w:pPr>
      <w:r w:rsidRPr="006A444B">
        <w:rPr>
          <w:lang w:val="en-US"/>
        </w:rPr>
        <w:t xml:space="preserve">Below 200 MHz, there are four bands allocated to the mobile-satellite service (MSS) or the radionavigation-satellite service (RNSS): </w:t>
      </w:r>
    </w:p>
    <w:p w:rsidR="00BF14E0" w:rsidRPr="006A444B" w:rsidRDefault="00BF14E0" w:rsidP="00BF14E0">
      <w:pPr>
        <w:pStyle w:val="enumlev1"/>
        <w:rPr>
          <w:lang w:val="en-US"/>
        </w:rPr>
      </w:pPr>
      <w:r w:rsidRPr="006A444B">
        <w:rPr>
          <w:lang w:val="en-US"/>
        </w:rPr>
        <w:t>−</w:t>
      </w:r>
      <w:r w:rsidRPr="006A444B">
        <w:rPr>
          <w:lang w:val="en-US"/>
        </w:rPr>
        <w:tab/>
        <w:t>the band 137-138 MHz is allocated to the MSS in the space-to-Earth direction;</w:t>
      </w:r>
    </w:p>
    <w:p w:rsidR="00BF14E0" w:rsidRPr="006A444B" w:rsidRDefault="00BF14E0" w:rsidP="00BF14E0">
      <w:pPr>
        <w:pStyle w:val="enumlev1"/>
        <w:rPr>
          <w:lang w:val="en-US"/>
        </w:rPr>
      </w:pPr>
      <w:r w:rsidRPr="006A444B">
        <w:rPr>
          <w:lang w:val="en-US"/>
        </w:rPr>
        <w:t>−</w:t>
      </w:r>
      <w:r w:rsidRPr="006A444B">
        <w:rPr>
          <w:lang w:val="en-US"/>
        </w:rPr>
        <w:tab/>
        <w:t>the band 148-150.05 MHz is allocated to the MSS in the Earth-to-space direction;</w:t>
      </w:r>
    </w:p>
    <w:p w:rsidR="00BF14E0" w:rsidRPr="006A444B" w:rsidRDefault="00BF14E0" w:rsidP="00BF14E0">
      <w:pPr>
        <w:pStyle w:val="enumlev1"/>
        <w:rPr>
          <w:lang w:val="en-US"/>
        </w:rPr>
      </w:pPr>
      <w:r w:rsidRPr="006A444B">
        <w:rPr>
          <w:lang w:val="en-US"/>
        </w:rPr>
        <w:t>−</w:t>
      </w:r>
      <w:r w:rsidRPr="006A444B">
        <w:rPr>
          <w:lang w:val="en-US"/>
        </w:rPr>
        <w:tab/>
        <w:t>the band 149-9-150.05 MHz is allocated to the RNSS;</w:t>
      </w:r>
    </w:p>
    <w:p w:rsidR="00BF14E0" w:rsidRPr="006A444B" w:rsidRDefault="00BF14E0" w:rsidP="00BF14E0">
      <w:pPr>
        <w:pStyle w:val="enumlev1"/>
        <w:rPr>
          <w:lang w:val="en-US"/>
        </w:rPr>
      </w:pPr>
      <w:bookmarkStart w:id="24" w:name="OLE_LINK1"/>
      <w:r w:rsidRPr="006A444B">
        <w:rPr>
          <w:lang w:val="en-US"/>
        </w:rPr>
        <w:t>−</w:t>
      </w:r>
      <w:r w:rsidRPr="006A444B">
        <w:rPr>
          <w:lang w:val="en-US"/>
        </w:rPr>
        <w:tab/>
        <w:t xml:space="preserve">the bands 161.9625-161.9875 MHz and 162.0125-162.0375 MHz are allocated to the MSS in the Earth-to-space direction (see RR No. </w:t>
      </w:r>
      <w:r w:rsidRPr="00476850">
        <w:rPr>
          <w:b/>
          <w:bCs/>
          <w:lang w:val="en-US"/>
        </w:rPr>
        <w:t>5.227A</w:t>
      </w:r>
      <w:r w:rsidRPr="006A444B">
        <w:rPr>
          <w:lang w:val="en-US"/>
        </w:rPr>
        <w:t>).</w:t>
      </w:r>
    </w:p>
    <w:p w:rsidR="00BF14E0" w:rsidRPr="006A444B" w:rsidRDefault="00BF14E0" w:rsidP="00BF14E0">
      <w:pPr>
        <w:pStyle w:val="Heading3"/>
        <w:rPr>
          <w:lang w:val="en-US"/>
        </w:rPr>
      </w:pPr>
      <w:bookmarkStart w:id="25" w:name="_Toc265129548"/>
      <w:bookmarkEnd w:id="24"/>
      <w:r w:rsidRPr="006A444B">
        <w:rPr>
          <w:lang w:val="en-US"/>
        </w:rPr>
        <w:t>3.7.2</w:t>
      </w:r>
      <w:r w:rsidRPr="006A444B">
        <w:rPr>
          <w:lang w:val="en-US"/>
        </w:rPr>
        <w:tab/>
        <w:t>Protection criterion</w:t>
      </w:r>
      <w:bookmarkEnd w:id="25"/>
    </w:p>
    <w:p w:rsidR="00BF14E0" w:rsidRPr="006A444B" w:rsidRDefault="00BF14E0" w:rsidP="00BF14E0">
      <w:pPr>
        <w:rPr>
          <w:lang w:val="en-US"/>
        </w:rPr>
      </w:pPr>
      <w:r w:rsidRPr="006A444B">
        <w:rPr>
          <w:lang w:val="en-US"/>
        </w:rPr>
        <w:t xml:space="preserve">Working Party 4C understands that, as a good spectrum engineering practice, Working Party 1A will seek to ensure that radiations produced by PLT devices will be kept to the minimum technically achievable levels. This being said, Working Party 4C considers that, for radiations as those produced by PLT devices, a </w:t>
      </w:r>
      <w:r w:rsidRPr="006A444B">
        <w:rPr>
          <w:rFonts w:ascii="Symbol" w:hAnsi="Symbol"/>
          <w:lang w:val="en-US"/>
        </w:rPr>
        <w:t></w:t>
      </w:r>
      <w:r w:rsidRPr="006A444B">
        <w:rPr>
          <w:lang w:val="en-US"/>
        </w:rPr>
        <w:t xml:space="preserve">T/T criterion of 1% is the permissible level of interference into MSS or RNSS receivers (either space-borne, airborne or on the ground). This criterion is generally used within ITU-R in similar cases. </w:t>
      </w:r>
    </w:p>
    <w:p w:rsidR="00BF14E0" w:rsidRPr="006A444B" w:rsidRDefault="00BF14E0" w:rsidP="00BF14E0">
      <w:pPr>
        <w:pStyle w:val="Heading3"/>
        <w:rPr>
          <w:lang w:val="en-US"/>
        </w:rPr>
      </w:pPr>
      <w:bookmarkStart w:id="26" w:name="_Toc265129549"/>
      <w:r w:rsidRPr="006A444B">
        <w:rPr>
          <w:lang w:val="en-US"/>
        </w:rPr>
        <w:t>3.7.3</w:t>
      </w:r>
      <w:r w:rsidRPr="006A444B">
        <w:rPr>
          <w:lang w:val="en-US"/>
        </w:rPr>
        <w:tab/>
        <w:t>System parameters</w:t>
      </w:r>
      <w:bookmarkEnd w:id="26"/>
    </w:p>
    <w:p w:rsidR="00BF14E0" w:rsidRPr="006A444B" w:rsidRDefault="00BF14E0" w:rsidP="00476850">
      <w:pPr>
        <w:ind w:right="-142"/>
        <w:rPr>
          <w:lang w:val="en-US"/>
        </w:rPr>
      </w:pPr>
      <w:r w:rsidRPr="006A444B">
        <w:rPr>
          <w:lang w:val="en-US"/>
        </w:rPr>
        <w:t xml:space="preserve">The detailed system parameters of MSS systems using the bands 137-138 MHz and 148-150.05 MHz are contained in Annex 2 of Recommendation ITU-R M.1184-2 “Technical characteristics of mobile satellite systems in the frequency bands below 3 GHz for use in developing criteria for sharing between the mobile-satellite service (MSS) and other services”. For ease of use by Working Party 1A, the following two tables summarize the relevant system parameters required to ensure the protection of MSS receivers from PLT radiations. </w:t>
      </w:r>
    </w:p>
    <w:p w:rsidR="00BF14E0" w:rsidRPr="00476850" w:rsidRDefault="00BF14E0" w:rsidP="00476850">
      <w:pPr>
        <w:pStyle w:val="TableNo"/>
        <w:rPr>
          <w:sz w:val="20"/>
          <w:lang w:val="en-US"/>
        </w:rPr>
      </w:pPr>
      <w:r w:rsidRPr="00476850">
        <w:rPr>
          <w:sz w:val="20"/>
          <w:lang w:val="en-US"/>
        </w:rPr>
        <w:t>Table 1</w:t>
      </w:r>
    </w:p>
    <w:p w:rsidR="00BF14E0" w:rsidRPr="00476850" w:rsidRDefault="00BF14E0" w:rsidP="00476850">
      <w:pPr>
        <w:pStyle w:val="Tabletitle"/>
        <w:rPr>
          <w:sz w:val="20"/>
          <w:lang w:val="en-US"/>
        </w:rPr>
      </w:pPr>
      <w:r w:rsidRPr="00476850">
        <w:rPr>
          <w:sz w:val="20"/>
          <w:lang w:val="en-US"/>
        </w:rPr>
        <w:t>Characteristics of mobile earth station receivers in the band 137-138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5"/>
        <w:gridCol w:w="1890"/>
        <w:gridCol w:w="1890"/>
        <w:gridCol w:w="1890"/>
        <w:gridCol w:w="1890"/>
      </w:tblGrid>
      <w:tr w:rsidR="00BF14E0" w:rsidRPr="006A444B" w:rsidTr="00476850">
        <w:trPr>
          <w:jc w:val="center"/>
        </w:trPr>
        <w:tc>
          <w:tcPr>
            <w:tcW w:w="1164" w:type="pct"/>
            <w:vAlign w:val="center"/>
          </w:tcPr>
          <w:p w:rsidR="00BF14E0" w:rsidRPr="00476850" w:rsidRDefault="00BF14E0" w:rsidP="00476850">
            <w:pPr>
              <w:pStyle w:val="Tabletext"/>
              <w:rPr>
                <w:sz w:val="20"/>
              </w:rPr>
            </w:pPr>
            <w:r w:rsidRPr="00476850">
              <w:rPr>
                <w:sz w:val="20"/>
              </w:rPr>
              <w:t>Receiving mobile earth station antenna gain (dBi)</w:t>
            </w:r>
          </w:p>
        </w:tc>
        <w:tc>
          <w:tcPr>
            <w:tcW w:w="959" w:type="pct"/>
            <w:vAlign w:val="center"/>
          </w:tcPr>
          <w:p w:rsidR="00BF14E0" w:rsidRPr="00476850" w:rsidRDefault="00BF14E0" w:rsidP="00476850">
            <w:pPr>
              <w:pStyle w:val="Tabletext"/>
              <w:jc w:val="center"/>
              <w:rPr>
                <w:sz w:val="20"/>
              </w:rPr>
            </w:pPr>
            <w:r w:rsidRPr="00476850">
              <w:rPr>
                <w:sz w:val="20"/>
              </w:rPr>
              <w:t>5.7</w:t>
            </w:r>
          </w:p>
        </w:tc>
        <w:tc>
          <w:tcPr>
            <w:tcW w:w="959" w:type="pct"/>
            <w:vAlign w:val="center"/>
          </w:tcPr>
          <w:p w:rsidR="00BF14E0" w:rsidRPr="00476850" w:rsidRDefault="00BF14E0" w:rsidP="00476850">
            <w:pPr>
              <w:pStyle w:val="Tabletext"/>
              <w:jc w:val="center"/>
              <w:rPr>
                <w:sz w:val="20"/>
              </w:rPr>
            </w:pPr>
            <w:r w:rsidRPr="00476850">
              <w:rPr>
                <w:sz w:val="20"/>
              </w:rPr>
              <w:t>0.5</w:t>
            </w:r>
          </w:p>
        </w:tc>
        <w:tc>
          <w:tcPr>
            <w:tcW w:w="959" w:type="pct"/>
            <w:vAlign w:val="center"/>
          </w:tcPr>
          <w:p w:rsidR="00BF14E0" w:rsidRPr="00476850" w:rsidRDefault="00BF14E0" w:rsidP="00476850">
            <w:pPr>
              <w:pStyle w:val="Tabletext"/>
              <w:jc w:val="center"/>
              <w:rPr>
                <w:sz w:val="20"/>
              </w:rPr>
            </w:pPr>
            <w:r w:rsidRPr="00476850">
              <w:rPr>
                <w:sz w:val="20"/>
              </w:rPr>
              <w:t>−3</w:t>
            </w:r>
          </w:p>
        </w:tc>
        <w:tc>
          <w:tcPr>
            <w:tcW w:w="959" w:type="pct"/>
            <w:vAlign w:val="center"/>
          </w:tcPr>
          <w:p w:rsidR="00BF14E0" w:rsidRPr="00476850" w:rsidRDefault="00BF14E0" w:rsidP="00476850">
            <w:pPr>
              <w:pStyle w:val="Tabletext"/>
              <w:jc w:val="center"/>
              <w:rPr>
                <w:sz w:val="20"/>
              </w:rPr>
            </w:pPr>
            <w:r w:rsidRPr="00476850">
              <w:rPr>
                <w:sz w:val="20"/>
              </w:rPr>
              <w:t>3</w:t>
            </w:r>
          </w:p>
        </w:tc>
      </w:tr>
      <w:tr w:rsidR="00BF14E0" w:rsidRPr="006A444B" w:rsidTr="00476850">
        <w:trPr>
          <w:jc w:val="center"/>
        </w:trPr>
        <w:tc>
          <w:tcPr>
            <w:tcW w:w="1164" w:type="pct"/>
            <w:vAlign w:val="center"/>
          </w:tcPr>
          <w:p w:rsidR="00BF14E0" w:rsidRPr="00476850" w:rsidRDefault="00BF14E0" w:rsidP="00476850">
            <w:pPr>
              <w:pStyle w:val="Tabletext"/>
              <w:rPr>
                <w:sz w:val="20"/>
              </w:rPr>
            </w:pPr>
            <w:r w:rsidRPr="00476850">
              <w:rPr>
                <w:sz w:val="20"/>
              </w:rPr>
              <w:t>Receiving mobile earth station antenna pattern</w:t>
            </w:r>
          </w:p>
        </w:tc>
        <w:tc>
          <w:tcPr>
            <w:tcW w:w="959" w:type="pct"/>
            <w:vAlign w:val="center"/>
          </w:tcPr>
          <w:p w:rsidR="00BF14E0" w:rsidRPr="00476850" w:rsidRDefault="00BF14E0" w:rsidP="00476850">
            <w:pPr>
              <w:pStyle w:val="Tabletext"/>
              <w:jc w:val="center"/>
              <w:rPr>
                <w:sz w:val="20"/>
              </w:rPr>
            </w:pPr>
            <w:r w:rsidRPr="00476850">
              <w:rPr>
                <w:sz w:val="20"/>
              </w:rPr>
              <w:t>Omnidirectional</w:t>
            </w:r>
          </w:p>
        </w:tc>
        <w:tc>
          <w:tcPr>
            <w:tcW w:w="959" w:type="pct"/>
            <w:vAlign w:val="center"/>
          </w:tcPr>
          <w:p w:rsidR="00BF14E0" w:rsidRPr="00476850" w:rsidRDefault="00BF14E0" w:rsidP="00476850">
            <w:pPr>
              <w:pStyle w:val="Tabletext"/>
              <w:jc w:val="center"/>
              <w:rPr>
                <w:sz w:val="20"/>
              </w:rPr>
            </w:pPr>
            <w:r w:rsidRPr="00476850">
              <w:rPr>
                <w:sz w:val="20"/>
              </w:rPr>
              <w:t>Omnidirectional</w:t>
            </w:r>
          </w:p>
        </w:tc>
        <w:tc>
          <w:tcPr>
            <w:tcW w:w="959" w:type="pct"/>
            <w:vAlign w:val="center"/>
          </w:tcPr>
          <w:p w:rsidR="00BF14E0" w:rsidRPr="00476850" w:rsidRDefault="00BF14E0" w:rsidP="00476850">
            <w:pPr>
              <w:pStyle w:val="Tabletext"/>
              <w:jc w:val="center"/>
              <w:rPr>
                <w:sz w:val="20"/>
              </w:rPr>
            </w:pPr>
            <w:r w:rsidRPr="00476850">
              <w:rPr>
                <w:sz w:val="20"/>
              </w:rPr>
              <w:t>Omnidirectional</w:t>
            </w:r>
          </w:p>
        </w:tc>
        <w:tc>
          <w:tcPr>
            <w:tcW w:w="959" w:type="pct"/>
            <w:vAlign w:val="center"/>
          </w:tcPr>
          <w:p w:rsidR="00BF14E0" w:rsidRPr="00476850" w:rsidRDefault="00BF14E0" w:rsidP="00476850">
            <w:pPr>
              <w:pStyle w:val="Tabletext"/>
              <w:jc w:val="center"/>
              <w:rPr>
                <w:sz w:val="20"/>
              </w:rPr>
            </w:pPr>
            <w:r w:rsidRPr="00476850">
              <w:rPr>
                <w:sz w:val="20"/>
              </w:rPr>
              <w:t>Omnidirectional</w:t>
            </w:r>
          </w:p>
        </w:tc>
      </w:tr>
      <w:tr w:rsidR="00BF14E0" w:rsidRPr="006A444B" w:rsidTr="00476850">
        <w:trPr>
          <w:jc w:val="center"/>
        </w:trPr>
        <w:tc>
          <w:tcPr>
            <w:tcW w:w="1164" w:type="pct"/>
            <w:vAlign w:val="center"/>
          </w:tcPr>
          <w:p w:rsidR="00BF14E0" w:rsidRPr="00476850" w:rsidRDefault="00BF14E0" w:rsidP="00476850">
            <w:pPr>
              <w:pStyle w:val="Tabletext"/>
              <w:rPr>
                <w:sz w:val="20"/>
              </w:rPr>
            </w:pPr>
            <w:r w:rsidRPr="00476850">
              <w:rPr>
                <w:sz w:val="20"/>
              </w:rPr>
              <w:t>Receiving mobile earth station noise temperature (K)</w:t>
            </w:r>
          </w:p>
        </w:tc>
        <w:tc>
          <w:tcPr>
            <w:tcW w:w="959" w:type="pct"/>
            <w:vAlign w:val="center"/>
          </w:tcPr>
          <w:p w:rsidR="00BF14E0" w:rsidRPr="00476850" w:rsidRDefault="00BF14E0" w:rsidP="00476850">
            <w:pPr>
              <w:pStyle w:val="Tabletext"/>
              <w:jc w:val="center"/>
              <w:rPr>
                <w:sz w:val="20"/>
              </w:rPr>
            </w:pPr>
            <w:r w:rsidRPr="00476850">
              <w:rPr>
                <w:sz w:val="20"/>
              </w:rPr>
              <w:t>4 467</w:t>
            </w:r>
          </w:p>
        </w:tc>
        <w:tc>
          <w:tcPr>
            <w:tcW w:w="959" w:type="pct"/>
            <w:vAlign w:val="center"/>
          </w:tcPr>
          <w:p w:rsidR="00BF14E0" w:rsidRPr="00476850" w:rsidRDefault="00BF14E0" w:rsidP="00476850">
            <w:pPr>
              <w:pStyle w:val="Tabletext"/>
              <w:jc w:val="center"/>
              <w:rPr>
                <w:sz w:val="20"/>
              </w:rPr>
            </w:pPr>
            <w:r w:rsidRPr="00476850">
              <w:rPr>
                <w:sz w:val="20"/>
              </w:rPr>
              <w:t>813</w:t>
            </w:r>
          </w:p>
        </w:tc>
        <w:tc>
          <w:tcPr>
            <w:tcW w:w="959" w:type="pct"/>
            <w:vAlign w:val="center"/>
          </w:tcPr>
          <w:p w:rsidR="00BF14E0" w:rsidRPr="00476850" w:rsidRDefault="00BF14E0" w:rsidP="00476850">
            <w:pPr>
              <w:pStyle w:val="Tabletext"/>
              <w:jc w:val="center"/>
              <w:rPr>
                <w:sz w:val="20"/>
              </w:rPr>
            </w:pPr>
            <w:r w:rsidRPr="00476850">
              <w:rPr>
                <w:sz w:val="20"/>
              </w:rPr>
              <w:t>66</w:t>
            </w:r>
          </w:p>
        </w:tc>
        <w:tc>
          <w:tcPr>
            <w:tcW w:w="959" w:type="pct"/>
            <w:vAlign w:val="center"/>
          </w:tcPr>
          <w:p w:rsidR="00BF14E0" w:rsidRPr="00476850" w:rsidRDefault="00BF14E0" w:rsidP="00476850">
            <w:pPr>
              <w:pStyle w:val="Tabletext"/>
              <w:jc w:val="center"/>
              <w:rPr>
                <w:sz w:val="20"/>
              </w:rPr>
            </w:pPr>
            <w:r w:rsidRPr="00476850">
              <w:rPr>
                <w:sz w:val="20"/>
              </w:rPr>
              <w:t>1 565</w:t>
            </w:r>
          </w:p>
        </w:tc>
      </w:tr>
      <w:tr w:rsidR="00BF14E0" w:rsidRPr="006A444B" w:rsidTr="00476850">
        <w:trPr>
          <w:jc w:val="center"/>
        </w:trPr>
        <w:tc>
          <w:tcPr>
            <w:tcW w:w="1164" w:type="pct"/>
            <w:vAlign w:val="center"/>
          </w:tcPr>
          <w:p w:rsidR="00BF14E0" w:rsidRPr="00476850" w:rsidRDefault="00BF14E0" w:rsidP="00476850">
            <w:pPr>
              <w:pStyle w:val="Tabletext"/>
              <w:rPr>
                <w:sz w:val="20"/>
              </w:rPr>
            </w:pPr>
            <w:r w:rsidRPr="00476850">
              <w:rPr>
                <w:sz w:val="20"/>
              </w:rPr>
              <w:t>Receiving mobile earth station deployment</w:t>
            </w:r>
          </w:p>
        </w:tc>
        <w:tc>
          <w:tcPr>
            <w:tcW w:w="959" w:type="pct"/>
            <w:vAlign w:val="center"/>
          </w:tcPr>
          <w:p w:rsidR="00BF14E0" w:rsidRPr="00476850" w:rsidRDefault="00BF14E0" w:rsidP="00476850">
            <w:pPr>
              <w:pStyle w:val="Tabletext"/>
              <w:jc w:val="center"/>
              <w:rPr>
                <w:sz w:val="20"/>
              </w:rPr>
            </w:pPr>
            <w:r w:rsidRPr="00476850">
              <w:rPr>
                <w:sz w:val="20"/>
              </w:rPr>
              <w:t>Worldwide</w:t>
            </w:r>
          </w:p>
        </w:tc>
        <w:tc>
          <w:tcPr>
            <w:tcW w:w="959" w:type="pct"/>
            <w:vAlign w:val="center"/>
          </w:tcPr>
          <w:p w:rsidR="00BF14E0" w:rsidRPr="00476850" w:rsidRDefault="00BF14E0" w:rsidP="00476850">
            <w:pPr>
              <w:pStyle w:val="Tabletext"/>
              <w:jc w:val="center"/>
              <w:rPr>
                <w:sz w:val="20"/>
              </w:rPr>
            </w:pPr>
            <w:r w:rsidRPr="00476850">
              <w:rPr>
                <w:sz w:val="20"/>
              </w:rPr>
              <w:t>Worldwide</w:t>
            </w:r>
          </w:p>
        </w:tc>
        <w:tc>
          <w:tcPr>
            <w:tcW w:w="959" w:type="pct"/>
            <w:vAlign w:val="center"/>
          </w:tcPr>
          <w:p w:rsidR="00BF14E0" w:rsidRPr="00476850" w:rsidRDefault="00BF14E0" w:rsidP="00476850">
            <w:pPr>
              <w:pStyle w:val="Tabletext"/>
              <w:jc w:val="center"/>
              <w:rPr>
                <w:sz w:val="20"/>
              </w:rPr>
            </w:pPr>
            <w:r w:rsidRPr="00476850">
              <w:rPr>
                <w:sz w:val="20"/>
              </w:rPr>
              <w:t>Worldwide</w:t>
            </w:r>
          </w:p>
        </w:tc>
        <w:tc>
          <w:tcPr>
            <w:tcW w:w="959" w:type="pct"/>
            <w:vAlign w:val="center"/>
          </w:tcPr>
          <w:p w:rsidR="00BF14E0" w:rsidRPr="00476850" w:rsidRDefault="00BF14E0" w:rsidP="00476850">
            <w:pPr>
              <w:pStyle w:val="Tabletext"/>
              <w:jc w:val="center"/>
              <w:rPr>
                <w:sz w:val="20"/>
              </w:rPr>
            </w:pPr>
            <w:r w:rsidRPr="00476850">
              <w:rPr>
                <w:sz w:val="20"/>
              </w:rPr>
              <w:t>Worldwide</w:t>
            </w:r>
          </w:p>
        </w:tc>
      </w:tr>
      <w:tr w:rsidR="00BF14E0" w:rsidRPr="006A444B" w:rsidTr="00476850">
        <w:trPr>
          <w:jc w:val="center"/>
        </w:trPr>
        <w:tc>
          <w:tcPr>
            <w:tcW w:w="1164" w:type="pct"/>
            <w:vAlign w:val="center"/>
          </w:tcPr>
          <w:p w:rsidR="00BF14E0" w:rsidRPr="00476850" w:rsidRDefault="00BF14E0" w:rsidP="00476850">
            <w:pPr>
              <w:pStyle w:val="Tabletext"/>
              <w:rPr>
                <w:sz w:val="20"/>
              </w:rPr>
            </w:pPr>
            <w:r w:rsidRPr="00476850">
              <w:rPr>
                <w:sz w:val="20"/>
              </w:rPr>
              <w:t>Receiving mobile earth station polarization</w:t>
            </w:r>
          </w:p>
        </w:tc>
        <w:tc>
          <w:tcPr>
            <w:tcW w:w="959" w:type="pct"/>
            <w:vAlign w:val="center"/>
          </w:tcPr>
          <w:p w:rsidR="00BF14E0" w:rsidRPr="00476850" w:rsidRDefault="00BF14E0" w:rsidP="00476850">
            <w:pPr>
              <w:pStyle w:val="Tabletext"/>
              <w:jc w:val="center"/>
              <w:rPr>
                <w:sz w:val="20"/>
              </w:rPr>
            </w:pPr>
            <w:r w:rsidRPr="00476850">
              <w:rPr>
                <w:sz w:val="20"/>
              </w:rPr>
              <w:t>RHCP</w:t>
            </w:r>
          </w:p>
        </w:tc>
        <w:tc>
          <w:tcPr>
            <w:tcW w:w="959" w:type="pct"/>
            <w:vAlign w:val="center"/>
          </w:tcPr>
          <w:p w:rsidR="00BF14E0" w:rsidRPr="00476850" w:rsidRDefault="00BF14E0" w:rsidP="00476850">
            <w:pPr>
              <w:pStyle w:val="Tabletext"/>
              <w:jc w:val="center"/>
              <w:rPr>
                <w:sz w:val="20"/>
              </w:rPr>
            </w:pPr>
            <w:r w:rsidRPr="00476850">
              <w:rPr>
                <w:sz w:val="20"/>
              </w:rPr>
              <w:t>RHCP</w:t>
            </w:r>
          </w:p>
        </w:tc>
        <w:tc>
          <w:tcPr>
            <w:tcW w:w="959" w:type="pct"/>
            <w:vAlign w:val="center"/>
          </w:tcPr>
          <w:p w:rsidR="00BF14E0" w:rsidRPr="00476850" w:rsidRDefault="00BF14E0" w:rsidP="00476850">
            <w:pPr>
              <w:pStyle w:val="Tabletext"/>
              <w:jc w:val="center"/>
              <w:rPr>
                <w:sz w:val="20"/>
              </w:rPr>
            </w:pPr>
            <w:r w:rsidRPr="00476850">
              <w:rPr>
                <w:sz w:val="20"/>
              </w:rPr>
              <w:t>LHCP</w:t>
            </w:r>
          </w:p>
        </w:tc>
        <w:tc>
          <w:tcPr>
            <w:tcW w:w="959" w:type="pct"/>
            <w:vAlign w:val="center"/>
          </w:tcPr>
          <w:p w:rsidR="00BF14E0" w:rsidRPr="00476850" w:rsidRDefault="00BF14E0" w:rsidP="00476850">
            <w:pPr>
              <w:pStyle w:val="Tabletext"/>
              <w:jc w:val="center"/>
              <w:rPr>
                <w:sz w:val="20"/>
              </w:rPr>
            </w:pPr>
            <w:r w:rsidRPr="00476850">
              <w:rPr>
                <w:sz w:val="20"/>
              </w:rPr>
              <w:t>RHCP</w:t>
            </w:r>
          </w:p>
        </w:tc>
      </w:tr>
    </w:tbl>
    <w:p w:rsidR="00BF14E0" w:rsidRPr="00476850" w:rsidRDefault="00BF14E0" w:rsidP="00476850">
      <w:pPr>
        <w:pStyle w:val="TableNo"/>
        <w:rPr>
          <w:sz w:val="20"/>
          <w:lang w:val="en-US"/>
        </w:rPr>
      </w:pPr>
      <w:r w:rsidRPr="00476850">
        <w:rPr>
          <w:sz w:val="20"/>
          <w:lang w:val="en-US"/>
        </w:rPr>
        <w:t>Table 2</w:t>
      </w:r>
    </w:p>
    <w:p w:rsidR="00BF14E0" w:rsidRPr="00476850" w:rsidRDefault="00BF14E0" w:rsidP="00476850">
      <w:pPr>
        <w:pStyle w:val="Tabletitle"/>
        <w:rPr>
          <w:sz w:val="20"/>
          <w:lang w:val="en-US"/>
        </w:rPr>
      </w:pPr>
      <w:r w:rsidRPr="00476850">
        <w:rPr>
          <w:sz w:val="20"/>
          <w:lang w:val="en-US"/>
        </w:rPr>
        <w:t>Characteristics of MSS satellite receivers in the band 148-150.05 MHz</w:t>
      </w:r>
    </w:p>
    <w:tbl>
      <w:tblPr>
        <w:tblW w:w="10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7"/>
        <w:gridCol w:w="1535"/>
        <w:gridCol w:w="1535"/>
        <w:gridCol w:w="1712"/>
        <w:gridCol w:w="1712"/>
        <w:gridCol w:w="1536"/>
      </w:tblGrid>
      <w:tr w:rsidR="00BF14E0" w:rsidRPr="006A444B" w:rsidTr="00476850">
        <w:trPr>
          <w:jc w:val="center"/>
        </w:trPr>
        <w:tc>
          <w:tcPr>
            <w:tcW w:w="2007" w:type="dxa"/>
            <w:vAlign w:val="center"/>
          </w:tcPr>
          <w:p w:rsidR="00BF14E0" w:rsidRPr="00476850" w:rsidRDefault="00BF14E0" w:rsidP="00476850">
            <w:pPr>
              <w:pStyle w:val="Tabletext"/>
              <w:rPr>
                <w:sz w:val="20"/>
                <w:lang w:val="en-US"/>
              </w:rPr>
            </w:pPr>
            <w:r w:rsidRPr="00476850">
              <w:rPr>
                <w:sz w:val="20"/>
                <w:lang w:val="en-US"/>
              </w:rPr>
              <w:t>Receiving satellite altitude (km)</w:t>
            </w:r>
          </w:p>
        </w:tc>
        <w:tc>
          <w:tcPr>
            <w:tcW w:w="1535" w:type="dxa"/>
            <w:vAlign w:val="center"/>
          </w:tcPr>
          <w:p w:rsidR="00BF14E0" w:rsidRPr="00476850" w:rsidRDefault="00BF14E0" w:rsidP="00476850">
            <w:pPr>
              <w:pStyle w:val="Tabletext"/>
              <w:jc w:val="center"/>
              <w:rPr>
                <w:sz w:val="20"/>
                <w:lang w:val="en-US"/>
              </w:rPr>
            </w:pPr>
            <w:r w:rsidRPr="00476850">
              <w:rPr>
                <w:sz w:val="20"/>
                <w:lang w:val="en-US"/>
              </w:rPr>
              <w:t>950</w:t>
            </w:r>
          </w:p>
        </w:tc>
        <w:tc>
          <w:tcPr>
            <w:tcW w:w="1535" w:type="dxa"/>
            <w:vAlign w:val="center"/>
          </w:tcPr>
          <w:p w:rsidR="00BF14E0" w:rsidRPr="00476850" w:rsidRDefault="00BF14E0" w:rsidP="00476850">
            <w:pPr>
              <w:pStyle w:val="Tabletext"/>
              <w:jc w:val="center"/>
              <w:rPr>
                <w:sz w:val="20"/>
                <w:lang w:val="en-US"/>
              </w:rPr>
            </w:pPr>
            <w:r w:rsidRPr="00476850">
              <w:rPr>
                <w:sz w:val="20"/>
                <w:lang w:val="en-US"/>
              </w:rPr>
              <w:t>775</w:t>
            </w:r>
          </w:p>
        </w:tc>
        <w:tc>
          <w:tcPr>
            <w:tcW w:w="1712" w:type="dxa"/>
            <w:vAlign w:val="center"/>
          </w:tcPr>
          <w:p w:rsidR="00BF14E0" w:rsidRPr="00476850" w:rsidRDefault="00BF14E0" w:rsidP="00476850">
            <w:pPr>
              <w:pStyle w:val="Tabletext"/>
              <w:jc w:val="center"/>
              <w:rPr>
                <w:sz w:val="20"/>
                <w:lang w:val="en-US"/>
              </w:rPr>
            </w:pPr>
            <w:r w:rsidRPr="00476850">
              <w:rPr>
                <w:sz w:val="20"/>
                <w:lang w:val="en-US"/>
              </w:rPr>
              <w:t>800</w:t>
            </w:r>
          </w:p>
        </w:tc>
        <w:tc>
          <w:tcPr>
            <w:tcW w:w="1712" w:type="dxa"/>
            <w:vAlign w:val="center"/>
          </w:tcPr>
          <w:p w:rsidR="00BF14E0" w:rsidRPr="00476850" w:rsidRDefault="00BF14E0" w:rsidP="00476850">
            <w:pPr>
              <w:pStyle w:val="Tabletext"/>
              <w:jc w:val="center"/>
              <w:rPr>
                <w:sz w:val="20"/>
                <w:lang w:val="en-US"/>
              </w:rPr>
            </w:pPr>
            <w:r w:rsidRPr="00476850">
              <w:rPr>
                <w:sz w:val="20"/>
                <w:lang w:val="en-US"/>
              </w:rPr>
              <w:t>893</w:t>
            </w:r>
          </w:p>
        </w:tc>
        <w:tc>
          <w:tcPr>
            <w:tcW w:w="1536" w:type="dxa"/>
            <w:vAlign w:val="center"/>
          </w:tcPr>
          <w:p w:rsidR="00BF14E0" w:rsidRPr="00476850" w:rsidRDefault="00BF14E0" w:rsidP="00476850">
            <w:pPr>
              <w:pStyle w:val="Tabletext"/>
              <w:jc w:val="center"/>
              <w:rPr>
                <w:sz w:val="20"/>
                <w:lang w:val="en-US"/>
              </w:rPr>
            </w:pPr>
            <w:r w:rsidRPr="00476850">
              <w:rPr>
                <w:sz w:val="20"/>
                <w:lang w:val="en-US"/>
              </w:rPr>
              <w:t>1 000</w:t>
            </w:r>
          </w:p>
        </w:tc>
      </w:tr>
      <w:tr w:rsidR="00BF14E0" w:rsidRPr="006A444B" w:rsidTr="00476850">
        <w:trPr>
          <w:jc w:val="center"/>
        </w:trPr>
        <w:tc>
          <w:tcPr>
            <w:tcW w:w="2007" w:type="dxa"/>
            <w:vAlign w:val="center"/>
          </w:tcPr>
          <w:p w:rsidR="00BF14E0" w:rsidRPr="00476850" w:rsidRDefault="00BF14E0" w:rsidP="00476850">
            <w:pPr>
              <w:pStyle w:val="Tabletext"/>
              <w:rPr>
                <w:sz w:val="20"/>
                <w:lang w:val="en-US"/>
              </w:rPr>
            </w:pPr>
            <w:r w:rsidRPr="00476850">
              <w:rPr>
                <w:sz w:val="20"/>
                <w:lang w:val="en-US"/>
              </w:rPr>
              <w:t>Receiving satellite antenna gain (dBi)</w:t>
            </w:r>
          </w:p>
        </w:tc>
        <w:tc>
          <w:tcPr>
            <w:tcW w:w="1535" w:type="dxa"/>
            <w:vAlign w:val="center"/>
          </w:tcPr>
          <w:p w:rsidR="00BF14E0" w:rsidRPr="00476850" w:rsidRDefault="00BF14E0" w:rsidP="00476850">
            <w:pPr>
              <w:pStyle w:val="Tabletext"/>
              <w:jc w:val="center"/>
              <w:rPr>
                <w:sz w:val="20"/>
                <w:lang w:val="en-US"/>
              </w:rPr>
            </w:pPr>
            <w:r w:rsidRPr="00476850">
              <w:rPr>
                <w:sz w:val="20"/>
                <w:lang w:val="en-US"/>
              </w:rPr>
              <w:t>−2</w:t>
            </w:r>
          </w:p>
        </w:tc>
        <w:tc>
          <w:tcPr>
            <w:tcW w:w="1535" w:type="dxa"/>
            <w:vAlign w:val="center"/>
          </w:tcPr>
          <w:p w:rsidR="00BF14E0" w:rsidRPr="00476850" w:rsidRDefault="00BF14E0" w:rsidP="00476850">
            <w:pPr>
              <w:pStyle w:val="Tabletext"/>
              <w:jc w:val="center"/>
              <w:rPr>
                <w:sz w:val="20"/>
                <w:lang w:val="en-US"/>
              </w:rPr>
            </w:pPr>
            <w:r w:rsidRPr="00476850">
              <w:rPr>
                <w:sz w:val="20"/>
                <w:lang w:val="en-US"/>
              </w:rPr>
              <w:t>0</w:t>
            </w:r>
          </w:p>
        </w:tc>
        <w:tc>
          <w:tcPr>
            <w:tcW w:w="1712" w:type="dxa"/>
            <w:vAlign w:val="center"/>
          </w:tcPr>
          <w:p w:rsidR="00BF14E0" w:rsidRPr="00476850" w:rsidRDefault="00BF14E0" w:rsidP="00476850">
            <w:pPr>
              <w:pStyle w:val="Tabletext"/>
              <w:jc w:val="center"/>
              <w:rPr>
                <w:sz w:val="20"/>
                <w:lang w:val="en-US"/>
              </w:rPr>
            </w:pPr>
            <w:r w:rsidRPr="00476850">
              <w:rPr>
                <w:sz w:val="20"/>
                <w:lang w:val="en-US"/>
              </w:rPr>
              <w:t>0</w:t>
            </w:r>
          </w:p>
        </w:tc>
        <w:tc>
          <w:tcPr>
            <w:tcW w:w="1712" w:type="dxa"/>
            <w:vAlign w:val="center"/>
          </w:tcPr>
          <w:p w:rsidR="00BF14E0" w:rsidRPr="00476850" w:rsidRDefault="00BF14E0" w:rsidP="00476850">
            <w:pPr>
              <w:pStyle w:val="Tabletext"/>
              <w:jc w:val="center"/>
              <w:rPr>
                <w:sz w:val="20"/>
                <w:lang w:val="en-US"/>
              </w:rPr>
            </w:pPr>
            <w:r w:rsidRPr="00476850">
              <w:rPr>
                <w:sz w:val="20"/>
                <w:lang w:val="en-US"/>
              </w:rPr>
              <w:t>5.6</w:t>
            </w:r>
          </w:p>
        </w:tc>
        <w:tc>
          <w:tcPr>
            <w:tcW w:w="1536" w:type="dxa"/>
            <w:vAlign w:val="center"/>
          </w:tcPr>
          <w:p w:rsidR="00BF14E0" w:rsidRPr="00476850" w:rsidRDefault="00BF14E0" w:rsidP="00476850">
            <w:pPr>
              <w:pStyle w:val="Tabletext"/>
              <w:jc w:val="center"/>
              <w:rPr>
                <w:sz w:val="20"/>
                <w:lang w:val="en-US"/>
              </w:rPr>
            </w:pPr>
            <w:r w:rsidRPr="00476850">
              <w:rPr>
                <w:sz w:val="20"/>
                <w:lang w:val="en-US"/>
              </w:rPr>
              <w:t>6</w:t>
            </w:r>
          </w:p>
        </w:tc>
      </w:tr>
      <w:tr w:rsidR="00BF14E0" w:rsidRPr="006A444B" w:rsidTr="00476850">
        <w:trPr>
          <w:jc w:val="center"/>
        </w:trPr>
        <w:tc>
          <w:tcPr>
            <w:tcW w:w="2007" w:type="dxa"/>
            <w:vAlign w:val="center"/>
          </w:tcPr>
          <w:p w:rsidR="00BF14E0" w:rsidRPr="00476850" w:rsidRDefault="00BF14E0" w:rsidP="00476850">
            <w:pPr>
              <w:pStyle w:val="Tabletext"/>
              <w:rPr>
                <w:sz w:val="20"/>
                <w:lang w:val="en-US"/>
              </w:rPr>
            </w:pPr>
            <w:r w:rsidRPr="00476850">
              <w:rPr>
                <w:sz w:val="20"/>
                <w:lang w:val="en-US"/>
              </w:rPr>
              <w:t>Receiving satellite antenna pattern</w:t>
            </w:r>
          </w:p>
        </w:tc>
        <w:tc>
          <w:tcPr>
            <w:tcW w:w="1535" w:type="dxa"/>
            <w:vAlign w:val="center"/>
          </w:tcPr>
          <w:p w:rsidR="00BF14E0" w:rsidRPr="00476850" w:rsidRDefault="00BF14E0" w:rsidP="00476850">
            <w:pPr>
              <w:pStyle w:val="Tabletext"/>
              <w:jc w:val="center"/>
              <w:rPr>
                <w:sz w:val="20"/>
                <w:lang w:val="en-US"/>
              </w:rPr>
            </w:pPr>
            <w:r w:rsidRPr="00476850">
              <w:rPr>
                <w:sz w:val="20"/>
                <w:lang w:val="en-US"/>
              </w:rPr>
              <w:t>Isoflux</w:t>
            </w:r>
          </w:p>
        </w:tc>
        <w:tc>
          <w:tcPr>
            <w:tcW w:w="1535" w:type="dxa"/>
            <w:vAlign w:val="center"/>
          </w:tcPr>
          <w:p w:rsidR="00BF14E0" w:rsidRPr="00476850" w:rsidRDefault="00BF14E0" w:rsidP="00476850">
            <w:pPr>
              <w:pStyle w:val="Tabletext"/>
              <w:jc w:val="center"/>
              <w:rPr>
                <w:sz w:val="20"/>
                <w:lang w:val="en-US"/>
              </w:rPr>
            </w:pPr>
            <w:r w:rsidRPr="00476850">
              <w:rPr>
                <w:sz w:val="20"/>
                <w:lang w:val="en-US"/>
              </w:rPr>
              <w:t>Toroidal</w:t>
            </w:r>
          </w:p>
        </w:tc>
        <w:tc>
          <w:tcPr>
            <w:tcW w:w="1712" w:type="dxa"/>
            <w:vAlign w:val="center"/>
          </w:tcPr>
          <w:p w:rsidR="00BF14E0" w:rsidRPr="00476850" w:rsidRDefault="00BF14E0" w:rsidP="00476850">
            <w:pPr>
              <w:pStyle w:val="Tabletext"/>
              <w:jc w:val="center"/>
              <w:rPr>
                <w:sz w:val="20"/>
                <w:lang w:val="en-US"/>
              </w:rPr>
            </w:pPr>
            <w:r w:rsidRPr="00476850">
              <w:rPr>
                <w:sz w:val="20"/>
                <w:lang w:val="en-US"/>
              </w:rPr>
              <w:t xml:space="preserve">10 log (cos 2 </w:t>
            </w:r>
            <w:r w:rsidRPr="00476850">
              <w:rPr>
                <w:sz w:val="20"/>
                <w:lang w:val="en-US"/>
              </w:rPr>
              <w:sym w:font="Symbol" w:char="F071"/>
            </w:r>
            <w:r w:rsidRPr="00476850">
              <w:rPr>
                <w:sz w:val="20"/>
                <w:lang w:val="en-US"/>
              </w:rPr>
              <w:t>)</w:t>
            </w:r>
          </w:p>
        </w:tc>
        <w:tc>
          <w:tcPr>
            <w:tcW w:w="1712" w:type="dxa"/>
            <w:vAlign w:val="center"/>
          </w:tcPr>
          <w:p w:rsidR="00BF14E0" w:rsidRPr="00476850" w:rsidRDefault="00BF14E0" w:rsidP="00476850">
            <w:pPr>
              <w:pStyle w:val="Tabletext"/>
              <w:jc w:val="center"/>
              <w:rPr>
                <w:sz w:val="20"/>
                <w:lang w:val="en-US"/>
              </w:rPr>
            </w:pPr>
            <w:r w:rsidRPr="00476850">
              <w:rPr>
                <w:sz w:val="20"/>
                <w:lang w:val="en-US"/>
              </w:rPr>
              <w:t xml:space="preserve">10 log (cos 2 </w:t>
            </w:r>
            <w:r w:rsidRPr="00476850">
              <w:rPr>
                <w:sz w:val="20"/>
                <w:lang w:val="en-US"/>
              </w:rPr>
              <w:sym w:font="Symbol" w:char="F071"/>
            </w:r>
            <w:r w:rsidRPr="00476850">
              <w:rPr>
                <w:sz w:val="20"/>
                <w:lang w:val="en-US"/>
              </w:rPr>
              <w:t>)</w:t>
            </w:r>
          </w:p>
        </w:tc>
        <w:tc>
          <w:tcPr>
            <w:tcW w:w="1536" w:type="dxa"/>
            <w:vAlign w:val="center"/>
          </w:tcPr>
          <w:p w:rsidR="00BF14E0" w:rsidRPr="00476850" w:rsidRDefault="00BF14E0" w:rsidP="00476850">
            <w:pPr>
              <w:pStyle w:val="Tabletext"/>
              <w:jc w:val="center"/>
              <w:rPr>
                <w:sz w:val="20"/>
                <w:lang w:val="en-US"/>
              </w:rPr>
            </w:pPr>
            <w:r w:rsidRPr="00476850">
              <w:rPr>
                <w:sz w:val="20"/>
                <w:lang w:val="en-US"/>
              </w:rPr>
              <w:t>Isoflux</w:t>
            </w:r>
          </w:p>
        </w:tc>
      </w:tr>
      <w:tr w:rsidR="00BF14E0" w:rsidRPr="006A444B" w:rsidTr="00476850">
        <w:trPr>
          <w:jc w:val="center"/>
        </w:trPr>
        <w:tc>
          <w:tcPr>
            <w:tcW w:w="2007" w:type="dxa"/>
            <w:vAlign w:val="center"/>
          </w:tcPr>
          <w:p w:rsidR="00BF14E0" w:rsidRPr="00476850" w:rsidRDefault="00BF14E0" w:rsidP="00476850">
            <w:pPr>
              <w:pStyle w:val="Tabletext"/>
              <w:rPr>
                <w:sz w:val="20"/>
                <w:lang w:val="en-US"/>
              </w:rPr>
            </w:pPr>
            <w:r w:rsidRPr="00476850">
              <w:rPr>
                <w:sz w:val="20"/>
                <w:lang w:val="en-US"/>
              </w:rPr>
              <w:t>Receiving satellite noise temperature (K)</w:t>
            </w:r>
          </w:p>
        </w:tc>
        <w:tc>
          <w:tcPr>
            <w:tcW w:w="1535" w:type="dxa"/>
            <w:vAlign w:val="center"/>
          </w:tcPr>
          <w:p w:rsidR="00BF14E0" w:rsidRPr="00476850" w:rsidRDefault="00BF14E0" w:rsidP="00476850">
            <w:pPr>
              <w:pStyle w:val="Tabletext"/>
              <w:jc w:val="center"/>
              <w:rPr>
                <w:sz w:val="20"/>
                <w:lang w:val="en-US"/>
              </w:rPr>
            </w:pPr>
            <w:r w:rsidRPr="00476850">
              <w:rPr>
                <w:sz w:val="20"/>
                <w:lang w:val="en-US"/>
              </w:rPr>
              <w:t>309</w:t>
            </w:r>
          </w:p>
        </w:tc>
        <w:tc>
          <w:tcPr>
            <w:tcW w:w="1535" w:type="dxa"/>
            <w:vAlign w:val="center"/>
          </w:tcPr>
          <w:p w:rsidR="00BF14E0" w:rsidRPr="00476850" w:rsidRDefault="00BF14E0" w:rsidP="00476850">
            <w:pPr>
              <w:pStyle w:val="Tabletext"/>
              <w:jc w:val="center"/>
              <w:rPr>
                <w:sz w:val="20"/>
                <w:lang w:val="en-US"/>
              </w:rPr>
            </w:pPr>
            <w:r w:rsidRPr="00476850">
              <w:rPr>
                <w:sz w:val="20"/>
                <w:lang w:val="en-US"/>
              </w:rPr>
              <w:t>400</w:t>
            </w:r>
          </w:p>
        </w:tc>
        <w:tc>
          <w:tcPr>
            <w:tcW w:w="1712" w:type="dxa"/>
            <w:vAlign w:val="center"/>
          </w:tcPr>
          <w:p w:rsidR="00BF14E0" w:rsidRPr="00476850" w:rsidRDefault="00BF14E0" w:rsidP="00476850">
            <w:pPr>
              <w:pStyle w:val="Tabletext"/>
              <w:jc w:val="center"/>
              <w:rPr>
                <w:sz w:val="20"/>
                <w:lang w:val="en-US"/>
              </w:rPr>
            </w:pPr>
            <w:r w:rsidRPr="00476850">
              <w:rPr>
                <w:sz w:val="20"/>
                <w:lang w:val="en-US"/>
              </w:rPr>
              <w:t>1 000</w:t>
            </w:r>
          </w:p>
        </w:tc>
        <w:tc>
          <w:tcPr>
            <w:tcW w:w="1712" w:type="dxa"/>
            <w:vAlign w:val="center"/>
          </w:tcPr>
          <w:p w:rsidR="00BF14E0" w:rsidRPr="00476850" w:rsidRDefault="00BF14E0" w:rsidP="00476850">
            <w:pPr>
              <w:pStyle w:val="Tabletext"/>
              <w:jc w:val="center"/>
              <w:rPr>
                <w:sz w:val="20"/>
                <w:lang w:val="en-US"/>
              </w:rPr>
            </w:pPr>
            <w:r w:rsidRPr="00476850">
              <w:rPr>
                <w:sz w:val="20"/>
                <w:lang w:val="en-US"/>
              </w:rPr>
              <w:t>1 480</w:t>
            </w:r>
          </w:p>
        </w:tc>
        <w:tc>
          <w:tcPr>
            <w:tcW w:w="1536" w:type="dxa"/>
            <w:vAlign w:val="center"/>
          </w:tcPr>
          <w:p w:rsidR="00BF14E0" w:rsidRPr="00476850" w:rsidRDefault="00BF14E0" w:rsidP="00476850">
            <w:pPr>
              <w:pStyle w:val="Tabletext"/>
              <w:jc w:val="center"/>
              <w:rPr>
                <w:sz w:val="20"/>
                <w:lang w:val="en-US"/>
              </w:rPr>
            </w:pPr>
            <w:r w:rsidRPr="00476850">
              <w:rPr>
                <w:sz w:val="20"/>
                <w:lang w:val="en-US"/>
              </w:rPr>
              <w:t>940</w:t>
            </w:r>
          </w:p>
        </w:tc>
      </w:tr>
      <w:tr w:rsidR="00BF14E0" w:rsidRPr="006A444B" w:rsidTr="00476850">
        <w:trPr>
          <w:jc w:val="center"/>
        </w:trPr>
        <w:tc>
          <w:tcPr>
            <w:tcW w:w="2007" w:type="dxa"/>
            <w:vAlign w:val="center"/>
          </w:tcPr>
          <w:p w:rsidR="00BF14E0" w:rsidRPr="00476850" w:rsidRDefault="00BF14E0" w:rsidP="00476850">
            <w:pPr>
              <w:pStyle w:val="Tabletext"/>
              <w:rPr>
                <w:sz w:val="20"/>
                <w:lang w:val="en-US"/>
              </w:rPr>
            </w:pPr>
            <w:r w:rsidRPr="00476850">
              <w:rPr>
                <w:sz w:val="20"/>
                <w:lang w:val="en-US"/>
              </w:rPr>
              <w:t>Receiver polarization</w:t>
            </w:r>
          </w:p>
        </w:tc>
        <w:tc>
          <w:tcPr>
            <w:tcW w:w="1535" w:type="dxa"/>
            <w:vAlign w:val="center"/>
          </w:tcPr>
          <w:p w:rsidR="00BF14E0" w:rsidRPr="00476850" w:rsidRDefault="00BF14E0" w:rsidP="00476850">
            <w:pPr>
              <w:pStyle w:val="Tabletext"/>
              <w:jc w:val="center"/>
              <w:rPr>
                <w:sz w:val="20"/>
                <w:lang w:val="en-US"/>
              </w:rPr>
            </w:pPr>
            <w:r w:rsidRPr="00476850">
              <w:rPr>
                <w:sz w:val="20"/>
                <w:lang w:val="en-US"/>
              </w:rPr>
              <w:t>Linear</w:t>
            </w:r>
          </w:p>
        </w:tc>
        <w:tc>
          <w:tcPr>
            <w:tcW w:w="1535" w:type="dxa"/>
            <w:vAlign w:val="center"/>
          </w:tcPr>
          <w:p w:rsidR="00BF14E0" w:rsidRPr="00476850" w:rsidRDefault="00BF14E0" w:rsidP="00476850">
            <w:pPr>
              <w:pStyle w:val="Tabletext"/>
              <w:jc w:val="center"/>
              <w:rPr>
                <w:sz w:val="20"/>
                <w:lang w:val="en-US"/>
              </w:rPr>
            </w:pPr>
            <w:r w:rsidRPr="00476850">
              <w:rPr>
                <w:sz w:val="20"/>
                <w:lang w:val="en-US"/>
              </w:rPr>
              <w:t>Linear</w:t>
            </w:r>
          </w:p>
        </w:tc>
        <w:tc>
          <w:tcPr>
            <w:tcW w:w="1712" w:type="dxa"/>
            <w:vAlign w:val="center"/>
          </w:tcPr>
          <w:p w:rsidR="00BF14E0" w:rsidRPr="00476850" w:rsidRDefault="00BF14E0" w:rsidP="00476850">
            <w:pPr>
              <w:pStyle w:val="Tabletext"/>
              <w:jc w:val="center"/>
              <w:rPr>
                <w:sz w:val="20"/>
                <w:lang w:val="en-US"/>
              </w:rPr>
            </w:pPr>
            <w:r w:rsidRPr="00476850">
              <w:rPr>
                <w:sz w:val="20"/>
                <w:lang w:val="en-US"/>
              </w:rPr>
              <w:t>RHCP</w:t>
            </w:r>
          </w:p>
        </w:tc>
        <w:tc>
          <w:tcPr>
            <w:tcW w:w="1712" w:type="dxa"/>
            <w:vAlign w:val="center"/>
          </w:tcPr>
          <w:p w:rsidR="00BF14E0" w:rsidRPr="00476850" w:rsidRDefault="00BF14E0" w:rsidP="00476850">
            <w:pPr>
              <w:pStyle w:val="Tabletext"/>
              <w:jc w:val="center"/>
              <w:rPr>
                <w:sz w:val="20"/>
                <w:lang w:val="en-US"/>
              </w:rPr>
            </w:pPr>
            <w:r w:rsidRPr="00476850">
              <w:rPr>
                <w:sz w:val="20"/>
                <w:lang w:val="en-US"/>
              </w:rPr>
              <w:t>LHCP</w:t>
            </w:r>
          </w:p>
        </w:tc>
        <w:tc>
          <w:tcPr>
            <w:tcW w:w="1536" w:type="dxa"/>
            <w:vAlign w:val="center"/>
          </w:tcPr>
          <w:p w:rsidR="00BF14E0" w:rsidRPr="00476850" w:rsidRDefault="00BF14E0" w:rsidP="00476850">
            <w:pPr>
              <w:pStyle w:val="Tabletext"/>
              <w:jc w:val="center"/>
              <w:rPr>
                <w:sz w:val="20"/>
                <w:lang w:val="en-US"/>
              </w:rPr>
            </w:pPr>
            <w:r w:rsidRPr="00476850">
              <w:rPr>
                <w:sz w:val="20"/>
                <w:lang w:val="en-US"/>
              </w:rPr>
              <w:t>Linear</w:t>
            </w:r>
          </w:p>
        </w:tc>
      </w:tr>
    </w:tbl>
    <w:p w:rsidR="00BF14E0" w:rsidRPr="006A444B" w:rsidRDefault="00BF14E0" w:rsidP="00BF14E0">
      <w:pPr>
        <w:rPr>
          <w:lang w:val="en-US"/>
        </w:rPr>
      </w:pPr>
      <w:r w:rsidRPr="006A444B">
        <w:rPr>
          <w:lang w:val="en-US"/>
        </w:rPr>
        <w:t xml:space="preserve">With regard to the RNSS allocation in the 149.9-150.05 MHz band, the following characteristics are extracted from the ITU database and correspond to existing systems operating in this band: </w:t>
      </w:r>
    </w:p>
    <w:p w:rsidR="00BF14E0" w:rsidRPr="006A444B" w:rsidRDefault="00BF14E0" w:rsidP="00BF14E0">
      <w:pPr>
        <w:pStyle w:val="enumlev1"/>
        <w:rPr>
          <w:lang w:val="en-US"/>
        </w:rPr>
      </w:pPr>
      <w:r w:rsidRPr="006A444B">
        <w:rPr>
          <w:lang w:val="en-US"/>
        </w:rPr>
        <w:t>−</w:t>
      </w:r>
      <w:r w:rsidRPr="006A444B">
        <w:rPr>
          <w:lang w:val="en-US"/>
        </w:rPr>
        <w:tab/>
        <w:t>RNSS receiving earth station antenna gain: 0 dBi;</w:t>
      </w:r>
    </w:p>
    <w:p w:rsidR="00BF14E0" w:rsidRPr="006A444B" w:rsidRDefault="00BF14E0" w:rsidP="00BF14E0">
      <w:pPr>
        <w:pStyle w:val="enumlev1"/>
        <w:rPr>
          <w:lang w:val="en-US"/>
        </w:rPr>
      </w:pPr>
      <w:r w:rsidRPr="006A444B">
        <w:rPr>
          <w:lang w:val="en-US"/>
        </w:rPr>
        <w:t>−</w:t>
      </w:r>
      <w:r w:rsidRPr="006A444B">
        <w:rPr>
          <w:lang w:val="en-US"/>
        </w:rPr>
        <w:tab/>
        <w:t>RNSS receiving earth station antenna pattern: omnidirectional;</w:t>
      </w:r>
    </w:p>
    <w:p w:rsidR="00BF14E0" w:rsidRPr="006A444B" w:rsidRDefault="00BF14E0" w:rsidP="00BF14E0">
      <w:pPr>
        <w:pStyle w:val="enumlev1"/>
        <w:rPr>
          <w:lang w:val="en-US"/>
        </w:rPr>
      </w:pPr>
      <w:r w:rsidRPr="006A444B">
        <w:rPr>
          <w:lang w:val="en-US"/>
        </w:rPr>
        <w:t>−</w:t>
      </w:r>
      <w:r w:rsidRPr="006A444B">
        <w:rPr>
          <w:lang w:val="en-US"/>
        </w:rPr>
        <w:tab/>
        <w:t>RNSS receiving earth station noise temperature: 200 K;</w:t>
      </w:r>
    </w:p>
    <w:p w:rsidR="00BF14E0" w:rsidRPr="006A444B" w:rsidRDefault="00BF14E0" w:rsidP="00BF14E0">
      <w:pPr>
        <w:pStyle w:val="enumlev1"/>
        <w:rPr>
          <w:lang w:val="en-US"/>
        </w:rPr>
      </w:pPr>
      <w:r w:rsidRPr="006A444B">
        <w:rPr>
          <w:lang w:val="en-US"/>
        </w:rPr>
        <w:t>−</w:t>
      </w:r>
      <w:r w:rsidRPr="006A444B">
        <w:rPr>
          <w:lang w:val="en-US"/>
        </w:rPr>
        <w:tab/>
        <w:t>RNSS receiving earth station deployment: worldwide.</w:t>
      </w:r>
    </w:p>
    <w:p w:rsidR="00BF14E0" w:rsidRPr="006A444B" w:rsidRDefault="00BF14E0" w:rsidP="00BF14E0">
      <w:pPr>
        <w:pStyle w:val="Heading2"/>
        <w:rPr>
          <w:lang w:val="en-US"/>
        </w:rPr>
      </w:pPr>
      <w:bookmarkStart w:id="27" w:name="_Toc265129550"/>
      <w:r w:rsidRPr="006A444B">
        <w:rPr>
          <w:lang w:val="en-US"/>
        </w:rPr>
        <w:t>3.8</w:t>
      </w:r>
      <w:r w:rsidRPr="006A444B">
        <w:rPr>
          <w:lang w:val="en-US"/>
        </w:rPr>
        <w:tab/>
        <w:t>Meteorological-satellite</w:t>
      </w:r>
      <w:bookmarkEnd w:id="27"/>
    </w:p>
    <w:p w:rsidR="00BF14E0" w:rsidRPr="006A444B" w:rsidRDefault="00BF14E0" w:rsidP="00BF14E0">
      <w:pPr>
        <w:rPr>
          <w:lang w:val="en-US"/>
        </w:rPr>
      </w:pPr>
      <w:r w:rsidRPr="006A444B">
        <w:rPr>
          <w:lang w:val="en-US"/>
        </w:rPr>
        <w:t>[TBD]</w:t>
      </w:r>
    </w:p>
    <w:p w:rsidR="00BF14E0" w:rsidRPr="006A444B" w:rsidRDefault="00BF14E0" w:rsidP="00BF14E0">
      <w:pPr>
        <w:pStyle w:val="Heading2"/>
        <w:rPr>
          <w:lang w:val="en-US"/>
        </w:rPr>
      </w:pPr>
      <w:bookmarkStart w:id="28" w:name="_Toc265129551"/>
      <w:r w:rsidRPr="006A444B">
        <w:rPr>
          <w:lang w:val="en-US"/>
        </w:rPr>
        <w:t>3.9</w:t>
      </w:r>
      <w:r w:rsidRPr="006A444B">
        <w:rPr>
          <w:lang w:val="en-US"/>
        </w:rPr>
        <w:tab/>
        <w:t>Space research</w:t>
      </w:r>
      <w:bookmarkEnd w:id="28"/>
    </w:p>
    <w:p w:rsidR="00BF14E0" w:rsidRPr="006A444B" w:rsidRDefault="00BF14E0" w:rsidP="00BF14E0">
      <w:pPr>
        <w:rPr>
          <w:lang w:val="en-US"/>
        </w:rPr>
      </w:pPr>
      <w:r w:rsidRPr="006A444B">
        <w:rPr>
          <w:lang w:val="en-US"/>
        </w:rPr>
        <w:t>[TBD]</w:t>
      </w:r>
    </w:p>
    <w:p w:rsidR="00BF14E0" w:rsidRPr="006A444B" w:rsidRDefault="00BF14E0" w:rsidP="00BF14E0">
      <w:pPr>
        <w:pStyle w:val="Heading2"/>
        <w:rPr>
          <w:lang w:val="en-US"/>
        </w:rPr>
      </w:pPr>
      <w:bookmarkStart w:id="29" w:name="_Toc265129552"/>
      <w:r w:rsidRPr="006A444B">
        <w:rPr>
          <w:lang w:val="en-US"/>
        </w:rPr>
        <w:t>3.10</w:t>
      </w:r>
      <w:r w:rsidRPr="006A444B">
        <w:rPr>
          <w:lang w:val="en-US"/>
        </w:rPr>
        <w:tab/>
        <w:t>Space operation</w:t>
      </w:r>
      <w:bookmarkEnd w:id="29"/>
    </w:p>
    <w:p w:rsidR="00BF14E0" w:rsidRPr="006A444B" w:rsidRDefault="00BF14E0" w:rsidP="00BF14E0">
      <w:pPr>
        <w:rPr>
          <w:lang w:val="en-US"/>
        </w:rPr>
      </w:pPr>
      <w:r w:rsidRPr="006A444B">
        <w:rPr>
          <w:lang w:val="en-US"/>
        </w:rPr>
        <w:t>[TBD]</w:t>
      </w:r>
    </w:p>
    <w:p w:rsidR="00BF14E0" w:rsidRPr="00916DC1" w:rsidRDefault="00BF14E0" w:rsidP="00916DC1">
      <w:pPr>
        <w:pStyle w:val="Heading1"/>
        <w:spacing w:before="280"/>
        <w:rPr>
          <w:sz w:val="28"/>
          <w:szCs w:val="28"/>
        </w:rPr>
      </w:pPr>
      <w:bookmarkStart w:id="30" w:name="_Toc265129553"/>
      <w:r w:rsidRPr="00916DC1">
        <w:rPr>
          <w:sz w:val="28"/>
          <w:szCs w:val="28"/>
        </w:rPr>
        <w:t>4</w:t>
      </w:r>
      <w:r w:rsidRPr="00916DC1">
        <w:rPr>
          <w:sz w:val="28"/>
          <w:szCs w:val="28"/>
        </w:rPr>
        <w:tab/>
        <w:t>Potential means for preventing or eliminating interference</w:t>
      </w:r>
      <w:bookmarkEnd w:id="30"/>
    </w:p>
    <w:p w:rsidR="00BF14E0" w:rsidRPr="006A444B" w:rsidRDefault="00BF14E0" w:rsidP="00BF14E0">
      <w:pPr>
        <w:rPr>
          <w:lang w:val="en-US"/>
        </w:rPr>
      </w:pPr>
      <w:r w:rsidRPr="006A444B">
        <w:rPr>
          <w:lang w:val="en-US"/>
        </w:rPr>
        <w:t>[TBD]</w:t>
      </w:r>
    </w:p>
    <w:p w:rsidR="00BF14E0" w:rsidRPr="00916DC1" w:rsidRDefault="00916DC1" w:rsidP="00916DC1">
      <w:pPr>
        <w:pStyle w:val="Heading1"/>
        <w:spacing w:before="280"/>
        <w:rPr>
          <w:rStyle w:val="Hyperlink"/>
          <w:color w:val="auto"/>
          <w:sz w:val="28"/>
          <w:szCs w:val="28"/>
          <w:u w:val="none"/>
        </w:rPr>
      </w:pPr>
      <w:r w:rsidRPr="00916DC1">
        <w:rPr>
          <w:rStyle w:val="Hyperlink"/>
          <w:color w:val="auto"/>
          <w:sz w:val="28"/>
          <w:szCs w:val="28"/>
          <w:u w:val="none"/>
        </w:rPr>
        <w:t>5</w:t>
      </w:r>
      <w:r w:rsidRPr="00916DC1">
        <w:rPr>
          <w:rStyle w:val="Hyperlink"/>
          <w:color w:val="auto"/>
          <w:sz w:val="28"/>
          <w:szCs w:val="28"/>
          <w:u w:val="none"/>
        </w:rPr>
        <w:tab/>
        <w:t>Overall conclusions</w:t>
      </w:r>
    </w:p>
    <w:p w:rsidR="00BF14E0" w:rsidRPr="006A444B" w:rsidRDefault="00BF14E0" w:rsidP="00BF14E0">
      <w:pPr>
        <w:rPr>
          <w:lang w:val="en-US"/>
        </w:rPr>
      </w:pPr>
      <w:r w:rsidRPr="006A444B">
        <w:rPr>
          <w:lang w:val="en-US"/>
        </w:rPr>
        <w:t>[TBD]</w:t>
      </w:r>
    </w:p>
    <w:p w:rsidR="00BF14E0" w:rsidRPr="006A444B" w:rsidRDefault="00BF14E0" w:rsidP="00BF14E0">
      <w:pPr>
        <w:rPr>
          <w:lang w:val="en-US"/>
        </w:rPr>
      </w:pPr>
    </w:p>
    <w:p w:rsidR="00BF14E0" w:rsidRPr="006A444B" w:rsidRDefault="00BF14E0" w:rsidP="00BF14E0">
      <w:pPr>
        <w:rPr>
          <w:lang w:val="en-US"/>
        </w:rPr>
      </w:pPr>
    </w:p>
    <w:p w:rsidR="00BF14E0" w:rsidRPr="006A444B" w:rsidRDefault="00BF14E0" w:rsidP="00BF14E0">
      <w:pPr>
        <w:pStyle w:val="AnnexNo"/>
        <w:rPr>
          <w:lang w:val="en-US"/>
        </w:rPr>
      </w:pPr>
      <w:r w:rsidRPr="006A444B">
        <w:rPr>
          <w:lang w:val="en-US"/>
        </w:rPr>
        <w:t>Annex 1</w:t>
      </w:r>
    </w:p>
    <w:p w:rsidR="00BF14E0" w:rsidRPr="006A444B" w:rsidRDefault="00BF14E0" w:rsidP="00580FF1">
      <w:pPr>
        <w:pStyle w:val="Annextitle"/>
        <w:spacing w:before="0" w:after="120"/>
        <w:rPr>
          <w:lang w:val="en-US"/>
        </w:rPr>
      </w:pPr>
      <w:bookmarkStart w:id="31" w:name="_Toc265129555"/>
      <w:r w:rsidRPr="006A444B">
        <w:rPr>
          <w:lang w:val="en-US"/>
        </w:rPr>
        <w:t xml:space="preserve">Noise radiation and propagation considerations </w:t>
      </w:r>
      <w:r w:rsidRPr="006A444B">
        <w:rPr>
          <w:lang w:val="en-US"/>
        </w:rPr>
        <w:br/>
        <w:t>in the VHF and UHF bands</w:t>
      </w:r>
      <w:bookmarkEnd w:id="31"/>
    </w:p>
    <w:p w:rsidR="00580FF1" w:rsidRDefault="00580FF1" w:rsidP="00580FF1">
      <w:pPr>
        <w:rPr>
          <w:lang w:val="en-US" w:eastAsia="ja-JP"/>
        </w:rPr>
      </w:pPr>
      <w:bookmarkStart w:id="32" w:name="_Toc265129556"/>
    </w:p>
    <w:p w:rsidR="00BF14E0" w:rsidRPr="006A444B" w:rsidRDefault="00BF14E0" w:rsidP="00BF14E0">
      <w:pPr>
        <w:pStyle w:val="Heading2"/>
        <w:rPr>
          <w:lang w:val="en-US"/>
        </w:rPr>
      </w:pPr>
      <w:r w:rsidRPr="006A444B">
        <w:rPr>
          <w:lang w:val="en-US" w:eastAsia="ja-JP"/>
        </w:rPr>
        <w:t>A1.1</w:t>
      </w:r>
      <w:r w:rsidRPr="006A444B">
        <w:rPr>
          <w:lang w:val="en-US" w:eastAsia="ja-JP"/>
        </w:rPr>
        <w:tab/>
      </w:r>
      <w:r w:rsidRPr="006A444B">
        <w:rPr>
          <w:lang w:val="en-US"/>
        </w:rPr>
        <w:t>Detailed analysis of mode conversion at the switch branch</w:t>
      </w:r>
      <w:bookmarkEnd w:id="32"/>
    </w:p>
    <w:p w:rsidR="00BF14E0" w:rsidRPr="006A444B" w:rsidRDefault="00BF14E0" w:rsidP="00BF14E0">
      <w:pPr>
        <w:rPr>
          <w:lang w:val="en-US" w:eastAsia="ja-JP"/>
        </w:rPr>
      </w:pPr>
      <w:r w:rsidRPr="006A444B">
        <w:rPr>
          <w:lang w:val="en-US" w:eastAsia="ja-JP"/>
        </w:rPr>
        <w:t>The switch branches consisting of ceiling lights and wall switches commonly found in domestic power-line wirings are highly unbalanced at radio-frequency range, and they convert the differential-mode signals into the common-mode or antenna currents that cause the radiated emissions from the power line. Although these facts are well reco</w:t>
      </w:r>
      <w:r>
        <w:rPr>
          <w:lang w:val="en-US" w:eastAsia="ja-JP"/>
        </w:rPr>
        <w:t>gnized among radiocommunication</w:t>
      </w:r>
      <w:r w:rsidRPr="006A444B">
        <w:rPr>
          <w:lang w:val="en-US" w:eastAsia="ja-JP"/>
        </w:rPr>
        <w:t xml:space="preserve"> community, they seem poorly recognized in PLT community. In the subsection 2.1.4.3 of Report ITU-R SM.2158, it is shown that the differential and common modes are strongly coupled over a broad spectral range, not just at a resonance frequency, based on the theoretical analysis which models a series short stub as an unbalanced phase shifter. Although the essential physical mechanism of the mode conversion is well represented in the phase shifter model, more general analyses would be desirable. Also when the wall switch is turned off, the switch branch constitutes a series open stub which may not be modelled as a phase shifter. Instead the branch terminated by a cold light bulb with a resistance as low as a few ohms was modelled as a series short stub in the previous analysis. General series stub analysis that treats both short and open stubs would be desirable.</w:t>
      </w:r>
    </w:p>
    <w:p w:rsidR="00BF14E0" w:rsidRPr="006A444B" w:rsidRDefault="00BF14E0" w:rsidP="00BF14E0">
      <w:pPr>
        <w:rPr>
          <w:lang w:val="en-US" w:eastAsia="ja-JP"/>
        </w:rPr>
      </w:pPr>
      <w:r w:rsidRPr="006A444B">
        <w:rPr>
          <w:lang w:val="en-US" w:eastAsia="ja-JP"/>
        </w:rPr>
        <w:t>In the followings, such general analysis of series stubs is given based on a recent study</w:t>
      </w:r>
      <w:r w:rsidRPr="006A444B">
        <w:rPr>
          <w:rStyle w:val="FootnoteReference"/>
          <w:lang w:val="en-US" w:eastAsia="ja-JP"/>
        </w:rPr>
        <w:footnoteReference w:id="2"/>
      </w:r>
      <w:r w:rsidRPr="006A444B">
        <w:rPr>
          <w:lang w:val="en-US" w:eastAsia="ja-JP"/>
        </w:rPr>
        <w:t>.</w:t>
      </w:r>
    </w:p>
    <w:p w:rsidR="00BF14E0" w:rsidRPr="006A444B" w:rsidRDefault="00BF14E0" w:rsidP="00BF14E0">
      <w:pPr>
        <w:pStyle w:val="Heading3"/>
        <w:rPr>
          <w:lang w:val="en-US"/>
        </w:rPr>
      </w:pPr>
      <w:bookmarkStart w:id="33" w:name="_Toc265129557"/>
      <w:r w:rsidRPr="006A444B">
        <w:rPr>
          <w:lang w:val="en-US"/>
        </w:rPr>
        <w:t>A1.1.1</w:t>
      </w:r>
      <w:r w:rsidRPr="006A444B">
        <w:rPr>
          <w:lang w:val="en-US"/>
        </w:rPr>
        <w:tab/>
        <w:t>Mixed-mode scattering matrix of a balanced transmission line unilaterally loaded with a stub in series</w:t>
      </w:r>
      <w:bookmarkEnd w:id="33"/>
    </w:p>
    <w:p w:rsidR="00BF14E0" w:rsidRPr="006A444B" w:rsidRDefault="00BF14E0" w:rsidP="00BF14E0">
      <w:pPr>
        <w:pStyle w:val="Heading4"/>
        <w:rPr>
          <w:lang w:val="en-US"/>
        </w:rPr>
      </w:pPr>
      <w:bookmarkStart w:id="34" w:name="_Toc265129558"/>
      <w:r w:rsidRPr="006A444B">
        <w:rPr>
          <w:lang w:val="en-US"/>
        </w:rPr>
        <w:t>A1.1.1.1</w:t>
      </w:r>
      <w:r w:rsidRPr="006A444B">
        <w:rPr>
          <w:lang w:val="en-US"/>
        </w:rPr>
        <w:tab/>
        <w:t>Theoretical formulations</w:t>
      </w:r>
      <w:bookmarkEnd w:id="34"/>
    </w:p>
    <w:p w:rsidR="00BF14E0" w:rsidRPr="006A444B" w:rsidRDefault="00BF14E0" w:rsidP="00BF14E0">
      <w:pPr>
        <w:rPr>
          <w:lang w:val="en-US" w:eastAsia="ja-JP"/>
        </w:rPr>
      </w:pPr>
      <w:r w:rsidRPr="006A444B">
        <w:rPr>
          <w:lang w:val="en-US" w:eastAsia="ja-JP"/>
        </w:rPr>
        <w:t>Unilateral series stub circuits in which an open or a short stub made of a balanced transmission line is inserted in series with the one side of the other balanced transmission line as shown in Fig. 1 have been theoretically analysed. Their mixed-mode scattering matrices have been derived to reveal the distinct mode-conversion characteristics.</w:t>
      </w:r>
    </w:p>
    <w:p w:rsidR="00BF14E0" w:rsidRPr="006A444B" w:rsidRDefault="00BF14E0" w:rsidP="00916DC1">
      <w:pPr>
        <w:rPr>
          <w:lang w:val="en-US" w:eastAsia="ja-JP"/>
        </w:rPr>
      </w:pPr>
      <w:r w:rsidRPr="006A444B">
        <w:rPr>
          <w:lang w:val="en-US" w:eastAsia="ja-JP"/>
        </w:rPr>
        <w:t>Power line telecommunications (PLT) feed RF signals into the odd mode of power line network inside the house. Since switch branch circuits consisting of ceiling lights and single-pole wall switches form unilateral series stubs, the theory is useful in predicting EMC problems caused by PLT systems using the HF and/or VHF regions.</w:t>
      </w:r>
    </w:p>
    <w:p w:rsidR="00BF14E0" w:rsidRPr="006A444B" w:rsidRDefault="00BF14E0" w:rsidP="00BF14E0">
      <w:pPr>
        <w:rPr>
          <w:lang w:val="en-US" w:eastAsia="ja-JP"/>
        </w:rPr>
      </w:pPr>
    </w:p>
    <w:tbl>
      <w:tblPr>
        <w:tblW w:w="0" w:type="auto"/>
        <w:tblLook w:val="00A0"/>
      </w:tblPr>
      <w:tblGrid>
        <w:gridCol w:w="4927"/>
        <w:gridCol w:w="4928"/>
      </w:tblGrid>
      <w:tr w:rsidR="00916DC1" w:rsidRPr="006A444B" w:rsidTr="00BF14E0">
        <w:tc>
          <w:tcPr>
            <w:tcW w:w="4927" w:type="dxa"/>
          </w:tcPr>
          <w:p w:rsidR="00BF14E0" w:rsidRPr="00916DC1" w:rsidRDefault="00BF14E0" w:rsidP="00BF14E0">
            <w:pPr>
              <w:pStyle w:val="FigureNo"/>
              <w:rPr>
                <w:sz w:val="20"/>
                <w:lang w:val="en-US" w:eastAsia="ja-JP"/>
              </w:rPr>
            </w:pPr>
            <w:r w:rsidRPr="00916DC1">
              <w:rPr>
                <w:sz w:val="20"/>
                <w:lang w:val="en-US" w:eastAsia="ja-JP"/>
              </w:rPr>
              <w:t>FIGURE 1</w:t>
            </w:r>
          </w:p>
          <w:p w:rsidR="00BF14E0" w:rsidRPr="006A444B" w:rsidRDefault="00BF14E0" w:rsidP="00BF14E0">
            <w:pPr>
              <w:pStyle w:val="Figuretitle"/>
              <w:rPr>
                <w:lang w:val="en-US" w:eastAsia="ja-JP"/>
              </w:rPr>
            </w:pPr>
            <w:r w:rsidRPr="00916DC1">
              <w:rPr>
                <w:bCs/>
                <w:sz w:val="20"/>
                <w:lang w:val="en-US" w:eastAsia="ja-JP"/>
              </w:rPr>
              <w:t xml:space="preserve">A balanced transmission line unilaterally </w:t>
            </w:r>
            <w:r w:rsidRPr="00916DC1">
              <w:rPr>
                <w:bCs/>
                <w:sz w:val="20"/>
                <w:lang w:val="en-US" w:eastAsia="ja-JP"/>
              </w:rPr>
              <w:br/>
              <w:t>loaded with a series stub</w:t>
            </w:r>
          </w:p>
        </w:tc>
        <w:tc>
          <w:tcPr>
            <w:tcW w:w="4928" w:type="dxa"/>
          </w:tcPr>
          <w:p w:rsidR="00BF14E0" w:rsidRPr="00916DC1" w:rsidRDefault="00BF14E0" w:rsidP="00BF14E0">
            <w:pPr>
              <w:pStyle w:val="FigureNo"/>
              <w:rPr>
                <w:sz w:val="20"/>
                <w:lang w:val="en-US" w:eastAsia="ja-JP"/>
              </w:rPr>
            </w:pPr>
            <w:r w:rsidRPr="00916DC1">
              <w:rPr>
                <w:sz w:val="20"/>
                <w:lang w:val="en-US" w:eastAsia="ja-JP"/>
              </w:rPr>
              <w:t>FIGURE 2</w:t>
            </w:r>
          </w:p>
          <w:p w:rsidR="00BF14E0" w:rsidRPr="006A444B" w:rsidRDefault="00BF14E0" w:rsidP="00BF14E0">
            <w:pPr>
              <w:pStyle w:val="Figuretitle"/>
              <w:rPr>
                <w:lang w:val="en-US" w:eastAsia="ja-JP"/>
              </w:rPr>
            </w:pPr>
            <w:r w:rsidRPr="00916DC1">
              <w:rPr>
                <w:bCs/>
                <w:sz w:val="20"/>
                <w:lang w:val="en-US" w:eastAsia="ja-JP"/>
              </w:rPr>
              <w:t xml:space="preserve">A balanced transmission line </w:t>
            </w:r>
            <w:r w:rsidRPr="00916DC1">
              <w:rPr>
                <w:bCs/>
                <w:sz w:val="20"/>
                <w:lang w:val="en-US" w:eastAsia="ja-JP"/>
              </w:rPr>
              <w:br/>
              <w:t>which constitutes a stub</w:t>
            </w:r>
          </w:p>
        </w:tc>
      </w:tr>
      <w:tr w:rsidR="00916DC1" w:rsidRPr="006A444B" w:rsidTr="00BF14E0">
        <w:tc>
          <w:tcPr>
            <w:tcW w:w="4927" w:type="dxa"/>
          </w:tcPr>
          <w:p w:rsidR="00BF14E0" w:rsidRPr="00916DC1" w:rsidRDefault="00BF14E0" w:rsidP="00BF14E0">
            <w:pPr>
              <w:jc w:val="center"/>
              <w:rPr>
                <w:sz w:val="20"/>
                <w:lang w:val="en-US" w:eastAsia="ja-JP"/>
              </w:rPr>
            </w:pPr>
          </w:p>
          <w:p w:rsidR="00BF14E0" w:rsidRPr="00916DC1" w:rsidRDefault="00566A7F" w:rsidP="00BF14E0">
            <w:pPr>
              <w:jc w:val="center"/>
              <w:rPr>
                <w:sz w:val="20"/>
                <w:lang w:val="en-US" w:eastAsia="ja-JP"/>
              </w:rPr>
            </w:pPr>
            <w:r w:rsidRPr="00EF1C76">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i1025" type="#_x0000_t75" alt="txp_fig" style="width:69pt;height:87pt;visibility:visible">
                  <v:imagedata r:id="rId12" o:title="" chromakey="white"/>
                </v:shape>
              </w:pict>
            </w:r>
          </w:p>
          <w:p w:rsidR="00BF14E0" w:rsidRPr="00916DC1" w:rsidRDefault="00BF14E0" w:rsidP="00BF14E0">
            <w:pPr>
              <w:jc w:val="center"/>
              <w:rPr>
                <w:sz w:val="20"/>
                <w:lang w:val="en-US" w:eastAsia="ja-JP"/>
              </w:rPr>
            </w:pPr>
            <w:r w:rsidRPr="00916DC1">
              <w:rPr>
                <w:sz w:val="20"/>
                <w:lang w:val="en-US" w:eastAsia="ja-JP"/>
              </w:rPr>
              <w:t>(a) A series short stub   (b) A Series open stub</w:t>
            </w:r>
            <w:r w:rsidRPr="00916DC1">
              <w:rPr>
                <w:noProof/>
                <w:sz w:val="20"/>
                <w:lang w:val="en-US" w:eastAsia="zh-CN"/>
              </w:rPr>
              <w:t xml:space="preserve"> </w:t>
            </w:r>
          </w:p>
        </w:tc>
        <w:tc>
          <w:tcPr>
            <w:tcW w:w="4928" w:type="dxa"/>
          </w:tcPr>
          <w:p w:rsidR="00BF14E0" w:rsidRPr="00916DC1" w:rsidRDefault="00BF14E0" w:rsidP="00BF14E0">
            <w:pPr>
              <w:jc w:val="center"/>
              <w:rPr>
                <w:sz w:val="20"/>
                <w:lang w:val="en-US" w:eastAsia="ja-JP"/>
              </w:rPr>
            </w:pPr>
          </w:p>
          <w:p w:rsidR="00BF14E0" w:rsidRPr="00916DC1" w:rsidRDefault="00BF14E0" w:rsidP="00BF14E0">
            <w:pPr>
              <w:jc w:val="center"/>
              <w:rPr>
                <w:sz w:val="20"/>
                <w:lang w:val="en-US" w:eastAsia="ja-JP"/>
              </w:rPr>
            </w:pPr>
          </w:p>
          <w:p w:rsidR="00BF14E0" w:rsidRPr="00916DC1" w:rsidRDefault="00566A7F" w:rsidP="00BF14E0">
            <w:pPr>
              <w:jc w:val="center"/>
              <w:rPr>
                <w:sz w:val="20"/>
                <w:lang w:val="en-US" w:eastAsia="ja-JP"/>
              </w:rPr>
            </w:pPr>
            <w:r w:rsidRPr="00EF1C76">
              <w:rPr>
                <w:noProof/>
                <w:sz w:val="20"/>
                <w:lang w:val="en-US"/>
              </w:rPr>
              <w:pict>
                <v:shape id="図 4" o:spid="_x0000_i1026" type="#_x0000_t75" alt="txp_fig" style="width:78.75pt;height:24.75pt;visibility:visible">
                  <v:imagedata r:id="rId13" o:title="" chromakey="white"/>
                </v:shape>
              </w:pict>
            </w:r>
            <w:r w:rsidR="00BF14E0" w:rsidRPr="00916DC1">
              <w:rPr>
                <w:sz w:val="20"/>
                <w:lang w:val="en-US" w:eastAsia="ja-JP"/>
              </w:rPr>
              <w:t xml:space="preserve">     </w:t>
            </w:r>
            <w:r w:rsidRPr="00EF1C76">
              <w:rPr>
                <w:noProof/>
                <w:sz w:val="20"/>
                <w:lang w:val="en-US"/>
              </w:rPr>
              <w:pict>
                <v:shape id="図 5" o:spid="_x0000_i1027" type="#_x0000_t75" alt="txp_fig" style="width:78.75pt;height:45pt;visibility:visible">
                  <v:imagedata r:id="rId14" o:title="" chromakey="white"/>
                </v:shape>
              </w:pict>
            </w:r>
          </w:p>
          <w:p w:rsidR="00BF14E0" w:rsidRPr="00916DC1" w:rsidRDefault="00BF14E0" w:rsidP="00BF14E0">
            <w:pPr>
              <w:jc w:val="center"/>
              <w:rPr>
                <w:sz w:val="20"/>
                <w:lang w:val="en-US" w:eastAsia="ja-JP"/>
              </w:rPr>
            </w:pPr>
          </w:p>
          <w:p w:rsidR="00BF14E0" w:rsidRPr="00916DC1" w:rsidRDefault="00BF14E0" w:rsidP="00BF14E0">
            <w:pPr>
              <w:jc w:val="center"/>
              <w:rPr>
                <w:sz w:val="20"/>
                <w:lang w:val="en-US" w:eastAsia="ja-JP"/>
              </w:rPr>
            </w:pPr>
            <w:r w:rsidRPr="00916DC1">
              <w:rPr>
                <w:sz w:val="20"/>
                <w:lang w:val="en-US" w:eastAsia="ja-JP"/>
              </w:rPr>
              <w:t>(a) coupled lines      (b) even-odd modes</w:t>
            </w:r>
          </w:p>
        </w:tc>
      </w:tr>
    </w:tbl>
    <w:p w:rsidR="00BF14E0" w:rsidRPr="006A444B" w:rsidRDefault="00BF14E0" w:rsidP="00BF14E0">
      <w:pPr>
        <w:spacing w:before="0"/>
        <w:rPr>
          <w:lang w:val="en-US" w:eastAsia="ja-JP"/>
        </w:rPr>
      </w:pPr>
    </w:p>
    <w:p w:rsidR="00BF14E0" w:rsidRPr="006A444B" w:rsidRDefault="00BF14E0" w:rsidP="00BF14E0">
      <w:pPr>
        <w:rPr>
          <w:lang w:val="en-US" w:eastAsia="ja-JP"/>
        </w:rPr>
      </w:pPr>
      <w:r w:rsidRPr="006A444B">
        <w:rPr>
          <w:lang w:val="en-US" w:eastAsia="ja-JP"/>
        </w:rPr>
        <w:t xml:space="preserve">Two conductors of a balanced transmission line in Fig. 2 (a) which constitutes a stub in Fig. 1 are coupled. The even and odd modes are decoupled and can be treated independently as shown in Fig. 2 (b). The even mode and the odd mode have the following impedance matrices respectively, </w:t>
      </w:r>
    </w:p>
    <w:p w:rsidR="00BF14E0" w:rsidRPr="006A444B" w:rsidRDefault="00BF14E0" w:rsidP="00BF14E0">
      <w:pPr>
        <w:pStyle w:val="Equation"/>
        <w:rPr>
          <w:lang w:val="en-US" w:eastAsia="ja-JP"/>
        </w:rPr>
      </w:pPr>
      <w:r w:rsidRPr="006A444B">
        <w:rPr>
          <w:lang w:val="en-US" w:eastAsia="ja-JP"/>
        </w:rPr>
        <w:tab/>
      </w:r>
      <w:r w:rsidRPr="006A444B">
        <w:rPr>
          <w:lang w:val="en-US" w:eastAsia="ja-JP"/>
        </w:rPr>
        <w:tab/>
      </w:r>
      <w:r w:rsidR="00566A7F" w:rsidRPr="00EF1C76">
        <w:rPr>
          <w:noProof/>
          <w:lang w:val="en-US"/>
        </w:rPr>
        <w:pict>
          <v:shape id="_x0000_i1028" type="#_x0000_t75" alt="txp_fig" style="width:4in;height:24.75pt;visibility:visible">
            <v:imagedata r:id="rId15" o:title="" chromakey="white"/>
          </v:shape>
        </w:pict>
      </w:r>
      <w:r w:rsidRPr="006A444B">
        <w:rPr>
          <w:lang w:val="en-US" w:eastAsia="ja-JP"/>
        </w:rPr>
        <w:t xml:space="preserve"> </w:t>
      </w:r>
    </w:p>
    <w:p w:rsidR="00BF14E0" w:rsidRPr="006A444B" w:rsidRDefault="00BF14E0" w:rsidP="00916DC1">
      <w:pPr>
        <w:spacing w:before="240"/>
        <w:rPr>
          <w:lang w:val="en-US" w:eastAsia="ja-JP"/>
        </w:rPr>
      </w:pPr>
      <w:r w:rsidRPr="006A444B">
        <w:rPr>
          <w:lang w:val="en-US" w:eastAsia="ja-JP"/>
        </w:rPr>
        <w:t xml:space="preserve">where </w:t>
      </w:r>
      <w:r w:rsidRPr="006A444B">
        <w:rPr>
          <w:i/>
          <w:lang w:val="en-US" w:eastAsia="ja-JP"/>
        </w:rPr>
        <w:t>Z</w:t>
      </w:r>
      <w:r w:rsidRPr="006A444B">
        <w:rPr>
          <w:vertAlign w:val="subscript"/>
          <w:lang w:val="en-US" w:eastAsia="ja-JP"/>
        </w:rPr>
        <w:t>0e</w:t>
      </w:r>
      <w:r w:rsidRPr="006A444B">
        <w:rPr>
          <w:lang w:val="en-US" w:eastAsia="ja-JP"/>
        </w:rPr>
        <w:t xml:space="preserve"> and </w:t>
      </w:r>
      <w:r w:rsidRPr="006A444B">
        <w:rPr>
          <w:i/>
          <w:lang w:val="en-US" w:eastAsia="ja-JP"/>
        </w:rPr>
        <w:t>Z</w:t>
      </w:r>
      <w:r w:rsidRPr="006A444B">
        <w:rPr>
          <w:vertAlign w:val="subscript"/>
          <w:lang w:val="en-US" w:eastAsia="ja-JP"/>
        </w:rPr>
        <w:t>0o</w:t>
      </w:r>
      <w:r w:rsidRPr="006A444B">
        <w:rPr>
          <w:lang w:val="en-US" w:eastAsia="ja-JP"/>
        </w:rPr>
        <w:t xml:space="preserve"> denote the characteristic impedances of the even and the odd modes, </w:t>
      </w:r>
      <w:r w:rsidRPr="006A444B">
        <w:rPr>
          <w:rFonts w:ascii="Symbol" w:hAnsi="Symbol"/>
          <w:i/>
          <w:lang w:val="en-US" w:eastAsia="ja-JP"/>
        </w:rPr>
        <w:t></w:t>
      </w:r>
      <w:r w:rsidRPr="006A444B">
        <w:rPr>
          <w:vertAlign w:val="subscript"/>
          <w:lang w:val="en-US" w:eastAsia="ja-JP"/>
        </w:rPr>
        <w:t>e</w:t>
      </w:r>
      <w:r w:rsidRPr="006A444B">
        <w:rPr>
          <w:lang w:val="en-US" w:eastAsia="ja-JP"/>
        </w:rPr>
        <w:t xml:space="preserve"> and </w:t>
      </w:r>
      <w:r w:rsidRPr="006A444B">
        <w:rPr>
          <w:rFonts w:ascii="Symbol" w:hAnsi="Symbol"/>
          <w:i/>
          <w:lang w:val="en-US" w:eastAsia="ja-JP"/>
        </w:rPr>
        <w:t></w:t>
      </w:r>
      <w:r w:rsidRPr="006A444B">
        <w:rPr>
          <w:vertAlign w:val="subscript"/>
          <w:lang w:val="en-US" w:eastAsia="ja-JP"/>
        </w:rPr>
        <w:t>o</w:t>
      </w:r>
      <w:r w:rsidRPr="006A444B">
        <w:rPr>
          <w:lang w:val="en-US" w:eastAsia="ja-JP"/>
        </w:rPr>
        <w:t xml:space="preserve"> denote the phase rotations of the even and the odd modes through the stub, i.e., </w:t>
      </w:r>
      <w:r w:rsidRPr="006A444B">
        <w:rPr>
          <w:rFonts w:ascii="Symbol" w:hAnsi="Symbol"/>
          <w:i/>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e</w:t>
      </w:r>
      <w:r w:rsidRPr="006A444B">
        <w:rPr>
          <w:i/>
          <w:lang w:val="en-US" w:eastAsia="ja-JP"/>
        </w:rPr>
        <w:t>l</w:t>
      </w:r>
      <w:r w:rsidRPr="006A444B">
        <w:rPr>
          <w:lang w:val="en-US" w:eastAsia="ja-JP"/>
        </w:rPr>
        <w:t xml:space="preserve"> and </w:t>
      </w:r>
      <w:r w:rsidRPr="006A444B">
        <w:rPr>
          <w:rFonts w:ascii="Symbol" w:hAnsi="Symbol"/>
          <w:i/>
          <w:lang w:val="en-US" w:eastAsia="ja-JP"/>
        </w:rPr>
        <w:t></w:t>
      </w:r>
      <w:r w:rsidRPr="006A444B">
        <w:rPr>
          <w:vertAlign w:val="subscript"/>
          <w:lang w:val="en-US" w:eastAsia="ja-JP"/>
        </w:rPr>
        <w:t>o</w:t>
      </w:r>
      <w:r w:rsidRPr="006A444B">
        <w:rPr>
          <w:lang w:val="en-US" w:eastAsia="ja-JP"/>
        </w:rPr>
        <w:t>=</w:t>
      </w:r>
      <w:r w:rsidRPr="006A444B">
        <w:rPr>
          <w:rFonts w:ascii="Symbol" w:hAnsi="Symbol"/>
          <w:i/>
          <w:lang w:val="en-US" w:eastAsia="ja-JP"/>
        </w:rPr>
        <w:t></w:t>
      </w:r>
      <w:r w:rsidRPr="006A444B">
        <w:rPr>
          <w:vertAlign w:val="subscript"/>
          <w:lang w:val="en-US" w:eastAsia="ja-JP"/>
        </w:rPr>
        <w:t>o</w:t>
      </w:r>
      <w:r w:rsidRPr="006A444B">
        <w:rPr>
          <w:i/>
          <w:lang w:val="en-US" w:eastAsia="ja-JP"/>
        </w:rPr>
        <w:t>l</w:t>
      </w:r>
      <w:r w:rsidRPr="006A444B">
        <w:rPr>
          <w:lang w:val="en-US" w:eastAsia="ja-JP"/>
        </w:rPr>
        <w:t xml:space="preserve"> for a lossless transmission line of the length</w:t>
      </w:r>
      <w:r w:rsidRPr="006A444B">
        <w:rPr>
          <w:i/>
          <w:lang w:val="en-US" w:eastAsia="ja-JP"/>
        </w:rPr>
        <w:t xml:space="preserve"> l</w:t>
      </w:r>
      <w:r w:rsidRPr="006A444B">
        <w:rPr>
          <w:lang w:val="en-US" w:eastAsia="ja-JP"/>
        </w:rPr>
        <w:t xml:space="preserve">. For a transmission line with loss, they are replaced with </w:t>
      </w:r>
      <w:r w:rsidRPr="006A444B">
        <w:rPr>
          <w:rFonts w:ascii="Symbol" w:hAnsi="Symbol"/>
          <w:i/>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e</w:t>
      </w:r>
      <w:r w:rsidRPr="006A444B">
        <w:rPr>
          <w:i/>
          <w:lang w:val="en-US" w:eastAsia="ja-JP"/>
        </w:rPr>
        <w:t>l</w:t>
      </w:r>
      <w:r w:rsidRPr="006A444B">
        <w:rPr>
          <w:lang w:val="en-US" w:eastAsia="ja-JP"/>
        </w:rPr>
        <w:t>(1-</w:t>
      </w:r>
      <w:r w:rsidRPr="006A444B">
        <w:rPr>
          <w:i/>
          <w:lang w:val="en-US" w:eastAsia="ja-JP"/>
        </w:rPr>
        <w:t>j</w:t>
      </w:r>
      <w:r w:rsidRPr="006A444B">
        <w:rPr>
          <w:rFonts w:ascii="Symbol" w:hAnsi="Symbol"/>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e</w:t>
      </w:r>
      <w:r w:rsidRPr="006A444B">
        <w:rPr>
          <w:lang w:val="en-US" w:eastAsia="ja-JP"/>
        </w:rPr>
        <w:t xml:space="preserve">) and </w:t>
      </w:r>
      <w:r w:rsidRPr="006A444B">
        <w:rPr>
          <w:rFonts w:ascii="Symbol" w:hAnsi="Symbol"/>
          <w:i/>
          <w:lang w:val="en-US" w:eastAsia="ja-JP"/>
        </w:rPr>
        <w:t></w:t>
      </w:r>
      <w:r w:rsidRPr="006A444B">
        <w:rPr>
          <w:vertAlign w:val="subscript"/>
          <w:lang w:val="en-US" w:eastAsia="ja-JP"/>
        </w:rPr>
        <w:t>o</w:t>
      </w:r>
      <w:r w:rsidRPr="006A444B">
        <w:rPr>
          <w:lang w:val="en-US" w:eastAsia="ja-JP"/>
        </w:rPr>
        <w:t>=</w:t>
      </w:r>
      <w:r w:rsidRPr="006A444B">
        <w:rPr>
          <w:rFonts w:ascii="Symbol" w:hAnsi="Symbol"/>
          <w:i/>
          <w:lang w:val="en-US" w:eastAsia="ja-JP"/>
        </w:rPr>
        <w:t></w:t>
      </w:r>
      <w:r w:rsidRPr="006A444B">
        <w:rPr>
          <w:vertAlign w:val="subscript"/>
          <w:lang w:val="en-US" w:eastAsia="ja-JP"/>
        </w:rPr>
        <w:t>o</w:t>
      </w:r>
      <w:r w:rsidRPr="006A444B">
        <w:rPr>
          <w:i/>
          <w:lang w:val="en-US" w:eastAsia="ja-JP"/>
        </w:rPr>
        <w:t>l</w:t>
      </w:r>
      <w:r w:rsidRPr="006A444B">
        <w:rPr>
          <w:lang w:val="en-US" w:eastAsia="ja-JP"/>
        </w:rPr>
        <w:t>(1-</w:t>
      </w:r>
      <w:r w:rsidRPr="006A444B">
        <w:rPr>
          <w:i/>
          <w:lang w:val="en-US" w:eastAsia="ja-JP"/>
        </w:rPr>
        <w:t>j</w:t>
      </w:r>
      <w:r w:rsidRPr="006A444B">
        <w:rPr>
          <w:rFonts w:ascii="Symbol" w:hAnsi="Symbol"/>
          <w:lang w:val="en-US" w:eastAsia="ja-JP"/>
        </w:rPr>
        <w:t></w:t>
      </w:r>
      <w:r w:rsidRPr="006A444B">
        <w:rPr>
          <w:vertAlign w:val="subscript"/>
          <w:lang w:val="en-US" w:eastAsia="ja-JP"/>
        </w:rPr>
        <w:t>o</w:t>
      </w:r>
      <w:r w:rsidRPr="006A444B">
        <w:rPr>
          <w:lang w:val="en-US" w:eastAsia="ja-JP"/>
        </w:rPr>
        <w:t>/</w:t>
      </w:r>
      <w:r w:rsidRPr="006A444B">
        <w:rPr>
          <w:rFonts w:ascii="Symbol" w:hAnsi="Symbol"/>
          <w:i/>
          <w:lang w:val="en-US" w:eastAsia="ja-JP"/>
        </w:rPr>
        <w:t></w:t>
      </w:r>
      <w:r w:rsidRPr="006A444B">
        <w:rPr>
          <w:vertAlign w:val="subscript"/>
          <w:lang w:val="en-US" w:eastAsia="ja-JP"/>
        </w:rPr>
        <w:t>o</w:t>
      </w:r>
      <w:r w:rsidRPr="006A444B">
        <w:rPr>
          <w:lang w:val="en-US" w:eastAsia="ja-JP"/>
        </w:rPr>
        <w:t>)</w:t>
      </w:r>
      <w:r w:rsidRPr="006A444B">
        <w:rPr>
          <w:i/>
          <w:lang w:val="en-US" w:eastAsia="ja-JP"/>
        </w:rPr>
        <w:t xml:space="preserve"> </w:t>
      </w:r>
      <w:r w:rsidRPr="006A444B">
        <w:rPr>
          <w:lang w:val="en-US" w:eastAsia="ja-JP"/>
        </w:rPr>
        <w:t xml:space="preserve">for given propagation constants </w:t>
      </w:r>
      <w:r w:rsidRPr="006A444B">
        <w:rPr>
          <w:rFonts w:ascii="Symbol" w:hAnsi="Symbol"/>
          <w:i/>
          <w:lang w:val="en-US" w:eastAsia="ja-JP"/>
        </w:rPr>
        <w:t></w:t>
      </w:r>
      <w:r w:rsidRPr="006A444B">
        <w:rPr>
          <w:vertAlign w:val="subscript"/>
          <w:lang w:val="en-US" w:eastAsia="ja-JP"/>
        </w:rPr>
        <w:t>e</w:t>
      </w:r>
      <w:r w:rsidRPr="006A444B">
        <w:rPr>
          <w:lang w:val="en-US" w:eastAsia="ja-JP"/>
        </w:rPr>
        <w:t>=</w:t>
      </w:r>
      <w:r w:rsidRPr="006A444B">
        <w:rPr>
          <w:rFonts w:ascii="Symbol" w:hAnsi="Symbol"/>
          <w:lang w:val="en-US" w:eastAsia="ja-JP"/>
        </w:rPr>
        <w:t></w:t>
      </w:r>
      <w:r w:rsidRPr="006A444B">
        <w:rPr>
          <w:vertAlign w:val="subscript"/>
          <w:lang w:val="en-US" w:eastAsia="ja-JP"/>
        </w:rPr>
        <w:t>e</w:t>
      </w:r>
      <w:r w:rsidRPr="006A444B">
        <w:rPr>
          <w:i/>
          <w:lang w:val="en-US" w:eastAsia="ja-JP"/>
        </w:rPr>
        <w:t>+j</w:t>
      </w:r>
      <w:r w:rsidRPr="006A444B">
        <w:rPr>
          <w:rFonts w:ascii="Symbol" w:hAnsi="Symbol"/>
          <w:i/>
          <w:lang w:val="en-US" w:eastAsia="ja-JP"/>
        </w:rPr>
        <w:t></w:t>
      </w:r>
      <w:r w:rsidRPr="006A444B">
        <w:rPr>
          <w:vertAlign w:val="subscript"/>
          <w:lang w:val="en-US" w:eastAsia="ja-JP"/>
        </w:rPr>
        <w:t>e</w:t>
      </w:r>
      <w:r w:rsidRPr="006A444B">
        <w:rPr>
          <w:lang w:val="en-US" w:eastAsia="ja-JP"/>
        </w:rPr>
        <w:t xml:space="preserve"> and </w:t>
      </w:r>
      <w:r w:rsidRPr="006A444B">
        <w:rPr>
          <w:rFonts w:ascii="Symbol" w:hAnsi="Symbol"/>
          <w:i/>
          <w:lang w:val="en-US" w:eastAsia="ja-JP"/>
        </w:rPr>
        <w:t></w:t>
      </w:r>
      <w:r w:rsidRPr="006A444B">
        <w:rPr>
          <w:vertAlign w:val="subscript"/>
          <w:lang w:val="en-US" w:eastAsia="ja-JP"/>
        </w:rPr>
        <w:t>o</w:t>
      </w:r>
      <w:r w:rsidRPr="006A444B">
        <w:rPr>
          <w:lang w:val="en-US" w:eastAsia="ja-JP"/>
        </w:rPr>
        <w:t>=</w:t>
      </w:r>
      <w:r w:rsidRPr="006A444B">
        <w:rPr>
          <w:rFonts w:ascii="Symbol" w:hAnsi="Symbol"/>
          <w:lang w:val="en-US" w:eastAsia="ja-JP"/>
        </w:rPr>
        <w:t></w:t>
      </w:r>
      <w:r w:rsidRPr="006A444B">
        <w:rPr>
          <w:vertAlign w:val="subscript"/>
          <w:lang w:val="en-US" w:eastAsia="ja-JP"/>
        </w:rPr>
        <w:t>o</w:t>
      </w:r>
      <w:r w:rsidRPr="006A444B">
        <w:rPr>
          <w:i/>
          <w:lang w:val="en-US" w:eastAsia="ja-JP"/>
        </w:rPr>
        <w:t>+j</w:t>
      </w:r>
      <w:r w:rsidRPr="006A444B">
        <w:rPr>
          <w:rFonts w:ascii="Symbol" w:hAnsi="Symbol"/>
          <w:i/>
          <w:lang w:val="en-US" w:eastAsia="ja-JP"/>
        </w:rPr>
        <w:t></w:t>
      </w:r>
      <w:r w:rsidRPr="006A444B">
        <w:rPr>
          <w:vertAlign w:val="subscript"/>
          <w:lang w:val="en-US" w:eastAsia="ja-JP"/>
        </w:rPr>
        <w:t>o</w:t>
      </w:r>
      <w:r w:rsidRPr="006A444B">
        <w:rPr>
          <w:lang w:val="en-US" w:eastAsia="ja-JP"/>
        </w:rPr>
        <w:t>.</w:t>
      </w:r>
    </w:p>
    <w:p w:rsidR="00580FF1" w:rsidRDefault="00580FF1">
      <w:pPr>
        <w:tabs>
          <w:tab w:val="clear" w:pos="794"/>
          <w:tab w:val="clear" w:pos="1191"/>
          <w:tab w:val="clear" w:pos="1588"/>
          <w:tab w:val="clear" w:pos="1985"/>
        </w:tabs>
        <w:overflowPunct/>
        <w:autoSpaceDE/>
        <w:autoSpaceDN/>
        <w:adjustRightInd/>
        <w:spacing w:before="0"/>
        <w:textAlignment w:val="auto"/>
        <w:rPr>
          <w:lang w:val="en-US" w:eastAsia="ja-JP"/>
        </w:rPr>
      </w:pPr>
      <w:r>
        <w:rPr>
          <w:lang w:val="en-US" w:eastAsia="ja-JP"/>
        </w:rPr>
        <w:br w:type="page"/>
      </w:r>
    </w:p>
    <w:p w:rsidR="00BF14E0" w:rsidRPr="006A444B" w:rsidRDefault="00BF14E0" w:rsidP="00BF14E0">
      <w:pPr>
        <w:rPr>
          <w:lang w:val="en-US" w:eastAsia="ja-JP"/>
        </w:rPr>
      </w:pPr>
      <w:r w:rsidRPr="006A444B">
        <w:rPr>
          <w:lang w:val="en-US" w:eastAsia="ja-JP"/>
        </w:rPr>
        <w:t xml:space="preserve">Then the voltages and the currents of the mode terminals in Fig. 2 (b) are connected as follows, </w:t>
      </w:r>
    </w:p>
    <w:p w:rsidR="00BF14E0" w:rsidRPr="006A444B" w:rsidRDefault="00BF14E0" w:rsidP="00BF14E0">
      <w:pPr>
        <w:pStyle w:val="Equation"/>
        <w:rPr>
          <w:lang w:val="en-US" w:eastAsia="ja-JP"/>
        </w:rPr>
      </w:pPr>
      <w:r w:rsidRPr="006A444B">
        <w:rPr>
          <w:lang w:val="en-US" w:eastAsia="ja-JP"/>
        </w:rPr>
        <w:tab/>
      </w:r>
      <w:r w:rsidRPr="006A444B">
        <w:rPr>
          <w:lang w:val="en-US" w:eastAsia="ja-JP"/>
        </w:rPr>
        <w:tab/>
      </w:r>
      <w:r w:rsidR="00566A7F" w:rsidRPr="00EF1C76">
        <w:rPr>
          <w:noProof/>
          <w:lang w:val="en-US"/>
        </w:rPr>
        <w:pict>
          <v:shape id="図 3" o:spid="_x0000_i1029" type="#_x0000_t75" alt="txp_fig" style="width:180.75pt;height:26.25pt;visibility:visible">
            <v:imagedata r:id="rId16" o:title="" chromakey="white"/>
          </v:shape>
        </w:pict>
      </w:r>
    </w:p>
    <w:p w:rsidR="00BF14E0" w:rsidRPr="006A444B" w:rsidRDefault="00BF14E0" w:rsidP="00566A7F">
      <w:pPr>
        <w:spacing w:before="240"/>
        <w:rPr>
          <w:lang w:val="en-US" w:eastAsia="ja-JP"/>
        </w:rPr>
      </w:pPr>
      <w:r w:rsidRPr="006A444B">
        <w:rPr>
          <w:lang w:val="en-US" w:eastAsia="ja-JP"/>
        </w:rPr>
        <w:t>The transformation matrix between a pair of input (or output) physical terminals in Fig. 2 (a) and the corresponding mode terminals in Fig. 2 (b) is given by,</w:t>
      </w:r>
    </w:p>
    <w:p w:rsidR="00BF14E0" w:rsidRPr="006A444B" w:rsidRDefault="00BF14E0" w:rsidP="00BF14E0">
      <w:pPr>
        <w:pStyle w:val="Equation"/>
        <w:rPr>
          <w:lang w:val="en-US" w:eastAsia="ja-JP"/>
        </w:rPr>
      </w:pPr>
      <w:r w:rsidRPr="006A444B">
        <w:rPr>
          <w:lang w:val="en-US" w:eastAsia="ja-JP"/>
        </w:rPr>
        <w:tab/>
      </w:r>
      <w:r w:rsidRPr="006A444B">
        <w:rPr>
          <w:lang w:val="en-US" w:eastAsia="ja-JP"/>
        </w:rPr>
        <w:tab/>
      </w:r>
      <w:r w:rsidR="00566A7F" w:rsidRPr="00EF1C76">
        <w:rPr>
          <w:noProof/>
          <w:lang w:val="en-US"/>
        </w:rPr>
        <w:pict>
          <v:shape id="_x0000_i1030" type="#_x0000_t75" alt="txp_fig" style="width:90pt;height:30.75pt;visibility:visible">
            <v:imagedata r:id="rId17" o:title="" chromakey="white"/>
          </v:shape>
        </w:pict>
      </w:r>
    </w:p>
    <w:p w:rsidR="00BF14E0" w:rsidRPr="006A444B" w:rsidRDefault="00BF14E0" w:rsidP="00566A7F">
      <w:pPr>
        <w:spacing w:before="240"/>
        <w:rPr>
          <w:lang w:val="en-US" w:eastAsia="ja-JP"/>
        </w:rPr>
      </w:pPr>
      <w:r w:rsidRPr="006A444B">
        <w:rPr>
          <w:lang w:val="en-US" w:eastAsia="ja-JP"/>
        </w:rPr>
        <w:t>The transformation matrix between all physical terminals and all mode terminals is given by,</w:t>
      </w:r>
    </w:p>
    <w:p w:rsidR="00BF14E0" w:rsidRPr="006A444B" w:rsidRDefault="00BF14E0" w:rsidP="00BF14E0">
      <w:pPr>
        <w:pStyle w:val="Equation"/>
        <w:rPr>
          <w:lang w:val="en-US" w:eastAsia="ja-JP"/>
        </w:rPr>
      </w:pPr>
      <w:r w:rsidRPr="006A444B">
        <w:rPr>
          <w:lang w:val="en-US" w:eastAsia="ja-JP"/>
        </w:rPr>
        <w:tab/>
      </w:r>
      <w:r w:rsidRPr="006A444B">
        <w:rPr>
          <w:lang w:val="en-US" w:eastAsia="ja-JP"/>
        </w:rPr>
        <w:tab/>
      </w:r>
      <w:r w:rsidR="00566A7F" w:rsidRPr="00EF1C76">
        <w:rPr>
          <w:noProof/>
          <w:lang w:val="en-US"/>
        </w:rPr>
        <w:pict>
          <v:shape id="図 6" o:spid="_x0000_i1031" type="#_x0000_t75" alt="txp_fig" style="width:129pt;height:60.75pt;visibility:visible">
            <v:imagedata r:id="rId18" o:title="" chromakey="white"/>
          </v:shape>
        </w:pict>
      </w:r>
    </w:p>
    <w:p w:rsidR="00BF14E0" w:rsidRPr="006A444B" w:rsidRDefault="00BF14E0" w:rsidP="00566A7F">
      <w:pPr>
        <w:spacing w:before="240"/>
        <w:rPr>
          <w:noProof/>
          <w:lang w:val="en-US" w:eastAsia="ja-JP"/>
        </w:rPr>
      </w:pPr>
      <w:r w:rsidRPr="006A444B">
        <w:rPr>
          <w:noProof/>
          <w:lang w:val="en-US" w:eastAsia="ja-JP"/>
        </w:rPr>
        <w:t>The impedance matrix of the mode terminals of the transmission line in Fig. 2 (b) is given by,</w:t>
      </w:r>
    </w:p>
    <w:p w:rsidR="00BF14E0" w:rsidRPr="006A444B" w:rsidRDefault="00BF14E0" w:rsidP="00BF14E0">
      <w:pPr>
        <w:pStyle w:val="Equation"/>
        <w:rPr>
          <w:lang w:val="en-US" w:eastAsia="ja-JP"/>
        </w:rPr>
      </w:pPr>
      <w:r w:rsidRPr="006A444B">
        <w:rPr>
          <w:lang w:val="en-US" w:eastAsia="ja-JP"/>
        </w:rPr>
        <w:tab/>
      </w:r>
      <w:r w:rsidRPr="006A444B">
        <w:rPr>
          <w:lang w:val="en-US" w:eastAsia="ja-JP"/>
        </w:rPr>
        <w:tab/>
      </w:r>
      <w:r w:rsidR="00566A7F" w:rsidRPr="00EF1C76">
        <w:rPr>
          <w:noProof/>
          <w:lang w:val="en-US"/>
        </w:rPr>
        <w:pict>
          <v:shape id="_x0000_i1032" type="#_x0000_t75" alt="txp_fig" style="width:83.25pt;height:30.75pt;visibility:visible">
            <v:imagedata r:id="rId19" o:title="" chromakey="white"/>
          </v:shape>
        </w:pict>
      </w:r>
    </w:p>
    <w:p w:rsidR="00BF14E0" w:rsidRPr="006A444B" w:rsidRDefault="00BF14E0" w:rsidP="00566A7F">
      <w:pPr>
        <w:spacing w:before="240"/>
        <w:rPr>
          <w:lang w:val="en-US" w:eastAsia="ja-JP"/>
        </w:rPr>
      </w:pPr>
      <w:r w:rsidRPr="006A444B">
        <w:rPr>
          <w:lang w:val="en-US" w:eastAsia="ja-JP"/>
        </w:rPr>
        <w:t>Therefore the impedance matrix of the physical terminals of the transmission line in Fig. 2 (a) is calculated to be,</w:t>
      </w:r>
    </w:p>
    <w:p w:rsidR="00BF14E0" w:rsidRPr="006A444B" w:rsidRDefault="00BF14E0" w:rsidP="00BF14E0">
      <w:pPr>
        <w:pStyle w:val="Equation"/>
        <w:rPr>
          <w:lang w:val="en-US" w:eastAsia="ja-JP"/>
        </w:rPr>
      </w:pPr>
      <w:r w:rsidRPr="006A444B">
        <w:rPr>
          <w:lang w:val="en-US" w:eastAsia="ja-JP"/>
        </w:rPr>
        <w:tab/>
      </w:r>
      <w:r w:rsidRPr="006A444B">
        <w:rPr>
          <w:lang w:val="en-US" w:eastAsia="ja-JP"/>
        </w:rPr>
        <w:tab/>
      </w:r>
      <w:r w:rsidR="00566A7F" w:rsidRPr="00EF1C76">
        <w:rPr>
          <w:noProof/>
          <w:lang w:val="en-US"/>
        </w:rPr>
        <w:pict>
          <v:shape id="図 7" o:spid="_x0000_i1033" type="#_x0000_t75" alt="txp_fig" style="width:356.25pt;height:51.75pt;visibility:visible">
            <v:imagedata r:id="rId20" o:title="" chromakey="white"/>
          </v:shape>
        </w:pict>
      </w:r>
    </w:p>
    <w:p w:rsidR="00BF14E0" w:rsidRPr="006A444B" w:rsidRDefault="00BF14E0" w:rsidP="00566A7F">
      <w:pPr>
        <w:spacing w:before="240"/>
        <w:rPr>
          <w:lang w:val="en-US" w:eastAsia="ja-JP"/>
        </w:rPr>
      </w:pPr>
      <w:r w:rsidRPr="006A444B">
        <w:rPr>
          <w:lang w:val="en-US" w:eastAsia="ja-JP"/>
        </w:rPr>
        <w:t>In the case of a short stub in Fig. 1 (a), the terminal conditions are given by,</w:t>
      </w:r>
    </w:p>
    <w:p w:rsidR="00BF14E0" w:rsidRPr="006A444B" w:rsidRDefault="00BF14E0" w:rsidP="00BF14E0">
      <w:pPr>
        <w:pStyle w:val="Equation"/>
        <w:rPr>
          <w:lang w:val="en-US" w:eastAsia="ja-JP"/>
        </w:rPr>
      </w:pPr>
      <w:r w:rsidRPr="006A444B">
        <w:rPr>
          <w:lang w:val="en-US" w:eastAsia="ja-JP"/>
        </w:rPr>
        <w:tab/>
      </w:r>
      <w:r w:rsidRPr="006A444B">
        <w:rPr>
          <w:lang w:val="en-US" w:eastAsia="ja-JP"/>
        </w:rPr>
        <w:tab/>
      </w:r>
      <w:r w:rsidR="00566A7F" w:rsidRPr="00EF1C76">
        <w:rPr>
          <w:noProof/>
          <w:lang w:val="en-US"/>
        </w:rPr>
        <w:pict>
          <v:shape id="図 11" o:spid="_x0000_i1034" type="#_x0000_t75" alt="txp_fig" style="width:74.25pt;height:11.25pt;visibility:visible">
            <v:imagedata r:id="rId21" o:title="" chromakey="white"/>
          </v:shape>
        </w:pict>
      </w:r>
    </w:p>
    <w:p w:rsidR="00BF14E0" w:rsidRPr="006A444B" w:rsidRDefault="00BF14E0" w:rsidP="00566A7F">
      <w:pPr>
        <w:spacing w:before="240"/>
        <w:rPr>
          <w:lang w:val="en-US" w:eastAsia="ja-JP"/>
        </w:rPr>
      </w:pPr>
      <w:r w:rsidRPr="006A444B">
        <w:rPr>
          <w:lang w:val="en-US" w:eastAsia="ja-JP"/>
        </w:rPr>
        <w:t xml:space="preserve">Therefore the input and output voltages and currents have the relationship, </w:t>
      </w:r>
    </w:p>
    <w:p w:rsidR="00BF14E0" w:rsidRPr="006A444B" w:rsidRDefault="00BF14E0" w:rsidP="00BF14E0">
      <w:pPr>
        <w:pStyle w:val="Equation"/>
        <w:rPr>
          <w:lang w:val="en-US" w:eastAsia="ja-JP"/>
        </w:rPr>
      </w:pPr>
      <w:r w:rsidRPr="006A444B">
        <w:rPr>
          <w:lang w:val="en-US" w:eastAsia="ja-JP"/>
        </w:rPr>
        <w:tab/>
      </w:r>
      <w:r w:rsidRPr="006A444B">
        <w:rPr>
          <w:lang w:val="en-US" w:eastAsia="ja-JP"/>
        </w:rPr>
        <w:tab/>
      </w:r>
      <w:r w:rsidR="00566A7F" w:rsidRPr="00EF1C76">
        <w:rPr>
          <w:noProof/>
          <w:lang w:val="en-US"/>
        </w:rPr>
        <w:pict>
          <v:shape id="図 12" o:spid="_x0000_i1035" type="#_x0000_t75" alt="txp_fig" style="width:258.75pt;height:24.75pt;visibility:visible">
            <v:imagedata r:id="rId22" o:title="" chromakey="white"/>
          </v:shape>
        </w:pict>
      </w:r>
    </w:p>
    <w:p w:rsidR="00BF14E0" w:rsidRPr="006A444B" w:rsidRDefault="00BF14E0" w:rsidP="00566A7F">
      <w:pPr>
        <w:spacing w:before="240"/>
        <w:rPr>
          <w:lang w:val="en-US" w:eastAsia="ja-JP"/>
        </w:rPr>
      </w:pPr>
      <w:r w:rsidRPr="006A444B">
        <w:rPr>
          <w:lang w:val="en-US" w:eastAsia="ja-JP"/>
        </w:rPr>
        <w:t>which can be expressed by the impedance matrix,</w:t>
      </w:r>
    </w:p>
    <w:p w:rsidR="00BF14E0" w:rsidRPr="006A444B" w:rsidRDefault="00BF14E0" w:rsidP="00BF14E0">
      <w:pPr>
        <w:pStyle w:val="Equation"/>
        <w:rPr>
          <w:lang w:val="en-US" w:eastAsia="ja-JP"/>
        </w:rPr>
      </w:pPr>
      <w:r w:rsidRPr="006A444B">
        <w:rPr>
          <w:lang w:val="en-US" w:eastAsia="ja-JP"/>
        </w:rPr>
        <w:tab/>
      </w:r>
      <w:r w:rsidRPr="006A444B">
        <w:rPr>
          <w:lang w:val="en-US" w:eastAsia="ja-JP"/>
        </w:rPr>
        <w:tab/>
      </w:r>
      <w:r w:rsidR="00566A7F" w:rsidRPr="00EF1C76">
        <w:rPr>
          <w:noProof/>
          <w:lang w:val="en-US"/>
        </w:rPr>
        <w:pict>
          <v:shape id="図 13" o:spid="_x0000_i1036" type="#_x0000_t75" alt="txp_fig" style="width:264.75pt;height:30.75pt;visibility:visible">
            <v:imagedata r:id="rId23" o:title="" chromakey="white"/>
          </v:shape>
        </w:pict>
      </w:r>
    </w:p>
    <w:p w:rsidR="00BF14E0" w:rsidRPr="006A444B" w:rsidRDefault="00BF14E0" w:rsidP="00566A7F">
      <w:pPr>
        <w:spacing w:before="240"/>
        <w:rPr>
          <w:lang w:val="en-US" w:eastAsia="ja-JP"/>
        </w:rPr>
      </w:pPr>
      <w:r w:rsidRPr="006A444B">
        <w:rPr>
          <w:lang w:val="en-US" w:eastAsia="ja-JP"/>
        </w:rPr>
        <w:t>In the case of an open stub in Fig. 1 (b), the terminal condition is given by,</w:t>
      </w:r>
    </w:p>
    <w:p w:rsidR="00BF14E0" w:rsidRPr="006A444B" w:rsidRDefault="00BF14E0" w:rsidP="00BF14E0">
      <w:pPr>
        <w:pStyle w:val="Equation"/>
        <w:rPr>
          <w:lang w:val="en-US" w:eastAsia="ja-JP"/>
        </w:rPr>
      </w:pPr>
      <w:r w:rsidRPr="006A444B">
        <w:rPr>
          <w:lang w:val="en-US" w:eastAsia="ja-JP"/>
        </w:rPr>
        <w:tab/>
      </w:r>
      <w:r w:rsidRPr="006A444B">
        <w:rPr>
          <w:lang w:val="en-US" w:eastAsia="ja-JP"/>
        </w:rPr>
        <w:tab/>
      </w:r>
      <w:r w:rsidR="00566A7F" w:rsidRPr="00EF1C76">
        <w:rPr>
          <w:noProof/>
          <w:lang w:val="en-US"/>
        </w:rPr>
        <w:pict>
          <v:shape id="図 8" o:spid="_x0000_i1037" type="#_x0000_t75" alt="txp_fig" style="width:48pt;height:11.25pt;visibility:visible">
            <v:imagedata r:id="rId24" o:title="" chromakey="white"/>
          </v:shape>
        </w:pict>
      </w:r>
    </w:p>
    <w:p w:rsidR="00BF14E0" w:rsidRPr="006A444B" w:rsidRDefault="00BF14E0" w:rsidP="00566A7F">
      <w:pPr>
        <w:spacing w:before="240"/>
        <w:rPr>
          <w:lang w:val="en-US" w:eastAsia="ja-JP"/>
        </w:rPr>
      </w:pPr>
      <w:r w:rsidRPr="006A444B">
        <w:rPr>
          <w:lang w:val="en-US" w:eastAsia="ja-JP"/>
        </w:rPr>
        <w:t xml:space="preserve">Therefore the input and output voltages and currents have the relationship, </w:t>
      </w:r>
    </w:p>
    <w:p w:rsidR="00BF14E0" w:rsidRPr="006A444B" w:rsidRDefault="00BF14E0" w:rsidP="00BF14E0">
      <w:pPr>
        <w:pStyle w:val="Equation"/>
        <w:rPr>
          <w:lang w:val="en-US" w:eastAsia="ja-JP"/>
        </w:rPr>
      </w:pPr>
      <w:r w:rsidRPr="006A444B">
        <w:rPr>
          <w:lang w:val="en-US" w:eastAsia="ja-JP"/>
        </w:rPr>
        <w:tab/>
      </w:r>
      <w:r w:rsidRPr="006A444B">
        <w:rPr>
          <w:lang w:val="en-US" w:eastAsia="ja-JP"/>
        </w:rPr>
        <w:tab/>
      </w:r>
      <w:r w:rsidR="00566A7F" w:rsidRPr="00EF1C76">
        <w:rPr>
          <w:noProof/>
          <w:lang w:val="en-US"/>
        </w:rPr>
        <w:pict>
          <v:shape id="図 9" o:spid="_x0000_i1038" type="#_x0000_t75" alt="txp_fig" style="width:126pt;height:24.75pt;visibility:visible">
            <v:imagedata r:id="rId25" o:title="" chromakey="white"/>
          </v:shape>
        </w:pict>
      </w:r>
    </w:p>
    <w:p w:rsidR="00BF14E0" w:rsidRPr="006A444B" w:rsidRDefault="00BF14E0" w:rsidP="00566A7F">
      <w:pPr>
        <w:pStyle w:val="Equation"/>
        <w:spacing w:before="240"/>
        <w:rPr>
          <w:lang w:val="en-US" w:eastAsia="ja-JP"/>
        </w:rPr>
      </w:pPr>
      <w:r w:rsidRPr="006A444B">
        <w:rPr>
          <w:lang w:val="en-US" w:eastAsia="ja-JP"/>
        </w:rPr>
        <w:t>which can be expressed by the impedance matrix,</w:t>
      </w:r>
    </w:p>
    <w:p w:rsidR="00BF14E0" w:rsidRPr="006A444B" w:rsidRDefault="00BF14E0" w:rsidP="00BF14E0">
      <w:pPr>
        <w:pStyle w:val="Equation"/>
        <w:rPr>
          <w:lang w:val="en-US" w:eastAsia="ja-JP"/>
        </w:rPr>
      </w:pPr>
      <w:r w:rsidRPr="006A444B">
        <w:rPr>
          <w:lang w:val="en-US" w:eastAsia="ja-JP"/>
        </w:rPr>
        <w:tab/>
      </w:r>
      <w:r w:rsidRPr="006A444B">
        <w:rPr>
          <w:lang w:val="en-US" w:eastAsia="ja-JP"/>
        </w:rPr>
        <w:tab/>
      </w:r>
      <w:r w:rsidR="00566A7F" w:rsidRPr="00EF1C76">
        <w:rPr>
          <w:noProof/>
          <w:lang w:val="en-US"/>
        </w:rPr>
        <w:pict>
          <v:shape id="図 10" o:spid="_x0000_i1039" type="#_x0000_t75" alt="txp_fig" style="width:255.75pt;height:24.75pt;visibility:visible">
            <v:imagedata r:id="rId26" o:title="" chromakey="white"/>
          </v:shape>
        </w:pict>
      </w:r>
    </w:p>
    <w:p w:rsidR="00BF14E0" w:rsidRPr="00580FF1" w:rsidRDefault="00BF14E0" w:rsidP="00580FF1">
      <w:pPr>
        <w:pStyle w:val="FigureNo"/>
        <w:rPr>
          <w:sz w:val="20"/>
        </w:rPr>
      </w:pPr>
      <w:r w:rsidRPr="00580FF1">
        <w:rPr>
          <w:sz w:val="20"/>
        </w:rPr>
        <w:t>Figure 3</w:t>
      </w:r>
    </w:p>
    <w:p w:rsidR="00BF14E0" w:rsidRPr="00580FF1" w:rsidRDefault="00BF14E0" w:rsidP="00580FF1">
      <w:pPr>
        <w:pStyle w:val="Figuretitle"/>
        <w:rPr>
          <w:sz w:val="20"/>
          <w:lang w:val="en-US" w:eastAsia="ja-JP"/>
        </w:rPr>
      </w:pPr>
      <w:r w:rsidRPr="00580FF1">
        <w:rPr>
          <w:sz w:val="20"/>
          <w:lang w:val="en-US" w:eastAsia="ja-JP"/>
        </w:rPr>
        <w:t>Analysis with virtual shunt resistance to the ground</w:t>
      </w:r>
    </w:p>
    <w:p w:rsidR="00BF14E0" w:rsidRPr="006A444B" w:rsidRDefault="00566A7F" w:rsidP="00BF14E0">
      <w:pPr>
        <w:jc w:val="center"/>
        <w:rPr>
          <w:lang w:val="en-US" w:eastAsia="ja-JP"/>
        </w:rPr>
      </w:pPr>
      <w:r w:rsidRPr="00EF1C76">
        <w:rPr>
          <w:noProof/>
          <w:lang w:val="en-US"/>
        </w:rPr>
        <w:pict>
          <v:shape id="_x0000_i1040" type="#_x0000_t75" alt="txp_fig" style="width:69.75pt;height:87.75pt;visibility:visible">
            <v:imagedata r:id="rId27" o:title="" chromakey="white"/>
          </v:shape>
        </w:pict>
      </w:r>
    </w:p>
    <w:p w:rsidR="00BF14E0" w:rsidRPr="006A444B" w:rsidRDefault="00BF14E0" w:rsidP="00BF14E0">
      <w:pPr>
        <w:spacing w:before="0"/>
        <w:rPr>
          <w:lang w:val="en-US" w:eastAsia="ja-JP"/>
        </w:rPr>
      </w:pPr>
    </w:p>
    <w:p w:rsidR="00BF14E0" w:rsidRPr="006A444B" w:rsidRDefault="00BF14E0" w:rsidP="00BF14E0">
      <w:pPr>
        <w:rPr>
          <w:lang w:val="en-US" w:eastAsia="ja-JP"/>
        </w:rPr>
      </w:pPr>
      <w:r w:rsidRPr="006A444B">
        <w:rPr>
          <w:lang w:val="en-US" w:eastAsia="ja-JP"/>
        </w:rPr>
        <w:t xml:space="preserve">To analyse a transmission line unilaterally loaded with a series stub as shown in Fig. 1, the other conductor is grounded through the resistance </w:t>
      </w:r>
      <w:r w:rsidRPr="006A444B">
        <w:rPr>
          <w:i/>
          <w:lang w:val="en-US" w:eastAsia="ja-JP"/>
        </w:rPr>
        <w:t>R</w:t>
      </w:r>
      <w:r w:rsidRPr="006A444B">
        <w:rPr>
          <w:lang w:val="en-US" w:eastAsia="ja-JP"/>
        </w:rPr>
        <w:t xml:space="preserve"> as shown in Fig. 3. Then the impedance matrix of the conductor is given by,</w:t>
      </w:r>
    </w:p>
    <w:p w:rsidR="00BF14E0" w:rsidRPr="006A444B" w:rsidRDefault="00BF14E0" w:rsidP="00BF14E0">
      <w:pPr>
        <w:pStyle w:val="Equation"/>
        <w:rPr>
          <w:lang w:val="en-US" w:eastAsia="ja-JP"/>
        </w:rPr>
      </w:pPr>
      <w:r w:rsidRPr="006A444B">
        <w:rPr>
          <w:lang w:val="en-US" w:eastAsia="ja-JP"/>
        </w:rPr>
        <w:tab/>
      </w:r>
      <w:r w:rsidRPr="006A444B">
        <w:rPr>
          <w:lang w:val="en-US" w:eastAsia="ja-JP"/>
        </w:rPr>
        <w:tab/>
      </w:r>
      <w:r w:rsidR="00566A7F" w:rsidRPr="00EF1C76">
        <w:rPr>
          <w:noProof/>
          <w:lang w:val="en-US"/>
        </w:rPr>
        <w:pict>
          <v:shape id="図 14" o:spid="_x0000_i1041" type="#_x0000_t75" alt="txp_fig" style="width:66.75pt;height:30.75pt;visibility:visible">
            <v:imagedata r:id="rId28" o:title="" chromakey="white"/>
          </v:shape>
        </w:pict>
      </w:r>
    </w:p>
    <w:p w:rsidR="00BF14E0" w:rsidRPr="006A444B" w:rsidRDefault="00BF14E0" w:rsidP="00566A7F">
      <w:pPr>
        <w:spacing w:before="240"/>
        <w:rPr>
          <w:lang w:val="en-US" w:eastAsia="ja-JP"/>
        </w:rPr>
      </w:pPr>
      <w:r w:rsidRPr="006A444B">
        <w:rPr>
          <w:lang w:val="en-US" w:eastAsia="ja-JP"/>
        </w:rPr>
        <w:t xml:space="preserve">and the impedance matrix of the whole circuit in Fig. 3 is given by, </w:t>
      </w:r>
    </w:p>
    <w:p w:rsidR="00BF14E0" w:rsidRPr="006A444B" w:rsidRDefault="00BF14E0" w:rsidP="00BF14E0">
      <w:pPr>
        <w:pStyle w:val="Equation"/>
        <w:rPr>
          <w:lang w:val="en-US" w:eastAsia="ja-JP"/>
        </w:rPr>
      </w:pPr>
      <w:r w:rsidRPr="006A444B">
        <w:rPr>
          <w:lang w:val="en-US" w:eastAsia="ja-JP"/>
        </w:rPr>
        <w:tab/>
      </w:r>
      <w:r w:rsidRPr="006A444B">
        <w:rPr>
          <w:lang w:val="en-US" w:eastAsia="ja-JP"/>
        </w:rPr>
        <w:tab/>
      </w:r>
      <w:r w:rsidR="00566A7F" w:rsidRPr="00EF1C76">
        <w:rPr>
          <w:noProof/>
          <w:lang w:val="en-US"/>
        </w:rPr>
        <w:pict>
          <v:shape id="図 15" o:spid="_x0000_i1042" type="#_x0000_t75" alt="txp_fig" style="width:87pt;height:30.75pt;visibility:visible">
            <v:imagedata r:id="rId29" o:title="" chromakey="white"/>
          </v:shape>
        </w:pict>
      </w:r>
    </w:p>
    <w:p w:rsidR="00BF14E0" w:rsidRPr="006A444B" w:rsidRDefault="00BF14E0" w:rsidP="00566A7F">
      <w:pPr>
        <w:spacing w:before="240"/>
        <w:rPr>
          <w:lang w:val="en-US" w:eastAsia="ja-JP"/>
        </w:rPr>
      </w:pPr>
      <w:r w:rsidRPr="006A444B">
        <w:rPr>
          <w:lang w:val="en-US" w:eastAsia="ja-JP"/>
        </w:rPr>
        <w:t xml:space="preserve">where subscript is </w:t>
      </w:r>
      <w:r w:rsidRPr="006A444B">
        <w:rPr>
          <w:i/>
          <w:lang w:val="en-US" w:eastAsia="ja-JP"/>
        </w:rPr>
        <w:t>x</w:t>
      </w:r>
      <w:r w:rsidRPr="006A444B">
        <w:rPr>
          <w:lang w:val="en-US" w:eastAsia="ja-JP"/>
        </w:rPr>
        <w:t>=</w:t>
      </w:r>
      <w:r w:rsidRPr="006A444B">
        <w:rPr>
          <w:i/>
          <w:lang w:val="en-US" w:eastAsia="ja-JP"/>
        </w:rPr>
        <w:t>o</w:t>
      </w:r>
      <w:r w:rsidRPr="006A444B">
        <w:rPr>
          <w:lang w:val="en-US" w:eastAsia="ja-JP"/>
        </w:rPr>
        <w:t xml:space="preserve"> for an open stub and </w:t>
      </w:r>
      <w:r w:rsidRPr="006A444B">
        <w:rPr>
          <w:i/>
          <w:lang w:val="en-US" w:eastAsia="ja-JP"/>
        </w:rPr>
        <w:t>x</w:t>
      </w:r>
      <w:r w:rsidRPr="006A444B">
        <w:rPr>
          <w:lang w:val="en-US" w:eastAsia="ja-JP"/>
        </w:rPr>
        <w:t>=</w:t>
      </w:r>
      <w:r w:rsidRPr="006A444B">
        <w:rPr>
          <w:i/>
          <w:lang w:val="en-US" w:eastAsia="ja-JP"/>
        </w:rPr>
        <w:t xml:space="preserve">s </w:t>
      </w:r>
      <w:r w:rsidRPr="006A444B">
        <w:rPr>
          <w:lang w:val="en-US" w:eastAsia="ja-JP"/>
        </w:rPr>
        <w:t>for a short stub. It is translated into the mixed-mode impedance matrix,</w:t>
      </w:r>
    </w:p>
    <w:p w:rsidR="00BF14E0" w:rsidRPr="006A444B" w:rsidRDefault="00BF14E0" w:rsidP="00BF14E0">
      <w:pPr>
        <w:pStyle w:val="Equation"/>
        <w:rPr>
          <w:lang w:val="en-US" w:eastAsia="ja-JP"/>
        </w:rPr>
      </w:pPr>
      <w:r w:rsidRPr="006A444B">
        <w:rPr>
          <w:lang w:val="en-US" w:eastAsia="ja-JP"/>
        </w:rPr>
        <w:tab/>
      </w:r>
      <w:r w:rsidRPr="006A444B">
        <w:rPr>
          <w:lang w:val="en-US" w:eastAsia="ja-JP"/>
        </w:rPr>
        <w:tab/>
      </w:r>
      <w:r w:rsidR="00566A7F" w:rsidRPr="00EF1C76">
        <w:rPr>
          <w:noProof/>
          <w:lang w:val="en-US"/>
        </w:rPr>
        <w:pict>
          <v:shape id="図 16" o:spid="_x0000_i1043" type="#_x0000_t75" alt="txp_fig" style="width:191.25pt;height:60.75pt;visibility:visible">
            <v:imagedata r:id="rId30" o:title="" chromakey="white"/>
          </v:shape>
        </w:pict>
      </w:r>
    </w:p>
    <w:p w:rsidR="00BF14E0" w:rsidRPr="006A444B" w:rsidRDefault="00BF14E0" w:rsidP="00566A7F">
      <w:pPr>
        <w:spacing w:before="240"/>
        <w:rPr>
          <w:lang w:val="en-US" w:eastAsia="ja-JP"/>
        </w:rPr>
      </w:pPr>
      <w:r w:rsidRPr="006A444B">
        <w:rPr>
          <w:lang w:val="en-US" w:eastAsia="ja-JP"/>
        </w:rPr>
        <w:t>The mixed-mode scattering matrix of the series stub circuit shown in Fig. 1 is calculated by taking the limit,</w:t>
      </w:r>
    </w:p>
    <w:p w:rsidR="00BF14E0" w:rsidRPr="006A444B" w:rsidRDefault="00BF14E0" w:rsidP="00566A7F">
      <w:pPr>
        <w:pStyle w:val="Equation"/>
        <w:spacing w:before="240"/>
        <w:rPr>
          <w:lang w:val="en-US" w:eastAsia="ja-JP"/>
        </w:rPr>
      </w:pPr>
      <w:r w:rsidRPr="006A444B">
        <w:rPr>
          <w:lang w:val="en-US" w:eastAsia="ja-JP"/>
        </w:rPr>
        <w:tab/>
      </w:r>
      <w:r w:rsidRPr="006A444B">
        <w:rPr>
          <w:lang w:val="en-US" w:eastAsia="ja-JP"/>
        </w:rPr>
        <w:tab/>
      </w:r>
      <w:r w:rsidR="00566A7F" w:rsidRPr="00EF1C76">
        <w:rPr>
          <w:noProof/>
          <w:lang w:val="en-US"/>
        </w:rPr>
        <w:pict>
          <v:shape id="_x0000_i1044" type="#_x0000_t75" alt="txp_fig" style="width:261pt;height:48.75pt;visibility:visible">
            <v:imagedata r:id="rId31" o:title="" chromakey="white"/>
          </v:shape>
        </w:pict>
      </w:r>
      <w:r w:rsidRPr="006A444B">
        <w:rPr>
          <w:lang w:val="en-US" w:eastAsia="ja-JP"/>
        </w:rPr>
        <w:br/>
        <w:t>where:</w:t>
      </w:r>
    </w:p>
    <w:p w:rsidR="00BF14E0" w:rsidRPr="006A444B" w:rsidRDefault="00BF14E0" w:rsidP="00BF14E0">
      <w:pPr>
        <w:pStyle w:val="Equation"/>
        <w:rPr>
          <w:lang w:val="en-US" w:eastAsia="ja-JP"/>
        </w:rPr>
      </w:pPr>
      <w:r w:rsidRPr="006A444B">
        <w:rPr>
          <w:lang w:val="en-US" w:eastAsia="ja-JP"/>
        </w:rPr>
        <w:tab/>
      </w:r>
      <w:r w:rsidRPr="006A444B">
        <w:rPr>
          <w:lang w:val="en-US" w:eastAsia="ja-JP"/>
        </w:rPr>
        <w:tab/>
      </w:r>
      <w:r w:rsidR="00566A7F" w:rsidRPr="00EF1C76">
        <w:rPr>
          <w:noProof/>
          <w:lang w:val="en-US"/>
        </w:rPr>
        <w:pict>
          <v:shape id="_x0000_i1045" type="#_x0000_t75" alt="txp_fig" style="width:135pt;height:60.75pt;visibility:visible">
            <v:imagedata r:id="rId32" o:title="" chromakey="white"/>
          </v:shape>
        </w:pict>
      </w:r>
    </w:p>
    <w:p w:rsidR="00BF14E0" w:rsidRPr="006A444B" w:rsidRDefault="00BF14E0" w:rsidP="00566A7F">
      <w:pPr>
        <w:spacing w:before="240"/>
        <w:rPr>
          <w:lang w:val="en-US" w:eastAsia="ja-JP"/>
        </w:rPr>
      </w:pPr>
      <w:r w:rsidRPr="006A444B">
        <w:rPr>
          <w:i/>
          <w:lang w:val="en-US" w:eastAsia="ja-JP"/>
        </w:rPr>
        <w:t>W</w:t>
      </w:r>
      <w:r w:rsidRPr="006A444B">
        <w:rPr>
          <w:vertAlign w:val="subscript"/>
          <w:lang w:val="en-US" w:eastAsia="ja-JP"/>
        </w:rPr>
        <w:t>e</w:t>
      </w:r>
      <w:r w:rsidRPr="006A444B">
        <w:rPr>
          <w:lang w:val="en-US" w:eastAsia="ja-JP"/>
        </w:rPr>
        <w:t xml:space="preserve"> and </w:t>
      </w:r>
      <w:r w:rsidRPr="006A444B">
        <w:rPr>
          <w:i/>
          <w:lang w:val="en-US" w:eastAsia="ja-JP"/>
        </w:rPr>
        <w:t>W</w:t>
      </w:r>
      <w:r w:rsidRPr="006A444B">
        <w:rPr>
          <w:vertAlign w:val="subscript"/>
          <w:lang w:val="en-US" w:eastAsia="ja-JP"/>
        </w:rPr>
        <w:t>o</w:t>
      </w:r>
      <w:r w:rsidRPr="006A444B">
        <w:rPr>
          <w:lang w:val="en-US" w:eastAsia="ja-JP"/>
        </w:rPr>
        <w:t xml:space="preserve"> denote the reference impedances of the even and the odd modes respectively, and </w:t>
      </w:r>
      <w:r w:rsidRPr="006A444B">
        <w:rPr>
          <w:b/>
          <w:lang w:val="en-US" w:eastAsia="ja-JP"/>
        </w:rPr>
        <w:t>1</w:t>
      </w:r>
      <w:r w:rsidRPr="006A444B">
        <w:rPr>
          <w:vertAlign w:val="subscript"/>
          <w:lang w:val="en-US" w:eastAsia="ja-JP"/>
        </w:rPr>
        <w:t>4</w:t>
      </w:r>
      <w:r w:rsidRPr="006A444B">
        <w:rPr>
          <w:lang w:val="en-US" w:eastAsia="ja-JP"/>
        </w:rPr>
        <w:t xml:space="preserve"> is the identity matrix of four dimension.</w:t>
      </w:r>
    </w:p>
    <w:p w:rsidR="00566A7F" w:rsidRDefault="00566A7F">
      <w:pPr>
        <w:tabs>
          <w:tab w:val="clear" w:pos="794"/>
          <w:tab w:val="clear" w:pos="1191"/>
          <w:tab w:val="clear" w:pos="1588"/>
          <w:tab w:val="clear" w:pos="1985"/>
        </w:tabs>
        <w:overflowPunct/>
        <w:autoSpaceDE/>
        <w:autoSpaceDN/>
        <w:adjustRightInd/>
        <w:spacing w:before="0"/>
        <w:textAlignment w:val="auto"/>
        <w:rPr>
          <w:b/>
          <w:lang w:val="en-US"/>
        </w:rPr>
      </w:pPr>
      <w:bookmarkStart w:id="35" w:name="_Toc265129559"/>
      <w:r>
        <w:rPr>
          <w:lang w:val="en-US"/>
        </w:rPr>
        <w:br w:type="page"/>
      </w:r>
    </w:p>
    <w:p w:rsidR="00BF14E0" w:rsidRPr="006A444B" w:rsidRDefault="00BF14E0" w:rsidP="00BF14E0">
      <w:pPr>
        <w:pStyle w:val="Heading4"/>
        <w:rPr>
          <w:lang w:val="en-US"/>
        </w:rPr>
      </w:pPr>
      <w:r w:rsidRPr="006A444B">
        <w:rPr>
          <w:lang w:val="en-US"/>
        </w:rPr>
        <w:t>A1.1.1.2</w:t>
      </w:r>
      <w:r w:rsidRPr="006A444B">
        <w:rPr>
          <w:lang w:val="en-US"/>
        </w:rPr>
        <w:tab/>
        <w:t>Results</w:t>
      </w:r>
      <w:bookmarkEnd w:id="35"/>
    </w:p>
    <w:p w:rsidR="00BF14E0" w:rsidRPr="006A444B" w:rsidRDefault="00BF14E0" w:rsidP="00BF14E0">
      <w:pPr>
        <w:rPr>
          <w:lang w:val="en-US" w:eastAsia="ja-JP"/>
        </w:rPr>
      </w:pPr>
      <w:r w:rsidRPr="006A444B">
        <w:rPr>
          <w:lang w:val="en-US" w:eastAsia="ja-JP"/>
        </w:rPr>
        <w:t>The mixed-mode scattering matrix elements of a transmission line unilaterally loaded with a series short stub are given as follows,</w:t>
      </w:r>
    </w:p>
    <w:p w:rsidR="00BF14E0" w:rsidRPr="006A444B" w:rsidRDefault="00BF14E0" w:rsidP="00BF14E0">
      <w:pPr>
        <w:pStyle w:val="Equation"/>
        <w:rPr>
          <w:lang w:val="en-US" w:eastAsia="ja-JP"/>
        </w:rPr>
      </w:pPr>
      <w:r w:rsidRPr="006A444B">
        <w:rPr>
          <w:lang w:val="en-US" w:eastAsia="ja-JP"/>
        </w:rPr>
        <w:tab/>
      </w:r>
      <w:r w:rsidRPr="006A444B">
        <w:rPr>
          <w:lang w:val="en-US" w:eastAsia="ja-JP"/>
        </w:rPr>
        <w:tab/>
      </w:r>
      <w:r w:rsidR="00566A7F" w:rsidRPr="00EF1C76">
        <w:rPr>
          <w:noProof/>
          <w:lang w:val="en-US"/>
        </w:rPr>
        <w:pict>
          <v:shape id="_x0000_i1046" type="#_x0000_t75" alt="txp_fig" style="width:399pt;height:180pt;visibility:visible">
            <v:imagedata r:id="rId33" o:title="" chromakey="white"/>
          </v:shape>
        </w:pict>
      </w:r>
      <w:r w:rsidRPr="006A444B">
        <w:rPr>
          <w:lang w:val="en-US" w:eastAsia="ja-JP"/>
        </w:rPr>
        <w:tab/>
      </w:r>
    </w:p>
    <w:p w:rsidR="00BF14E0" w:rsidRPr="006A444B" w:rsidRDefault="00BF14E0" w:rsidP="00566A7F">
      <w:pPr>
        <w:spacing w:before="240"/>
        <w:rPr>
          <w:lang w:val="en-US" w:eastAsia="ja-JP"/>
        </w:rPr>
      </w:pPr>
      <w:r w:rsidRPr="006A444B">
        <w:rPr>
          <w:lang w:val="en-US" w:eastAsia="ja-JP"/>
        </w:rPr>
        <w:t>where s</w:t>
      </w:r>
      <w:r w:rsidRPr="006A444B">
        <w:rPr>
          <w:vertAlign w:val="subscript"/>
          <w:lang w:val="en-US" w:eastAsia="ja-JP"/>
        </w:rPr>
        <w:t>11</w:t>
      </w:r>
      <w:r w:rsidRPr="006A444B">
        <w:rPr>
          <w:lang w:val="en-US" w:eastAsia="ja-JP"/>
        </w:rPr>
        <w:t>=s</w:t>
      </w:r>
      <w:r w:rsidRPr="006A444B">
        <w:rPr>
          <w:vertAlign w:val="subscript"/>
          <w:lang w:val="en-US" w:eastAsia="ja-JP"/>
        </w:rPr>
        <w:t>22</w:t>
      </w:r>
      <w:r w:rsidRPr="006A444B">
        <w:rPr>
          <w:lang w:val="en-US" w:eastAsia="ja-JP"/>
        </w:rPr>
        <w:t xml:space="preserve"> are even-mode reflections, s</w:t>
      </w:r>
      <w:r w:rsidRPr="006A444B">
        <w:rPr>
          <w:vertAlign w:val="subscript"/>
          <w:lang w:val="en-US" w:eastAsia="ja-JP"/>
        </w:rPr>
        <w:t>12</w:t>
      </w:r>
      <w:r w:rsidRPr="006A444B">
        <w:rPr>
          <w:lang w:val="en-US" w:eastAsia="ja-JP"/>
        </w:rPr>
        <w:t>=s</w:t>
      </w:r>
      <w:r w:rsidRPr="006A444B">
        <w:rPr>
          <w:vertAlign w:val="subscript"/>
          <w:lang w:val="en-US" w:eastAsia="ja-JP"/>
        </w:rPr>
        <w:t>21</w:t>
      </w:r>
      <w:r w:rsidRPr="006A444B">
        <w:rPr>
          <w:lang w:val="en-US" w:eastAsia="ja-JP"/>
        </w:rPr>
        <w:t xml:space="preserve"> are even-mode transmissions, s</w:t>
      </w:r>
      <w:r w:rsidRPr="006A444B">
        <w:rPr>
          <w:vertAlign w:val="subscript"/>
          <w:lang w:val="en-US" w:eastAsia="ja-JP"/>
        </w:rPr>
        <w:t>13</w:t>
      </w:r>
      <w:r w:rsidRPr="006A444B">
        <w:rPr>
          <w:lang w:val="en-US" w:eastAsia="ja-JP"/>
        </w:rPr>
        <w:t>=s</w:t>
      </w:r>
      <w:r w:rsidRPr="006A444B">
        <w:rPr>
          <w:vertAlign w:val="subscript"/>
          <w:lang w:val="en-US" w:eastAsia="ja-JP"/>
        </w:rPr>
        <w:t>31</w:t>
      </w:r>
      <w:r w:rsidRPr="006A444B">
        <w:rPr>
          <w:lang w:val="en-US" w:eastAsia="ja-JP"/>
        </w:rPr>
        <w:t>=s</w:t>
      </w:r>
      <w:r w:rsidRPr="006A444B">
        <w:rPr>
          <w:vertAlign w:val="subscript"/>
          <w:lang w:val="en-US" w:eastAsia="ja-JP"/>
        </w:rPr>
        <w:t>24</w:t>
      </w:r>
      <w:r w:rsidRPr="006A444B">
        <w:rPr>
          <w:lang w:val="en-US" w:eastAsia="ja-JP"/>
        </w:rPr>
        <w:t>=s</w:t>
      </w:r>
      <w:r w:rsidRPr="006A444B">
        <w:rPr>
          <w:vertAlign w:val="subscript"/>
          <w:lang w:val="en-US" w:eastAsia="ja-JP"/>
        </w:rPr>
        <w:t>42</w:t>
      </w:r>
      <w:r w:rsidRPr="006A444B">
        <w:rPr>
          <w:lang w:val="en-US" w:eastAsia="ja-JP"/>
        </w:rPr>
        <w:t xml:space="preserve"> are backward mode-conversions, s</w:t>
      </w:r>
      <w:r w:rsidRPr="006A444B">
        <w:rPr>
          <w:vertAlign w:val="subscript"/>
          <w:lang w:val="en-US" w:eastAsia="ja-JP"/>
        </w:rPr>
        <w:t>14</w:t>
      </w:r>
      <w:r w:rsidRPr="006A444B">
        <w:rPr>
          <w:lang w:val="en-US" w:eastAsia="ja-JP"/>
        </w:rPr>
        <w:t>=s</w:t>
      </w:r>
      <w:r w:rsidRPr="006A444B">
        <w:rPr>
          <w:vertAlign w:val="subscript"/>
          <w:lang w:val="en-US" w:eastAsia="ja-JP"/>
        </w:rPr>
        <w:t>41</w:t>
      </w:r>
      <w:r w:rsidRPr="006A444B">
        <w:rPr>
          <w:lang w:val="en-US" w:eastAsia="ja-JP"/>
        </w:rPr>
        <w:t>=s</w:t>
      </w:r>
      <w:r w:rsidRPr="006A444B">
        <w:rPr>
          <w:vertAlign w:val="subscript"/>
          <w:lang w:val="en-US" w:eastAsia="ja-JP"/>
        </w:rPr>
        <w:t>23</w:t>
      </w:r>
      <w:r w:rsidRPr="006A444B">
        <w:rPr>
          <w:lang w:val="en-US" w:eastAsia="ja-JP"/>
        </w:rPr>
        <w:t>=s</w:t>
      </w:r>
      <w:r w:rsidRPr="006A444B">
        <w:rPr>
          <w:vertAlign w:val="subscript"/>
          <w:lang w:val="en-US" w:eastAsia="ja-JP"/>
        </w:rPr>
        <w:t>32</w:t>
      </w:r>
      <w:r w:rsidRPr="006A444B">
        <w:rPr>
          <w:lang w:val="en-US" w:eastAsia="ja-JP"/>
        </w:rPr>
        <w:t xml:space="preserve"> are forward mode-conversions, s</w:t>
      </w:r>
      <w:r w:rsidRPr="006A444B">
        <w:rPr>
          <w:vertAlign w:val="subscript"/>
          <w:lang w:val="en-US" w:eastAsia="ja-JP"/>
        </w:rPr>
        <w:t>33</w:t>
      </w:r>
      <w:r w:rsidRPr="006A444B">
        <w:rPr>
          <w:lang w:val="en-US" w:eastAsia="ja-JP"/>
        </w:rPr>
        <w:t>=s</w:t>
      </w:r>
      <w:r w:rsidRPr="006A444B">
        <w:rPr>
          <w:vertAlign w:val="subscript"/>
          <w:lang w:val="en-US" w:eastAsia="ja-JP"/>
        </w:rPr>
        <w:t>44</w:t>
      </w:r>
      <w:r w:rsidRPr="006A444B">
        <w:rPr>
          <w:lang w:val="en-US" w:eastAsia="ja-JP"/>
        </w:rPr>
        <w:t xml:space="preserve"> are odd-mode reflections, and s</w:t>
      </w:r>
      <w:r w:rsidRPr="006A444B">
        <w:rPr>
          <w:vertAlign w:val="subscript"/>
          <w:lang w:val="en-US" w:eastAsia="ja-JP"/>
        </w:rPr>
        <w:t>34</w:t>
      </w:r>
      <w:r w:rsidRPr="006A444B">
        <w:rPr>
          <w:lang w:val="en-US" w:eastAsia="ja-JP"/>
        </w:rPr>
        <w:t>=s</w:t>
      </w:r>
      <w:r w:rsidRPr="006A444B">
        <w:rPr>
          <w:vertAlign w:val="subscript"/>
          <w:lang w:val="en-US" w:eastAsia="ja-JP"/>
        </w:rPr>
        <w:t>43</w:t>
      </w:r>
      <w:r w:rsidRPr="006A444B">
        <w:rPr>
          <w:lang w:val="en-US" w:eastAsia="ja-JP"/>
        </w:rPr>
        <w:t xml:space="preserve"> are odd-mode transmissions. </w:t>
      </w:r>
      <w:r w:rsidRPr="006A444B">
        <w:rPr>
          <w:i/>
          <w:lang w:val="en-US" w:eastAsia="ja-JP"/>
        </w:rPr>
        <w:t>Z</w:t>
      </w:r>
      <w:r w:rsidRPr="006A444B">
        <w:rPr>
          <w:vertAlign w:val="subscript"/>
          <w:lang w:val="en-US" w:eastAsia="ja-JP"/>
        </w:rPr>
        <w:t>0e</w:t>
      </w:r>
      <w:r w:rsidRPr="006A444B">
        <w:rPr>
          <w:lang w:val="en-US" w:eastAsia="ja-JP"/>
        </w:rPr>
        <w:t xml:space="preserve"> and </w:t>
      </w:r>
      <w:r w:rsidRPr="006A444B">
        <w:rPr>
          <w:i/>
          <w:lang w:val="en-US" w:eastAsia="ja-JP"/>
        </w:rPr>
        <w:t>Z</w:t>
      </w:r>
      <w:r w:rsidRPr="006A444B">
        <w:rPr>
          <w:vertAlign w:val="subscript"/>
          <w:lang w:val="en-US" w:eastAsia="ja-JP"/>
        </w:rPr>
        <w:t>0o</w:t>
      </w:r>
      <w:r w:rsidRPr="006A444B">
        <w:rPr>
          <w:lang w:val="en-US" w:eastAsia="ja-JP"/>
        </w:rPr>
        <w:t xml:space="preserve"> denote the characteristic impedances of the even and the odd modes, </w:t>
      </w:r>
      <w:r w:rsidRPr="006A444B">
        <w:rPr>
          <w:rFonts w:ascii="Symbol" w:hAnsi="Symbol"/>
          <w:i/>
          <w:lang w:val="en-US" w:eastAsia="ja-JP"/>
        </w:rPr>
        <w:t></w:t>
      </w:r>
      <w:r w:rsidRPr="006A444B">
        <w:rPr>
          <w:vertAlign w:val="subscript"/>
          <w:lang w:val="en-US" w:eastAsia="ja-JP"/>
        </w:rPr>
        <w:t>e</w:t>
      </w:r>
      <w:r w:rsidRPr="006A444B">
        <w:rPr>
          <w:lang w:val="en-US" w:eastAsia="ja-JP"/>
        </w:rPr>
        <w:t xml:space="preserve"> and </w:t>
      </w:r>
      <w:r w:rsidRPr="006A444B">
        <w:rPr>
          <w:rFonts w:ascii="Symbol" w:hAnsi="Symbol"/>
          <w:i/>
          <w:lang w:val="en-US" w:eastAsia="ja-JP"/>
        </w:rPr>
        <w:t></w:t>
      </w:r>
      <w:r w:rsidRPr="006A444B">
        <w:rPr>
          <w:vertAlign w:val="subscript"/>
          <w:lang w:val="en-US" w:eastAsia="ja-JP"/>
        </w:rPr>
        <w:t>o</w:t>
      </w:r>
      <w:r w:rsidRPr="006A444B">
        <w:rPr>
          <w:lang w:val="en-US" w:eastAsia="ja-JP"/>
        </w:rPr>
        <w:t xml:space="preserve"> denote the phase rotations of the even and the odd modes, </w:t>
      </w:r>
      <w:r w:rsidRPr="006A444B">
        <w:rPr>
          <w:i/>
          <w:lang w:val="en-US" w:eastAsia="ja-JP"/>
        </w:rPr>
        <w:t>W</w:t>
      </w:r>
      <w:r w:rsidRPr="006A444B">
        <w:rPr>
          <w:vertAlign w:val="subscript"/>
          <w:lang w:val="en-US" w:eastAsia="ja-JP"/>
        </w:rPr>
        <w:t>e</w:t>
      </w:r>
      <w:r w:rsidRPr="006A444B">
        <w:rPr>
          <w:lang w:val="en-US" w:eastAsia="ja-JP"/>
        </w:rPr>
        <w:t xml:space="preserve"> and </w:t>
      </w:r>
      <w:r w:rsidRPr="006A444B">
        <w:rPr>
          <w:i/>
          <w:lang w:val="en-US" w:eastAsia="ja-JP"/>
        </w:rPr>
        <w:t>W</w:t>
      </w:r>
      <w:r w:rsidRPr="006A444B">
        <w:rPr>
          <w:vertAlign w:val="subscript"/>
          <w:lang w:val="en-US" w:eastAsia="ja-JP"/>
        </w:rPr>
        <w:t>o</w:t>
      </w:r>
      <w:r w:rsidRPr="006A444B">
        <w:rPr>
          <w:lang w:val="en-US" w:eastAsia="ja-JP"/>
        </w:rPr>
        <w:t xml:space="preserve"> are the reference impedances of the even and the mode ports, respectively. They are the most general expressions. </w:t>
      </w:r>
    </w:p>
    <w:p w:rsidR="00BF14E0" w:rsidRPr="006A444B" w:rsidRDefault="00BF14E0" w:rsidP="00BF14E0">
      <w:pPr>
        <w:rPr>
          <w:lang w:val="en-US" w:eastAsia="ja-JP"/>
        </w:rPr>
      </w:pPr>
      <w:r w:rsidRPr="006A444B">
        <w:rPr>
          <w:lang w:val="en-US" w:eastAsia="ja-JP"/>
        </w:rPr>
        <w:t xml:space="preserve">The mixed-mode scattering matrix of a series open stub is obtained by substituting </w:t>
      </w:r>
      <w:r w:rsidRPr="006A444B">
        <w:rPr>
          <w:rFonts w:ascii="Symbol" w:hAnsi="Symbol"/>
          <w:i/>
          <w:lang w:val="en-US" w:eastAsia="ja-JP"/>
        </w:rPr>
        <w:t></w:t>
      </w:r>
      <w:r w:rsidRPr="006A444B">
        <w:rPr>
          <w:vertAlign w:val="subscript"/>
          <w:lang w:val="en-US" w:eastAsia="ja-JP"/>
        </w:rPr>
        <w:t>o</w:t>
      </w:r>
      <w:r w:rsidRPr="006A444B">
        <w:rPr>
          <w:lang w:val="en-US" w:eastAsia="ja-JP"/>
        </w:rPr>
        <w:t>+</w:t>
      </w:r>
      <w:r w:rsidRPr="006A444B">
        <w:rPr>
          <w:rFonts w:ascii="Symbol" w:hAnsi="Symbol"/>
          <w:i/>
          <w:lang w:val="en-US" w:eastAsia="ja-JP"/>
        </w:rPr>
        <w:t></w:t>
      </w:r>
      <w:r w:rsidRPr="006A444B">
        <w:rPr>
          <w:lang w:val="en-US" w:eastAsia="ja-JP"/>
        </w:rPr>
        <w:t xml:space="preserve">/2 into </w:t>
      </w:r>
      <w:r w:rsidRPr="006A444B">
        <w:rPr>
          <w:rFonts w:ascii="Symbol" w:hAnsi="Symbol"/>
          <w:i/>
          <w:lang w:val="en-US" w:eastAsia="ja-JP"/>
        </w:rPr>
        <w:t></w:t>
      </w:r>
      <w:r w:rsidRPr="006A444B">
        <w:rPr>
          <w:vertAlign w:val="subscript"/>
          <w:lang w:val="en-US" w:eastAsia="ja-JP"/>
        </w:rPr>
        <w:t>o</w:t>
      </w:r>
      <w:r w:rsidRPr="006A444B">
        <w:rPr>
          <w:lang w:val="en-US" w:eastAsia="ja-JP"/>
        </w:rPr>
        <w:t xml:space="preserve"> of the above expressions while </w:t>
      </w:r>
      <w:r w:rsidRPr="006A444B">
        <w:rPr>
          <w:rFonts w:ascii="Symbol" w:hAnsi="Symbol"/>
          <w:i/>
          <w:lang w:val="en-US" w:eastAsia="ja-JP"/>
        </w:rPr>
        <w:t></w:t>
      </w:r>
      <w:r w:rsidRPr="006A444B">
        <w:rPr>
          <w:vertAlign w:val="subscript"/>
          <w:lang w:val="en-US" w:eastAsia="ja-JP"/>
        </w:rPr>
        <w:t>e</w:t>
      </w:r>
      <w:r w:rsidRPr="006A444B">
        <w:rPr>
          <w:lang w:val="en-US" w:eastAsia="ja-JP"/>
        </w:rPr>
        <w:t xml:space="preserve"> is intact. Therefore the general expressions for a series open stub are omitted for brevity.</w:t>
      </w:r>
    </w:p>
    <w:p w:rsidR="00BF14E0" w:rsidRPr="006A444B" w:rsidRDefault="00BF14E0" w:rsidP="00BF14E0">
      <w:pPr>
        <w:rPr>
          <w:lang w:val="en-US" w:eastAsia="ja-JP"/>
        </w:rPr>
      </w:pPr>
      <w:r w:rsidRPr="006A444B">
        <w:rPr>
          <w:lang w:val="en-US" w:eastAsia="ja-JP"/>
        </w:rPr>
        <w:t xml:space="preserve">In the following, the reference impedances are chosen to be equal to the characteristic impedances, i.e., </w:t>
      </w:r>
      <w:r w:rsidRPr="006A444B">
        <w:rPr>
          <w:i/>
          <w:lang w:val="en-US" w:eastAsia="ja-JP"/>
        </w:rPr>
        <w:t>W</w:t>
      </w:r>
      <w:r w:rsidRPr="006A444B">
        <w:rPr>
          <w:vertAlign w:val="subscript"/>
          <w:lang w:val="en-US" w:eastAsia="ja-JP"/>
        </w:rPr>
        <w:t>e</w:t>
      </w:r>
      <w:r w:rsidRPr="006A444B">
        <w:rPr>
          <w:lang w:val="en-US" w:eastAsia="ja-JP"/>
        </w:rPr>
        <w:t>=</w:t>
      </w:r>
      <w:r w:rsidRPr="006A444B">
        <w:rPr>
          <w:i/>
          <w:lang w:val="en-US" w:eastAsia="ja-JP"/>
        </w:rPr>
        <w:t>Z</w:t>
      </w:r>
      <w:r w:rsidRPr="006A444B">
        <w:rPr>
          <w:vertAlign w:val="subscript"/>
          <w:lang w:val="en-US" w:eastAsia="ja-JP"/>
        </w:rPr>
        <w:t>0e</w:t>
      </w:r>
      <w:r w:rsidRPr="006A444B">
        <w:rPr>
          <w:lang w:val="en-US" w:eastAsia="ja-JP"/>
        </w:rPr>
        <w:t xml:space="preserve"> and </w:t>
      </w:r>
      <w:r w:rsidRPr="006A444B">
        <w:rPr>
          <w:i/>
          <w:lang w:val="en-US" w:eastAsia="ja-JP"/>
        </w:rPr>
        <w:t>W</w:t>
      </w:r>
      <w:r w:rsidRPr="006A444B">
        <w:rPr>
          <w:vertAlign w:val="subscript"/>
          <w:lang w:val="en-US" w:eastAsia="ja-JP"/>
        </w:rPr>
        <w:t>o</w:t>
      </w:r>
      <w:r w:rsidRPr="006A444B">
        <w:rPr>
          <w:lang w:val="en-US" w:eastAsia="ja-JP"/>
        </w:rPr>
        <w:t>=</w:t>
      </w:r>
      <w:r w:rsidRPr="006A444B">
        <w:rPr>
          <w:i/>
          <w:lang w:val="en-US" w:eastAsia="ja-JP"/>
        </w:rPr>
        <w:t>Z</w:t>
      </w:r>
      <w:r w:rsidRPr="006A444B">
        <w:rPr>
          <w:vertAlign w:val="subscript"/>
          <w:lang w:val="en-US" w:eastAsia="ja-JP"/>
        </w:rPr>
        <w:t>0o</w:t>
      </w:r>
      <w:r w:rsidRPr="006A444B">
        <w:rPr>
          <w:lang w:val="en-US" w:eastAsia="ja-JP"/>
        </w:rPr>
        <w:t>, so that there is no false reflection at the interfaces and no artifact resonance. Then the mixed-mode scattering matrix elements of a series short stub are given by,</w:t>
      </w:r>
    </w:p>
    <w:p w:rsidR="00BF14E0" w:rsidRPr="006A444B" w:rsidRDefault="00566A7F" w:rsidP="00BF14E0">
      <w:pPr>
        <w:jc w:val="center"/>
        <w:rPr>
          <w:lang w:val="en-US" w:eastAsia="ja-JP"/>
        </w:rPr>
      </w:pPr>
      <w:r w:rsidRPr="00EF1C76">
        <w:rPr>
          <w:noProof/>
          <w:lang w:val="en-US"/>
        </w:rPr>
        <w:pict>
          <v:shape id="_x0000_i1047" type="#_x0000_t75" alt="txp_fig" style="width:345pt;height:165.75pt;visibility:visible">
            <v:imagedata r:id="rId34" o:title="" chromakey="white"/>
          </v:shape>
        </w:pict>
      </w:r>
    </w:p>
    <w:p w:rsidR="00BF14E0" w:rsidRPr="006A444B" w:rsidRDefault="00BF14E0" w:rsidP="00566A7F">
      <w:pPr>
        <w:spacing w:before="240"/>
        <w:rPr>
          <w:lang w:val="en-US" w:eastAsia="ja-JP"/>
        </w:rPr>
      </w:pPr>
      <w:r w:rsidRPr="006A444B">
        <w:rPr>
          <w:lang w:val="en-US" w:eastAsia="ja-JP"/>
        </w:rPr>
        <w:t>The above expressions are general enough when the same two conductor lines are used for both a stub and the transmission lines around the stub.</w:t>
      </w:r>
    </w:p>
    <w:p w:rsidR="00BF14E0" w:rsidRPr="006A444B" w:rsidRDefault="00BF14E0" w:rsidP="00BF14E0">
      <w:pPr>
        <w:rPr>
          <w:vertAlign w:val="subscript"/>
          <w:lang w:val="en-US" w:eastAsia="ja-JP"/>
        </w:rPr>
      </w:pPr>
      <w:r w:rsidRPr="006A444B">
        <w:rPr>
          <w:lang w:val="en-US" w:eastAsia="ja-JP"/>
        </w:rPr>
        <w:t xml:space="preserve">The losses of the transmission line can be incorporated as the imaginary part of the phase rotations. For example, the even-mode loss can be incorporated as </w:t>
      </w:r>
      <w:r w:rsidRPr="006A444B">
        <w:rPr>
          <w:rFonts w:ascii="Symbol" w:hAnsi="Symbol"/>
          <w:i/>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e</w:t>
      </w:r>
      <w:r w:rsidRPr="006A444B">
        <w:rPr>
          <w:i/>
          <w:lang w:val="en-US" w:eastAsia="ja-JP"/>
        </w:rPr>
        <w:t>l</w:t>
      </w:r>
      <w:r w:rsidRPr="006A444B">
        <w:rPr>
          <w:lang w:val="en-US" w:eastAsia="ja-JP"/>
        </w:rPr>
        <w:t>(1-</w:t>
      </w:r>
      <w:r w:rsidRPr="006A444B">
        <w:rPr>
          <w:i/>
          <w:lang w:val="en-US" w:eastAsia="ja-JP"/>
        </w:rPr>
        <w:t>j</w:t>
      </w:r>
      <w:r w:rsidRPr="006A444B">
        <w:rPr>
          <w:rFonts w:ascii="Symbol" w:hAnsi="Symbol"/>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e</w:t>
      </w:r>
      <w:r w:rsidRPr="006A444B">
        <w:rPr>
          <w:lang w:val="en-US" w:eastAsia="ja-JP"/>
        </w:rPr>
        <w:t xml:space="preserve">) if the even-mode propagation constant is given by </w:t>
      </w:r>
      <w:r w:rsidRPr="006A444B">
        <w:rPr>
          <w:rFonts w:ascii="Symbol" w:hAnsi="Symbol"/>
          <w:i/>
          <w:lang w:val="en-US" w:eastAsia="ja-JP"/>
        </w:rPr>
        <w:t></w:t>
      </w:r>
      <w:r w:rsidRPr="006A444B">
        <w:rPr>
          <w:vertAlign w:val="subscript"/>
          <w:lang w:val="en-US" w:eastAsia="ja-JP"/>
        </w:rPr>
        <w:t>e</w:t>
      </w:r>
      <w:r w:rsidRPr="006A444B">
        <w:rPr>
          <w:lang w:val="en-US" w:eastAsia="ja-JP"/>
        </w:rPr>
        <w:t>=</w:t>
      </w:r>
      <w:r w:rsidRPr="006A444B">
        <w:rPr>
          <w:rFonts w:ascii="Symbol" w:hAnsi="Symbol"/>
          <w:lang w:val="en-US" w:eastAsia="ja-JP"/>
        </w:rPr>
        <w:t></w:t>
      </w:r>
      <w:r w:rsidRPr="006A444B">
        <w:rPr>
          <w:vertAlign w:val="subscript"/>
          <w:lang w:val="en-US" w:eastAsia="ja-JP"/>
        </w:rPr>
        <w:t>e</w:t>
      </w:r>
      <w:r w:rsidRPr="006A444B">
        <w:rPr>
          <w:i/>
          <w:lang w:val="en-US" w:eastAsia="ja-JP"/>
        </w:rPr>
        <w:t>+j</w:t>
      </w:r>
      <w:r w:rsidRPr="006A444B">
        <w:rPr>
          <w:rFonts w:ascii="Symbol" w:hAnsi="Symbol"/>
          <w:i/>
          <w:lang w:val="en-US" w:eastAsia="ja-JP"/>
        </w:rPr>
        <w:t></w:t>
      </w:r>
      <w:r w:rsidRPr="006A444B">
        <w:rPr>
          <w:vertAlign w:val="subscript"/>
          <w:lang w:val="en-US" w:eastAsia="ja-JP"/>
        </w:rPr>
        <w:t>e.</w:t>
      </w:r>
    </w:p>
    <w:p w:rsidR="00BF14E0" w:rsidRPr="006A444B" w:rsidRDefault="00BF14E0" w:rsidP="00BF14E0">
      <w:pPr>
        <w:pStyle w:val="Headingb"/>
        <w:rPr>
          <w:lang w:val="en-US" w:eastAsia="ja-JP"/>
        </w:rPr>
      </w:pPr>
      <w:r w:rsidRPr="006A444B">
        <w:rPr>
          <w:lang w:val="en-US" w:eastAsia="ja-JP"/>
        </w:rPr>
        <w:t>The simplest case</w:t>
      </w:r>
    </w:p>
    <w:p w:rsidR="00BF14E0" w:rsidRPr="006A444B" w:rsidRDefault="00BF14E0" w:rsidP="00BF14E0">
      <w:pPr>
        <w:rPr>
          <w:lang w:val="en-US" w:eastAsia="ja-JP"/>
        </w:rPr>
      </w:pPr>
      <w:r w:rsidRPr="006A444B">
        <w:rPr>
          <w:lang w:val="en-US" w:eastAsia="ja-JP"/>
        </w:rPr>
        <w:t xml:space="preserve">If we let </w:t>
      </w:r>
      <w:r w:rsidRPr="006A444B">
        <w:rPr>
          <w:i/>
          <w:lang w:val="en-US" w:eastAsia="ja-JP"/>
        </w:rPr>
        <w:t>Z</w:t>
      </w:r>
      <w:r w:rsidRPr="006A444B">
        <w:rPr>
          <w:vertAlign w:val="subscript"/>
          <w:lang w:val="en-US" w:eastAsia="ja-JP"/>
        </w:rPr>
        <w:t>0e</w:t>
      </w:r>
      <w:r w:rsidRPr="006A444B">
        <w:rPr>
          <w:lang w:val="en-US" w:eastAsia="ja-JP"/>
        </w:rPr>
        <w:t>=</w:t>
      </w:r>
      <w:r w:rsidRPr="006A444B">
        <w:rPr>
          <w:i/>
          <w:lang w:val="en-US" w:eastAsia="ja-JP"/>
        </w:rPr>
        <w:t>Z</w:t>
      </w:r>
      <w:r w:rsidRPr="006A444B">
        <w:rPr>
          <w:vertAlign w:val="subscript"/>
          <w:lang w:val="en-US" w:eastAsia="ja-JP"/>
        </w:rPr>
        <w:t>0o</w:t>
      </w:r>
      <w:r w:rsidRPr="006A444B">
        <w:rPr>
          <w:lang w:val="en-US" w:eastAsia="ja-JP"/>
        </w:rPr>
        <w:t xml:space="preserve"> and </w:t>
      </w:r>
      <w:r w:rsidRPr="006A444B">
        <w:rPr>
          <w:rFonts w:ascii="Symbol" w:hAnsi="Symbol"/>
          <w:i/>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o</w:t>
      </w:r>
      <w:r w:rsidRPr="006A444B">
        <w:rPr>
          <w:lang w:val="en-US" w:eastAsia="ja-JP"/>
        </w:rPr>
        <w:t>, then the scattering matrix elements of a series short stub become:</w:t>
      </w:r>
    </w:p>
    <w:p w:rsidR="00BF14E0" w:rsidRPr="006A444B" w:rsidRDefault="00566A7F" w:rsidP="00BF14E0">
      <w:pPr>
        <w:jc w:val="center"/>
        <w:rPr>
          <w:lang w:val="en-US" w:eastAsia="ja-JP"/>
        </w:rPr>
      </w:pPr>
      <w:r w:rsidRPr="00EF1C76">
        <w:rPr>
          <w:noProof/>
          <w:lang w:val="en-US"/>
        </w:rPr>
        <w:pict>
          <v:shape id="_x0000_i1048" type="#_x0000_t75" alt="txp_fig" style="width:102pt;height:39.75pt;visibility:visible">
            <v:imagedata r:id="rId35" o:title="" chromakey="white"/>
          </v:shape>
        </w:pict>
      </w:r>
    </w:p>
    <w:p w:rsidR="00BF14E0" w:rsidRPr="006A444B" w:rsidRDefault="00BF14E0" w:rsidP="00566A7F">
      <w:pPr>
        <w:spacing w:before="240"/>
        <w:rPr>
          <w:lang w:val="en-US" w:eastAsia="ja-JP"/>
        </w:rPr>
      </w:pPr>
      <w:r w:rsidRPr="006A444B">
        <w:rPr>
          <w:lang w:val="en-US" w:eastAsia="ja-JP"/>
        </w:rPr>
        <w:t xml:space="preserve">which reproduce the description in subsection 2.1.4.3 of Report ITU-R SM.2158 based on the simple phase shifter model. Since </w:t>
      </w:r>
      <w:r w:rsidRPr="006A444B">
        <w:rPr>
          <w:i/>
          <w:lang w:val="en-US" w:eastAsia="ja-JP"/>
        </w:rPr>
        <w:t>Z</w:t>
      </w:r>
      <w:r w:rsidRPr="006A444B">
        <w:rPr>
          <w:vertAlign w:val="subscript"/>
          <w:lang w:val="en-US" w:eastAsia="ja-JP"/>
        </w:rPr>
        <w:t>0e</w:t>
      </w:r>
      <w:r w:rsidRPr="006A444B">
        <w:rPr>
          <w:lang w:val="en-US" w:eastAsia="ja-JP"/>
        </w:rPr>
        <w:t>=</w:t>
      </w:r>
      <w:r w:rsidRPr="006A444B">
        <w:rPr>
          <w:i/>
          <w:lang w:val="en-US" w:eastAsia="ja-JP"/>
        </w:rPr>
        <w:t>Z</w:t>
      </w:r>
      <w:r w:rsidRPr="006A444B">
        <w:rPr>
          <w:vertAlign w:val="subscript"/>
          <w:lang w:val="en-US" w:eastAsia="ja-JP"/>
        </w:rPr>
        <w:t>DM</w:t>
      </w:r>
      <w:r w:rsidRPr="006A444B">
        <w:rPr>
          <w:lang w:val="en-US" w:eastAsia="ja-JP"/>
        </w:rPr>
        <w:t>/2</w:t>
      </w:r>
      <w:r w:rsidRPr="006A444B">
        <w:rPr>
          <w:i/>
          <w:lang w:val="en-US" w:eastAsia="ja-JP"/>
        </w:rPr>
        <w:t xml:space="preserve"> </w:t>
      </w:r>
      <w:r w:rsidRPr="006A444B">
        <w:rPr>
          <w:lang w:val="en-US" w:eastAsia="ja-JP"/>
        </w:rPr>
        <w:t xml:space="preserve">and </w:t>
      </w:r>
      <w:r w:rsidRPr="006A444B">
        <w:rPr>
          <w:i/>
          <w:lang w:val="en-US" w:eastAsia="ja-JP"/>
        </w:rPr>
        <w:t>Z</w:t>
      </w:r>
      <w:r w:rsidRPr="006A444B">
        <w:rPr>
          <w:vertAlign w:val="subscript"/>
          <w:lang w:val="en-US" w:eastAsia="ja-JP"/>
        </w:rPr>
        <w:t>0e</w:t>
      </w:r>
      <w:r w:rsidRPr="006A444B">
        <w:rPr>
          <w:lang w:val="en-US" w:eastAsia="ja-JP"/>
        </w:rPr>
        <w:t>=2</w:t>
      </w:r>
      <w:r w:rsidRPr="006A444B">
        <w:rPr>
          <w:i/>
          <w:lang w:val="en-US" w:eastAsia="ja-JP"/>
        </w:rPr>
        <w:t>Z</w:t>
      </w:r>
      <w:r w:rsidRPr="006A444B">
        <w:rPr>
          <w:vertAlign w:val="subscript"/>
          <w:lang w:val="en-US" w:eastAsia="ja-JP"/>
        </w:rPr>
        <w:t>CM</w:t>
      </w:r>
      <w:r w:rsidRPr="006A444B">
        <w:rPr>
          <w:lang w:val="en-US" w:eastAsia="ja-JP"/>
        </w:rPr>
        <w:t xml:space="preserve">, the above conditions coincide with </w:t>
      </w:r>
      <w:r w:rsidRPr="006A444B">
        <w:rPr>
          <w:i/>
          <w:lang w:val="en-US" w:eastAsia="ja-JP"/>
        </w:rPr>
        <w:t>Z</w:t>
      </w:r>
      <w:r w:rsidRPr="006A444B">
        <w:rPr>
          <w:vertAlign w:val="subscript"/>
          <w:lang w:val="en-US" w:eastAsia="ja-JP"/>
        </w:rPr>
        <w:t>CM</w:t>
      </w:r>
      <w:r w:rsidRPr="006A444B">
        <w:rPr>
          <w:lang w:val="en-US" w:eastAsia="ja-JP"/>
        </w:rPr>
        <w:t>=</w:t>
      </w:r>
      <w:r w:rsidRPr="006A444B">
        <w:rPr>
          <w:i/>
          <w:lang w:val="en-US" w:eastAsia="ja-JP"/>
        </w:rPr>
        <w:t>Z</w:t>
      </w:r>
      <w:r w:rsidRPr="006A444B">
        <w:rPr>
          <w:vertAlign w:val="subscript"/>
          <w:lang w:val="en-US" w:eastAsia="ja-JP"/>
        </w:rPr>
        <w:t>DM</w:t>
      </w:r>
      <w:r w:rsidRPr="006A444B">
        <w:rPr>
          <w:lang w:val="en-US" w:eastAsia="ja-JP"/>
        </w:rPr>
        <w:t>/4.</w:t>
      </w:r>
    </w:p>
    <w:p w:rsidR="00BF14E0" w:rsidRPr="006A444B" w:rsidRDefault="00BF14E0" w:rsidP="00BF14E0">
      <w:pPr>
        <w:pStyle w:val="Headingb"/>
        <w:rPr>
          <w:lang w:val="en-US" w:eastAsia="ja-JP"/>
        </w:rPr>
      </w:pPr>
      <w:r w:rsidRPr="006A444B">
        <w:rPr>
          <w:lang w:val="en-US" w:eastAsia="ja-JP"/>
        </w:rPr>
        <w:t>Numerical results</w:t>
      </w:r>
    </w:p>
    <w:p w:rsidR="00BF14E0" w:rsidRPr="006A444B" w:rsidRDefault="00BF14E0" w:rsidP="00BF14E0">
      <w:pPr>
        <w:rPr>
          <w:lang w:val="en-US" w:eastAsia="ja-JP"/>
        </w:rPr>
      </w:pPr>
      <w:r w:rsidRPr="006A444B">
        <w:rPr>
          <w:lang w:val="en-US" w:eastAsia="ja-JP"/>
        </w:rPr>
        <w:t xml:space="preserve">In the followings, various numerical examples are calculated using the general expressions for both series short stubs and series open stubs to study the effects of characteristic impedances, mode dispersion (phase velocity difference between the even and the odd modes) and/or loss. In Figs. 4 through 9, the horizontal axis is the odd-mode phase rotation </w:t>
      </w:r>
      <w:r w:rsidRPr="006A444B">
        <w:rPr>
          <w:rFonts w:ascii="Symbol" w:hAnsi="Symbol"/>
          <w:iCs/>
          <w:lang w:val="en-US" w:eastAsia="ja-JP"/>
        </w:rPr>
        <w:t></w:t>
      </w:r>
      <w:r w:rsidRPr="006A444B">
        <w:rPr>
          <w:vertAlign w:val="subscript"/>
          <w:lang w:val="en-US" w:eastAsia="ja-JP"/>
        </w:rPr>
        <w:t>o</w:t>
      </w:r>
      <w:r w:rsidRPr="006A444B">
        <w:rPr>
          <w:lang w:val="en-US" w:eastAsia="ja-JP"/>
        </w:rPr>
        <w:t xml:space="preserve"> divided by </w:t>
      </w:r>
      <w:r w:rsidRPr="006A444B">
        <w:rPr>
          <w:rFonts w:ascii="Symbol" w:hAnsi="Symbol"/>
          <w:iCs/>
          <w:lang w:val="en-US" w:eastAsia="ja-JP"/>
        </w:rPr>
        <w:t></w:t>
      </w:r>
      <w:r w:rsidRPr="006A444B">
        <w:rPr>
          <w:iCs/>
          <w:lang w:val="en-US" w:eastAsia="ja-JP"/>
        </w:rPr>
        <w:t>.</w:t>
      </w:r>
      <w:r w:rsidRPr="006A444B">
        <w:rPr>
          <w:lang w:val="en-US" w:eastAsia="ja-JP"/>
        </w:rPr>
        <w:t xml:space="preserve"> At the center (0.5) of the horizontal axis, </w:t>
      </w:r>
      <w:r w:rsidRPr="006A444B">
        <w:rPr>
          <w:rFonts w:ascii="Symbol" w:hAnsi="Symbol"/>
          <w:lang w:val="en-US" w:eastAsia="ja-JP"/>
        </w:rPr>
        <w:t></w:t>
      </w:r>
      <w:r w:rsidRPr="006A444B">
        <w:rPr>
          <w:vertAlign w:val="subscript"/>
          <w:lang w:val="en-US" w:eastAsia="ja-JP"/>
        </w:rPr>
        <w:t>o </w:t>
      </w:r>
      <w:r w:rsidRPr="006A444B">
        <w:rPr>
          <w:lang w:val="en-US" w:eastAsia="ja-JP"/>
        </w:rPr>
        <w:t>= </w:t>
      </w:r>
      <w:r w:rsidRPr="006A444B">
        <w:rPr>
          <w:rFonts w:ascii="Symbol" w:hAnsi="Symbol"/>
          <w:lang w:val="en-US" w:eastAsia="ja-JP"/>
        </w:rPr>
        <w:t></w:t>
      </w:r>
      <w:r w:rsidRPr="006A444B">
        <w:rPr>
          <w:lang w:val="en-US" w:eastAsia="ja-JP"/>
        </w:rPr>
        <w:t xml:space="preserve">/2. If the stub length </w:t>
      </w:r>
      <w:r w:rsidRPr="006A444B">
        <w:rPr>
          <w:i/>
          <w:lang w:val="en-US" w:eastAsia="ja-JP"/>
        </w:rPr>
        <w:t>l</w:t>
      </w:r>
      <w:r w:rsidRPr="006A444B">
        <w:rPr>
          <w:lang w:val="en-US" w:eastAsia="ja-JP"/>
        </w:rPr>
        <w:t xml:space="preserve"> corresponds to </w:t>
      </w:r>
      <w:r w:rsidR="00580FF1">
        <w:rPr>
          <w:lang w:val="en-US" w:eastAsia="ja-JP"/>
        </w:rPr>
        <w:t>a quarter wavelength of the odd</w:t>
      </w:r>
      <w:r w:rsidR="00580FF1">
        <w:rPr>
          <w:lang w:val="en-US" w:eastAsia="ja-JP"/>
        </w:rPr>
        <w:noBreakHyphen/>
      </w:r>
      <w:r w:rsidRPr="006A444B">
        <w:rPr>
          <w:lang w:val="en-US" w:eastAsia="ja-JP"/>
        </w:rPr>
        <w:t xml:space="preserve">mode at the frequency </w:t>
      </w:r>
      <w:r w:rsidRPr="006A444B">
        <w:rPr>
          <w:i/>
          <w:lang w:val="en-US" w:eastAsia="ja-JP"/>
        </w:rPr>
        <w:t>f</w:t>
      </w:r>
      <w:r w:rsidRPr="006A444B">
        <w:rPr>
          <w:vertAlign w:val="subscript"/>
          <w:lang w:val="en-US" w:eastAsia="ja-JP"/>
        </w:rPr>
        <w:t>0</w:t>
      </w:r>
      <w:r w:rsidRPr="006A444B">
        <w:rPr>
          <w:lang w:val="en-US" w:eastAsia="ja-JP"/>
        </w:rPr>
        <w:t xml:space="preserve">, then </w:t>
      </w:r>
      <w:r w:rsidRPr="006A444B">
        <w:rPr>
          <w:rFonts w:ascii="Symbol" w:hAnsi="Symbol"/>
          <w:iCs/>
          <w:lang w:val="en-US" w:eastAsia="ja-JP"/>
        </w:rPr>
        <w:t></w:t>
      </w:r>
      <w:r w:rsidRPr="006A444B">
        <w:rPr>
          <w:iCs/>
          <w:vertAlign w:val="subscript"/>
          <w:lang w:val="en-US" w:eastAsia="ja-JP"/>
        </w:rPr>
        <w:t>o </w:t>
      </w:r>
      <w:r w:rsidRPr="006A444B">
        <w:rPr>
          <w:iCs/>
          <w:lang w:val="en-US" w:eastAsia="ja-JP"/>
        </w:rPr>
        <w:t>= </w:t>
      </w:r>
      <w:r w:rsidRPr="006A444B">
        <w:rPr>
          <w:rFonts w:ascii="Symbol" w:hAnsi="Symbol"/>
          <w:iCs/>
          <w:lang w:val="en-US" w:eastAsia="ja-JP"/>
        </w:rPr>
        <w:t></w:t>
      </w:r>
      <w:r w:rsidRPr="006A444B">
        <w:rPr>
          <w:vertAlign w:val="subscript"/>
          <w:lang w:val="en-US" w:eastAsia="ja-JP"/>
        </w:rPr>
        <w:t>o</w:t>
      </w:r>
      <w:r w:rsidRPr="006A444B">
        <w:rPr>
          <w:i/>
          <w:lang w:val="en-US" w:eastAsia="ja-JP"/>
        </w:rPr>
        <w:t>l </w:t>
      </w:r>
      <w:r w:rsidRPr="006A444B">
        <w:rPr>
          <w:lang w:val="en-US" w:eastAsia="ja-JP"/>
        </w:rPr>
        <w:t>= </w:t>
      </w:r>
      <w:r w:rsidRPr="006A444B">
        <w:rPr>
          <w:rFonts w:ascii="Symbol" w:hAnsi="Symbol"/>
          <w:iCs/>
          <w:lang w:val="en-US" w:eastAsia="ja-JP"/>
        </w:rPr>
        <w:t></w:t>
      </w:r>
      <w:r w:rsidRPr="006A444B">
        <w:rPr>
          <w:i/>
          <w:lang w:val="en-US" w:eastAsia="ja-JP"/>
        </w:rPr>
        <w:t>f</w:t>
      </w:r>
      <w:r w:rsidRPr="006A444B">
        <w:rPr>
          <w:lang w:val="en-US" w:eastAsia="ja-JP"/>
        </w:rPr>
        <w:t>/2</w:t>
      </w:r>
      <w:r w:rsidRPr="006A444B">
        <w:rPr>
          <w:i/>
          <w:lang w:val="en-US" w:eastAsia="ja-JP"/>
        </w:rPr>
        <w:t>f</w:t>
      </w:r>
      <w:r w:rsidRPr="006A444B">
        <w:rPr>
          <w:vertAlign w:val="subscript"/>
          <w:lang w:val="en-US" w:eastAsia="ja-JP"/>
        </w:rPr>
        <w:t>0</w:t>
      </w:r>
      <w:r w:rsidRPr="006A444B">
        <w:rPr>
          <w:lang w:val="en-US" w:eastAsia="ja-JP"/>
        </w:rPr>
        <w:t xml:space="preserve">. Therefore the horizontal axis is regarded as </w:t>
      </w:r>
      <w:r w:rsidRPr="006A444B">
        <w:rPr>
          <w:i/>
          <w:lang w:val="en-US" w:eastAsia="ja-JP"/>
        </w:rPr>
        <w:t>f</w:t>
      </w:r>
      <w:r w:rsidRPr="006A444B">
        <w:rPr>
          <w:lang w:val="en-US" w:eastAsia="ja-JP"/>
        </w:rPr>
        <w:t>/2</w:t>
      </w:r>
      <w:r w:rsidRPr="006A444B">
        <w:rPr>
          <w:i/>
          <w:lang w:val="en-US" w:eastAsia="ja-JP"/>
        </w:rPr>
        <w:t>f</w:t>
      </w:r>
      <w:r w:rsidRPr="006A444B">
        <w:rPr>
          <w:vertAlign w:val="subscript"/>
          <w:lang w:val="en-US" w:eastAsia="ja-JP"/>
        </w:rPr>
        <w:t>0,</w:t>
      </w:r>
      <w:r w:rsidR="00566A7F">
        <w:rPr>
          <w:lang w:val="en-US" w:eastAsia="ja-JP"/>
        </w:rPr>
        <w:t xml:space="preserve"> the </w:t>
      </w:r>
      <w:r w:rsidRPr="006A444B">
        <w:rPr>
          <w:lang w:val="en-US" w:eastAsia="ja-JP"/>
        </w:rPr>
        <w:t xml:space="preserve">frequency </w:t>
      </w:r>
      <w:r w:rsidRPr="006A444B">
        <w:rPr>
          <w:i/>
          <w:lang w:val="en-US" w:eastAsia="ja-JP"/>
        </w:rPr>
        <w:t>f</w:t>
      </w:r>
      <w:r w:rsidRPr="006A444B">
        <w:rPr>
          <w:lang w:val="en-US" w:eastAsia="ja-JP"/>
        </w:rPr>
        <w:t xml:space="preserve"> normalized by 2</w:t>
      </w:r>
      <w:r w:rsidRPr="006A444B">
        <w:rPr>
          <w:i/>
          <w:lang w:val="en-US" w:eastAsia="ja-JP"/>
        </w:rPr>
        <w:t>f</w:t>
      </w:r>
      <w:r w:rsidRPr="006A444B">
        <w:rPr>
          <w:vertAlign w:val="subscript"/>
          <w:lang w:val="en-US" w:eastAsia="ja-JP"/>
        </w:rPr>
        <w:t>0</w:t>
      </w:r>
      <w:r w:rsidRPr="006A444B">
        <w:rPr>
          <w:lang w:val="en-US" w:eastAsia="ja-JP"/>
        </w:rPr>
        <w:t>, and the center (0.5) represents</w:t>
      </w:r>
      <w:r w:rsidRPr="006A444B">
        <w:rPr>
          <w:vertAlign w:val="subscript"/>
          <w:lang w:val="en-US" w:eastAsia="ja-JP"/>
        </w:rPr>
        <w:t xml:space="preserve"> </w:t>
      </w:r>
      <w:r w:rsidRPr="006A444B">
        <w:rPr>
          <w:i/>
          <w:lang w:val="en-US" w:eastAsia="ja-JP"/>
        </w:rPr>
        <w:t>f = f</w:t>
      </w:r>
      <w:r w:rsidRPr="006A444B">
        <w:rPr>
          <w:vertAlign w:val="subscript"/>
          <w:lang w:val="en-US" w:eastAsia="ja-JP"/>
        </w:rPr>
        <w:t>0</w:t>
      </w:r>
      <w:r w:rsidRPr="006A444B">
        <w:rPr>
          <w:lang w:val="en-US" w:eastAsia="ja-JP"/>
        </w:rPr>
        <w:t>.</w:t>
      </w:r>
    </w:p>
    <w:p w:rsidR="00BF14E0" w:rsidRPr="006A444B" w:rsidRDefault="00BF14E0" w:rsidP="00BF14E0">
      <w:pPr>
        <w:rPr>
          <w:lang w:val="en-US" w:eastAsia="ja-JP"/>
        </w:rPr>
      </w:pPr>
      <w:r w:rsidRPr="006A444B">
        <w:rPr>
          <w:lang w:val="en-US" w:eastAsia="ja-JP"/>
        </w:rPr>
        <w:t>The vertical axis is the absolute value of the mixed-mode scattering matrix elements. As far as mode conversions at the stub are concerned, only s</w:t>
      </w:r>
      <w:r w:rsidRPr="006A444B">
        <w:rPr>
          <w:vertAlign w:val="subscript"/>
          <w:lang w:val="en-US" w:eastAsia="ja-JP"/>
        </w:rPr>
        <w:t>13</w:t>
      </w:r>
      <w:r w:rsidRPr="006A444B">
        <w:rPr>
          <w:lang w:val="en-US" w:eastAsia="ja-JP"/>
        </w:rPr>
        <w:t>=s</w:t>
      </w:r>
      <w:r w:rsidRPr="006A444B">
        <w:rPr>
          <w:vertAlign w:val="subscript"/>
          <w:lang w:val="en-US" w:eastAsia="ja-JP"/>
        </w:rPr>
        <w:t>31</w:t>
      </w:r>
      <w:r w:rsidRPr="006A444B">
        <w:rPr>
          <w:lang w:val="en-US" w:eastAsia="ja-JP"/>
        </w:rPr>
        <w:t xml:space="preserve"> (red curves) which represent inter-mode forward scatterings and s</w:t>
      </w:r>
      <w:r w:rsidRPr="006A444B">
        <w:rPr>
          <w:vertAlign w:val="subscript"/>
          <w:lang w:val="en-US" w:eastAsia="ja-JP"/>
        </w:rPr>
        <w:t>14</w:t>
      </w:r>
      <w:r w:rsidRPr="006A444B">
        <w:rPr>
          <w:lang w:val="en-US" w:eastAsia="ja-JP"/>
        </w:rPr>
        <w:t>=s</w:t>
      </w:r>
      <w:r w:rsidRPr="006A444B">
        <w:rPr>
          <w:vertAlign w:val="subscript"/>
          <w:lang w:val="en-US" w:eastAsia="ja-JP"/>
        </w:rPr>
        <w:t>41</w:t>
      </w:r>
      <w:r w:rsidRPr="006A444B">
        <w:rPr>
          <w:lang w:val="en-US" w:eastAsia="ja-JP"/>
        </w:rPr>
        <w:t xml:space="preserve"> (magenta curves) which represent inter-mode backward scatterings are relevant. Other elements represent reflections or transmissions within the same modes.</w:t>
      </w:r>
    </w:p>
    <w:p w:rsidR="00BF14E0" w:rsidRPr="006A444B" w:rsidRDefault="00BF14E0" w:rsidP="00BF14E0">
      <w:pPr>
        <w:rPr>
          <w:lang w:val="en-US" w:eastAsia="ja-JP"/>
        </w:rPr>
      </w:pPr>
    </w:p>
    <w:tbl>
      <w:tblPr>
        <w:tblW w:w="0" w:type="auto"/>
        <w:tblLook w:val="00A0"/>
      </w:tblPr>
      <w:tblGrid>
        <w:gridCol w:w="4927"/>
        <w:gridCol w:w="4928"/>
      </w:tblGrid>
      <w:tr w:rsidR="00BF14E0" w:rsidRPr="006A444B" w:rsidTr="00BF14E0">
        <w:tc>
          <w:tcPr>
            <w:tcW w:w="4927" w:type="dxa"/>
          </w:tcPr>
          <w:p w:rsidR="00BF14E0" w:rsidRPr="00566A7F" w:rsidRDefault="00BF14E0" w:rsidP="00BF14E0">
            <w:pPr>
              <w:pStyle w:val="FigureNo"/>
              <w:rPr>
                <w:rFonts w:asciiTheme="majorBidi" w:hAnsiTheme="majorBidi" w:cstheme="majorBidi"/>
                <w:sz w:val="20"/>
                <w:lang w:val="en-US" w:eastAsia="ja-JP"/>
              </w:rPr>
            </w:pPr>
            <w:r w:rsidRPr="00566A7F">
              <w:rPr>
                <w:rFonts w:asciiTheme="majorBidi" w:hAnsiTheme="majorBidi" w:cstheme="majorBidi"/>
                <w:sz w:val="20"/>
                <w:lang w:val="en-US" w:eastAsia="ja-JP"/>
              </w:rPr>
              <w:t>FIGURE 4</w:t>
            </w:r>
          </w:p>
          <w:p w:rsidR="00BF14E0" w:rsidRPr="00566A7F" w:rsidRDefault="00BF14E0" w:rsidP="00566A7F">
            <w:pPr>
              <w:pStyle w:val="Figuretitle"/>
              <w:rPr>
                <w:rFonts w:asciiTheme="majorBidi" w:hAnsiTheme="majorBidi" w:cstheme="majorBidi"/>
                <w:sz w:val="20"/>
                <w:lang w:val="en-US" w:eastAsia="ja-JP"/>
              </w:rPr>
            </w:pPr>
            <w:r w:rsidRPr="00566A7F">
              <w:rPr>
                <w:rFonts w:asciiTheme="majorBidi" w:hAnsiTheme="majorBidi" w:cstheme="majorBidi"/>
                <w:sz w:val="20"/>
                <w:lang w:val="en-US" w:eastAsia="ja-JP"/>
              </w:rPr>
              <w:t xml:space="preserve">A series short stub (lossless) with various </w:t>
            </w:r>
            <w:r w:rsidRPr="00566A7F">
              <w:rPr>
                <w:rFonts w:asciiTheme="majorBidi" w:hAnsiTheme="majorBidi" w:cstheme="majorBidi"/>
                <w:sz w:val="20"/>
                <w:lang w:val="en-US" w:eastAsia="ja-JP"/>
              </w:rPr>
              <w:br/>
              <w:t xml:space="preserve">characteristic impedances </w:t>
            </w:r>
            <w:r w:rsidRPr="00566A7F">
              <w:rPr>
                <w:rFonts w:asciiTheme="majorBidi" w:hAnsiTheme="majorBidi" w:cstheme="majorBidi"/>
                <w:sz w:val="20"/>
                <w:lang w:val="en-US" w:eastAsia="ja-JP"/>
              </w:rPr>
              <w:br/>
            </w:r>
            <w:r w:rsidRPr="00566A7F">
              <w:rPr>
                <w:rFonts w:asciiTheme="majorBidi" w:hAnsiTheme="majorBidi" w:cstheme="majorBidi"/>
                <w:b w:val="0"/>
                <w:bCs/>
                <w:sz w:val="20"/>
                <w:lang w:val="en-US" w:eastAsia="ja-JP"/>
              </w:rPr>
              <w:t>Note that s</w:t>
            </w:r>
            <w:r w:rsidRPr="00566A7F">
              <w:rPr>
                <w:rFonts w:asciiTheme="majorBidi" w:hAnsiTheme="majorBidi" w:cstheme="majorBidi"/>
                <w:b w:val="0"/>
                <w:bCs/>
                <w:sz w:val="20"/>
                <w:vertAlign w:val="subscript"/>
                <w:lang w:val="en-US" w:eastAsia="ja-JP"/>
              </w:rPr>
              <w:t>13</w:t>
            </w:r>
            <w:r w:rsidRPr="00566A7F">
              <w:rPr>
                <w:rFonts w:asciiTheme="majorBidi" w:hAnsiTheme="majorBidi" w:cstheme="majorBidi"/>
                <w:b w:val="0"/>
                <w:bCs/>
                <w:sz w:val="20"/>
                <w:lang w:val="en-US" w:eastAsia="ja-JP"/>
              </w:rPr>
              <w:t>=0, |s</w:t>
            </w:r>
            <w:r w:rsidRPr="00566A7F">
              <w:rPr>
                <w:rFonts w:asciiTheme="majorBidi" w:hAnsiTheme="majorBidi" w:cstheme="majorBidi"/>
                <w:b w:val="0"/>
                <w:bCs/>
                <w:sz w:val="20"/>
                <w:vertAlign w:val="subscript"/>
                <w:lang w:val="en-US" w:eastAsia="ja-JP"/>
              </w:rPr>
              <w:t>11</w:t>
            </w:r>
            <w:r w:rsidRPr="00566A7F">
              <w:rPr>
                <w:rFonts w:asciiTheme="majorBidi" w:hAnsiTheme="majorBidi" w:cstheme="majorBidi"/>
                <w:b w:val="0"/>
                <w:bCs/>
                <w:sz w:val="20"/>
                <w:lang w:val="en-US" w:eastAsia="ja-JP"/>
              </w:rPr>
              <w:t>|=|s</w:t>
            </w:r>
            <w:r w:rsidRPr="00566A7F">
              <w:rPr>
                <w:rFonts w:asciiTheme="majorBidi" w:hAnsiTheme="majorBidi" w:cstheme="majorBidi"/>
                <w:b w:val="0"/>
                <w:bCs/>
                <w:sz w:val="20"/>
                <w:vertAlign w:val="subscript"/>
                <w:lang w:val="en-US" w:eastAsia="ja-JP"/>
              </w:rPr>
              <w:t>33</w:t>
            </w:r>
            <w:r w:rsidRPr="00566A7F">
              <w:rPr>
                <w:rFonts w:asciiTheme="majorBidi" w:hAnsiTheme="majorBidi" w:cstheme="majorBidi"/>
                <w:b w:val="0"/>
                <w:bCs/>
                <w:sz w:val="20"/>
                <w:lang w:val="en-US" w:eastAsia="ja-JP"/>
              </w:rPr>
              <w:t>|, |s</w:t>
            </w:r>
            <w:r w:rsidRPr="00566A7F">
              <w:rPr>
                <w:rFonts w:asciiTheme="majorBidi" w:hAnsiTheme="majorBidi" w:cstheme="majorBidi"/>
                <w:b w:val="0"/>
                <w:bCs/>
                <w:sz w:val="20"/>
                <w:vertAlign w:val="subscript"/>
                <w:lang w:val="en-US" w:eastAsia="ja-JP"/>
              </w:rPr>
              <w:t>12</w:t>
            </w:r>
            <w:r w:rsidRPr="00566A7F">
              <w:rPr>
                <w:rFonts w:asciiTheme="majorBidi" w:hAnsiTheme="majorBidi" w:cstheme="majorBidi"/>
                <w:b w:val="0"/>
                <w:bCs/>
                <w:sz w:val="20"/>
                <w:lang w:val="en-US" w:eastAsia="ja-JP"/>
              </w:rPr>
              <w:t>|=|s</w:t>
            </w:r>
            <w:r w:rsidRPr="00566A7F">
              <w:rPr>
                <w:rFonts w:asciiTheme="majorBidi" w:hAnsiTheme="majorBidi" w:cstheme="majorBidi"/>
                <w:b w:val="0"/>
                <w:bCs/>
                <w:sz w:val="20"/>
                <w:vertAlign w:val="subscript"/>
                <w:lang w:val="en-US" w:eastAsia="ja-JP"/>
              </w:rPr>
              <w:t>34</w:t>
            </w:r>
            <w:r w:rsidR="00566A7F" w:rsidRPr="00566A7F">
              <w:rPr>
                <w:bCs/>
                <w:lang w:val="en-US" w:eastAsia="ja-JP"/>
              </w:rPr>
              <w:t xml:space="preserve"> </w:t>
            </w:r>
            <w:r w:rsidR="00566A7F" w:rsidRPr="00566A7F">
              <w:rPr>
                <w:rFonts w:asciiTheme="majorBidi" w:hAnsiTheme="majorBidi" w:cstheme="majorBidi"/>
                <w:b w:val="0"/>
                <w:bCs/>
                <w:sz w:val="20"/>
                <w:lang w:val="en-US" w:eastAsia="ja-JP"/>
              </w:rPr>
              <w:t xml:space="preserve">since </w:t>
            </w:r>
            <w:r w:rsidR="00566A7F" w:rsidRPr="00566A7F">
              <w:rPr>
                <w:rFonts w:ascii="Symbol" w:hAnsi="Symbol"/>
                <w:b w:val="0"/>
                <w:bCs/>
                <w:i/>
                <w:lang w:val="en-US" w:eastAsia="ja-JP"/>
              </w:rPr>
              <w:t></w:t>
            </w:r>
            <w:r w:rsidR="00566A7F" w:rsidRPr="00566A7F">
              <w:rPr>
                <w:rFonts w:asciiTheme="majorBidi" w:hAnsiTheme="majorBidi" w:cstheme="majorBidi"/>
                <w:b w:val="0"/>
                <w:bCs/>
                <w:sz w:val="20"/>
                <w:vertAlign w:val="subscript"/>
                <w:lang w:val="en-US" w:eastAsia="ja-JP"/>
              </w:rPr>
              <w:t>e</w:t>
            </w:r>
            <w:r w:rsidR="00566A7F" w:rsidRPr="00566A7F">
              <w:rPr>
                <w:rFonts w:asciiTheme="majorBidi" w:hAnsiTheme="majorBidi" w:cstheme="majorBidi"/>
                <w:b w:val="0"/>
                <w:bCs/>
                <w:sz w:val="20"/>
                <w:lang w:val="en-US" w:eastAsia="ja-JP"/>
              </w:rPr>
              <w:t>=</w:t>
            </w:r>
            <w:r w:rsidR="00566A7F" w:rsidRPr="00566A7F">
              <w:rPr>
                <w:rFonts w:ascii="Symbol" w:hAnsi="Symbol"/>
                <w:b w:val="0"/>
                <w:bCs/>
                <w:i/>
                <w:lang w:val="en-US" w:eastAsia="ja-JP"/>
              </w:rPr>
              <w:t></w:t>
            </w:r>
            <w:r w:rsidR="00566A7F" w:rsidRPr="00566A7F">
              <w:rPr>
                <w:rFonts w:asciiTheme="majorBidi" w:hAnsiTheme="majorBidi" w:cstheme="majorBidi"/>
                <w:b w:val="0"/>
                <w:bCs/>
                <w:sz w:val="20"/>
                <w:vertAlign w:val="subscript"/>
                <w:lang w:val="en-US" w:eastAsia="ja-JP"/>
              </w:rPr>
              <w:t>o</w:t>
            </w:r>
          </w:p>
        </w:tc>
        <w:tc>
          <w:tcPr>
            <w:tcW w:w="4928" w:type="dxa"/>
          </w:tcPr>
          <w:p w:rsidR="00BF14E0" w:rsidRPr="00566A7F" w:rsidRDefault="00BF14E0" w:rsidP="00BF14E0">
            <w:pPr>
              <w:pStyle w:val="FigureNo"/>
              <w:rPr>
                <w:rFonts w:asciiTheme="majorBidi" w:hAnsiTheme="majorBidi" w:cstheme="majorBidi"/>
                <w:sz w:val="20"/>
                <w:lang w:val="en-US" w:eastAsia="ja-JP"/>
              </w:rPr>
            </w:pPr>
            <w:r w:rsidRPr="00566A7F">
              <w:rPr>
                <w:rFonts w:asciiTheme="majorBidi" w:hAnsiTheme="majorBidi" w:cstheme="majorBidi"/>
                <w:sz w:val="20"/>
                <w:lang w:val="en-US" w:eastAsia="ja-JP"/>
              </w:rPr>
              <w:t>FIGURE 5</w:t>
            </w:r>
          </w:p>
          <w:p w:rsidR="00BF14E0" w:rsidRPr="00566A7F" w:rsidRDefault="00BF14E0" w:rsidP="00BF14E0">
            <w:pPr>
              <w:pStyle w:val="Figuretitle"/>
              <w:rPr>
                <w:rFonts w:asciiTheme="majorBidi" w:hAnsiTheme="majorBidi" w:cstheme="majorBidi"/>
                <w:sz w:val="20"/>
                <w:lang w:val="en-US" w:eastAsia="ja-JP"/>
              </w:rPr>
            </w:pPr>
            <w:r w:rsidRPr="00566A7F">
              <w:rPr>
                <w:rFonts w:asciiTheme="majorBidi" w:hAnsiTheme="majorBidi" w:cstheme="majorBidi"/>
                <w:sz w:val="20"/>
                <w:lang w:val="en-US" w:eastAsia="ja-JP"/>
              </w:rPr>
              <w:t xml:space="preserve">A series open </w:t>
            </w:r>
            <w:r w:rsidR="00566A7F">
              <w:rPr>
                <w:rFonts w:asciiTheme="majorBidi" w:hAnsiTheme="majorBidi" w:cstheme="majorBidi"/>
                <w:sz w:val="20"/>
                <w:lang w:val="en-US" w:eastAsia="ja-JP"/>
              </w:rPr>
              <w:t>stub (lossless) with various</w:t>
            </w:r>
            <w:r w:rsidR="00566A7F">
              <w:rPr>
                <w:rFonts w:asciiTheme="majorBidi" w:hAnsiTheme="majorBidi" w:cstheme="majorBidi"/>
                <w:sz w:val="20"/>
                <w:lang w:val="en-US" w:eastAsia="ja-JP"/>
              </w:rPr>
              <w:br/>
            </w:r>
            <w:r w:rsidRPr="00566A7F">
              <w:rPr>
                <w:rFonts w:asciiTheme="majorBidi" w:hAnsiTheme="majorBidi" w:cstheme="majorBidi"/>
                <w:sz w:val="20"/>
                <w:lang w:val="en-US" w:eastAsia="ja-JP"/>
              </w:rPr>
              <w:t>characteristic impedances</w:t>
            </w:r>
          </w:p>
        </w:tc>
      </w:tr>
      <w:tr w:rsidR="00BF14E0" w:rsidRPr="006A444B" w:rsidTr="00BF14E0">
        <w:tc>
          <w:tcPr>
            <w:tcW w:w="4927" w:type="dxa"/>
          </w:tcPr>
          <w:p w:rsidR="00BF14E0" w:rsidRPr="006A444B" w:rsidRDefault="00566A7F" w:rsidP="00BF14E0">
            <w:pPr>
              <w:keepNext/>
              <w:jc w:val="center"/>
              <w:rPr>
                <w:lang w:val="en-US" w:eastAsia="ja-JP"/>
              </w:rPr>
            </w:pPr>
            <w:r w:rsidRPr="00EF1C76">
              <w:rPr>
                <w:noProof/>
                <w:lang w:val="en-US"/>
              </w:rPr>
              <w:pict>
                <v:shape id="_x0000_i1049" type="#_x0000_t75" style="width:199.5pt;height:2in;visibility:visible">
                  <v:imagedata r:id="rId36" o:title=""/>
                </v:shape>
              </w:pict>
            </w:r>
          </w:p>
          <w:p w:rsidR="00BF14E0" w:rsidRPr="006A444B" w:rsidRDefault="00BF14E0" w:rsidP="00BF14E0">
            <w:pPr>
              <w:keepNext/>
              <w:jc w:val="center"/>
              <w:rPr>
                <w:lang w:val="en-US" w:eastAsia="ja-JP"/>
              </w:rPr>
            </w:pPr>
            <w:r w:rsidRPr="006A444B">
              <w:rPr>
                <w:i/>
                <w:lang w:val="en-US" w:eastAsia="ja-JP"/>
              </w:rPr>
              <w:t>Z</w:t>
            </w:r>
            <w:r w:rsidRPr="006A444B">
              <w:rPr>
                <w:vertAlign w:val="subscript"/>
                <w:lang w:val="en-US" w:eastAsia="ja-JP"/>
              </w:rPr>
              <w:t>0e</w:t>
            </w:r>
            <w:r w:rsidRPr="006A444B">
              <w:rPr>
                <w:lang w:val="en-US" w:eastAsia="ja-JP"/>
              </w:rPr>
              <w:t>=</w:t>
            </w:r>
            <w:r w:rsidRPr="006A444B">
              <w:rPr>
                <w:i/>
                <w:lang w:val="en-US" w:eastAsia="ja-JP"/>
              </w:rPr>
              <w:t>Z</w:t>
            </w:r>
            <w:r w:rsidRPr="006A444B">
              <w:rPr>
                <w:vertAlign w:val="subscript"/>
                <w:lang w:val="en-US" w:eastAsia="ja-JP"/>
              </w:rPr>
              <w:t>0o</w:t>
            </w:r>
            <w:r w:rsidRPr="006A444B">
              <w:rPr>
                <w:lang w:val="en-US" w:eastAsia="ja-JP"/>
              </w:rPr>
              <w:t xml:space="preserve">, </w:t>
            </w:r>
            <w:r w:rsidRPr="006A444B">
              <w:rPr>
                <w:rFonts w:ascii="Symbol" w:hAnsi="Symbol"/>
                <w:i/>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o</w:t>
            </w:r>
            <w:r w:rsidRPr="006A444B">
              <w:rPr>
                <w:lang w:val="en-US" w:eastAsia="ja-JP"/>
              </w:rPr>
              <w:t>=</w:t>
            </w:r>
            <w:r w:rsidRPr="006A444B">
              <w:rPr>
                <w:rFonts w:ascii="Symbol" w:hAnsi="Symbol"/>
                <w:i/>
                <w:lang w:val="en-US" w:eastAsia="ja-JP"/>
              </w:rPr>
              <w:t></w:t>
            </w:r>
            <w:r w:rsidRPr="006A444B">
              <w:rPr>
                <w:rFonts w:ascii="Symbol" w:hAnsi="Symbol"/>
                <w:i/>
                <w:lang w:val="en-US" w:eastAsia="ja-JP"/>
              </w:rPr>
              <w:tab/>
            </w:r>
          </w:p>
        </w:tc>
        <w:tc>
          <w:tcPr>
            <w:tcW w:w="4928" w:type="dxa"/>
          </w:tcPr>
          <w:p w:rsidR="00BF14E0" w:rsidRPr="006A444B" w:rsidRDefault="00566A7F" w:rsidP="00BF14E0">
            <w:pPr>
              <w:keepNext/>
              <w:jc w:val="center"/>
              <w:rPr>
                <w:lang w:val="en-US" w:eastAsia="ja-JP"/>
              </w:rPr>
            </w:pPr>
            <w:r w:rsidRPr="00EF1C76">
              <w:rPr>
                <w:noProof/>
                <w:lang w:val="en-US"/>
              </w:rPr>
              <w:pict>
                <v:shape id="図 19" o:spid="_x0000_i1050" type="#_x0000_t75" style="width:199.5pt;height:2in;visibility:visible">
                  <v:imagedata r:id="rId37" o:title=""/>
                </v:shape>
              </w:pict>
            </w:r>
          </w:p>
          <w:p w:rsidR="00BF14E0" w:rsidRPr="006A444B" w:rsidRDefault="00BF14E0" w:rsidP="00BF14E0">
            <w:pPr>
              <w:keepNext/>
              <w:jc w:val="center"/>
              <w:rPr>
                <w:lang w:val="en-US" w:eastAsia="ja-JP"/>
              </w:rPr>
            </w:pPr>
            <w:r w:rsidRPr="006A444B">
              <w:rPr>
                <w:i/>
                <w:lang w:val="en-US" w:eastAsia="ja-JP"/>
              </w:rPr>
              <w:t>Z</w:t>
            </w:r>
            <w:r w:rsidRPr="006A444B">
              <w:rPr>
                <w:vertAlign w:val="subscript"/>
                <w:lang w:val="en-US" w:eastAsia="ja-JP"/>
              </w:rPr>
              <w:t>0e</w:t>
            </w:r>
            <w:r w:rsidRPr="006A444B">
              <w:rPr>
                <w:lang w:val="en-US" w:eastAsia="ja-JP"/>
              </w:rPr>
              <w:t>=</w:t>
            </w:r>
            <w:r w:rsidRPr="006A444B">
              <w:rPr>
                <w:i/>
                <w:lang w:val="en-US" w:eastAsia="ja-JP"/>
              </w:rPr>
              <w:t>Z</w:t>
            </w:r>
            <w:r w:rsidRPr="006A444B">
              <w:rPr>
                <w:vertAlign w:val="subscript"/>
                <w:lang w:val="en-US" w:eastAsia="ja-JP"/>
              </w:rPr>
              <w:t>0o</w:t>
            </w:r>
            <w:r w:rsidRPr="006A444B">
              <w:rPr>
                <w:lang w:val="en-US" w:eastAsia="ja-JP"/>
              </w:rPr>
              <w:t xml:space="preserve">, </w:t>
            </w:r>
            <w:r w:rsidRPr="006A444B">
              <w:rPr>
                <w:rFonts w:ascii="Symbol" w:hAnsi="Symbol"/>
                <w:i/>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o</w:t>
            </w:r>
            <w:r w:rsidRPr="006A444B">
              <w:rPr>
                <w:lang w:val="en-US" w:eastAsia="ja-JP"/>
              </w:rPr>
              <w:t>=</w:t>
            </w:r>
            <w:r w:rsidRPr="006A444B">
              <w:rPr>
                <w:rFonts w:ascii="Symbol" w:hAnsi="Symbol"/>
                <w:i/>
                <w:lang w:val="en-US" w:eastAsia="ja-JP"/>
              </w:rPr>
              <w:t></w:t>
            </w:r>
            <w:r w:rsidRPr="006A444B">
              <w:rPr>
                <w:rFonts w:ascii="Symbol" w:hAnsi="Symbol"/>
                <w:i/>
                <w:lang w:val="en-US" w:eastAsia="ja-JP"/>
              </w:rPr>
              <w:t></w:t>
            </w:r>
            <w:r w:rsidRPr="006A444B">
              <w:rPr>
                <w:lang w:val="en-US" w:eastAsia="ja-JP"/>
              </w:rPr>
              <w:t>(all degenerated)</w:t>
            </w:r>
          </w:p>
        </w:tc>
      </w:tr>
      <w:tr w:rsidR="00BF14E0" w:rsidRPr="006A444B" w:rsidTr="00BF14E0">
        <w:tc>
          <w:tcPr>
            <w:tcW w:w="4927" w:type="dxa"/>
          </w:tcPr>
          <w:p w:rsidR="00BF14E0" w:rsidRPr="006A444B" w:rsidRDefault="00566A7F" w:rsidP="00BF14E0">
            <w:pPr>
              <w:keepNext/>
              <w:jc w:val="center"/>
              <w:rPr>
                <w:noProof/>
                <w:lang w:val="en-US" w:eastAsia="zh-CN"/>
              </w:rPr>
            </w:pPr>
            <w:r w:rsidRPr="00EF1C76">
              <w:rPr>
                <w:noProof/>
                <w:lang w:val="en-US"/>
              </w:rPr>
              <w:pict>
                <v:shape id="_x0000_i1051" type="#_x0000_t75" style="width:199.5pt;height:2in;visibility:visible">
                  <v:imagedata r:id="rId38" o:title=""/>
                </v:shape>
              </w:pict>
            </w:r>
          </w:p>
          <w:p w:rsidR="00BF14E0" w:rsidRPr="006A444B" w:rsidRDefault="00BF14E0" w:rsidP="00BF14E0">
            <w:pPr>
              <w:keepNext/>
              <w:jc w:val="center"/>
              <w:rPr>
                <w:noProof/>
                <w:lang w:val="en-US" w:eastAsia="zh-CN"/>
              </w:rPr>
            </w:pPr>
            <w:r w:rsidRPr="006A444B">
              <w:rPr>
                <w:i/>
                <w:lang w:val="en-US" w:eastAsia="ja-JP"/>
              </w:rPr>
              <w:t>Z</w:t>
            </w:r>
            <w:r w:rsidRPr="006A444B">
              <w:rPr>
                <w:vertAlign w:val="subscript"/>
                <w:lang w:val="en-US" w:eastAsia="ja-JP"/>
              </w:rPr>
              <w:t>0e</w:t>
            </w:r>
            <w:r w:rsidRPr="006A444B">
              <w:rPr>
                <w:lang w:val="en-US" w:eastAsia="ja-JP"/>
              </w:rPr>
              <w:t>=4</w:t>
            </w:r>
            <w:r w:rsidRPr="006A444B">
              <w:rPr>
                <w:i/>
                <w:lang w:val="en-US" w:eastAsia="ja-JP"/>
              </w:rPr>
              <w:t>Z</w:t>
            </w:r>
            <w:r w:rsidRPr="006A444B">
              <w:rPr>
                <w:vertAlign w:val="subscript"/>
                <w:lang w:val="en-US" w:eastAsia="ja-JP"/>
              </w:rPr>
              <w:t>0o</w:t>
            </w:r>
            <w:r w:rsidRPr="006A444B">
              <w:rPr>
                <w:lang w:val="en-US" w:eastAsia="ja-JP"/>
              </w:rPr>
              <w:t xml:space="preserve">, </w:t>
            </w:r>
            <w:r w:rsidRPr="006A444B">
              <w:rPr>
                <w:rFonts w:ascii="Symbol" w:hAnsi="Symbol"/>
                <w:i/>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o</w:t>
            </w:r>
            <w:r w:rsidRPr="006A444B">
              <w:rPr>
                <w:lang w:val="en-US" w:eastAsia="ja-JP"/>
              </w:rPr>
              <w:t>=</w:t>
            </w:r>
            <w:r w:rsidRPr="006A444B">
              <w:rPr>
                <w:rFonts w:ascii="Symbol" w:hAnsi="Symbol"/>
                <w:i/>
                <w:lang w:val="en-US" w:eastAsia="ja-JP"/>
              </w:rPr>
              <w:t></w:t>
            </w:r>
          </w:p>
        </w:tc>
        <w:tc>
          <w:tcPr>
            <w:tcW w:w="4928" w:type="dxa"/>
          </w:tcPr>
          <w:p w:rsidR="00BF14E0" w:rsidRPr="006A444B" w:rsidRDefault="00566A7F" w:rsidP="00BF14E0">
            <w:pPr>
              <w:keepNext/>
              <w:jc w:val="center"/>
              <w:rPr>
                <w:noProof/>
                <w:lang w:val="en-US" w:eastAsia="zh-CN"/>
              </w:rPr>
            </w:pPr>
            <w:r w:rsidRPr="00EF1C76">
              <w:rPr>
                <w:noProof/>
                <w:lang w:val="en-US"/>
              </w:rPr>
              <w:pict>
                <v:shape id="図 20" o:spid="_x0000_i1052" type="#_x0000_t75" style="width:199.5pt;height:2in;visibility:visible">
                  <v:imagedata r:id="rId39" o:title=""/>
                </v:shape>
              </w:pict>
            </w:r>
          </w:p>
          <w:p w:rsidR="00BF14E0" w:rsidRPr="006A444B" w:rsidRDefault="00BF14E0" w:rsidP="00BF14E0">
            <w:pPr>
              <w:keepNext/>
              <w:jc w:val="center"/>
              <w:rPr>
                <w:noProof/>
                <w:lang w:val="en-US" w:eastAsia="zh-CN"/>
              </w:rPr>
            </w:pPr>
            <w:r w:rsidRPr="006A444B">
              <w:rPr>
                <w:i/>
                <w:lang w:val="en-US" w:eastAsia="ja-JP"/>
              </w:rPr>
              <w:t>Z</w:t>
            </w:r>
            <w:r w:rsidRPr="006A444B">
              <w:rPr>
                <w:vertAlign w:val="subscript"/>
                <w:lang w:val="en-US" w:eastAsia="ja-JP"/>
              </w:rPr>
              <w:t>0e</w:t>
            </w:r>
            <w:r w:rsidRPr="006A444B">
              <w:rPr>
                <w:lang w:val="en-US" w:eastAsia="ja-JP"/>
              </w:rPr>
              <w:t>=4</w:t>
            </w:r>
            <w:r w:rsidRPr="006A444B">
              <w:rPr>
                <w:i/>
                <w:lang w:val="en-US" w:eastAsia="ja-JP"/>
              </w:rPr>
              <w:t>Z</w:t>
            </w:r>
            <w:r w:rsidRPr="006A444B">
              <w:rPr>
                <w:vertAlign w:val="subscript"/>
                <w:lang w:val="en-US" w:eastAsia="ja-JP"/>
              </w:rPr>
              <w:t>0o</w:t>
            </w:r>
            <w:r w:rsidRPr="006A444B">
              <w:rPr>
                <w:lang w:val="en-US" w:eastAsia="ja-JP"/>
              </w:rPr>
              <w:t xml:space="preserve">, </w:t>
            </w:r>
            <w:r w:rsidRPr="006A444B">
              <w:rPr>
                <w:rFonts w:ascii="Symbol" w:hAnsi="Symbol"/>
                <w:i/>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o</w:t>
            </w:r>
            <w:r w:rsidRPr="006A444B">
              <w:rPr>
                <w:lang w:val="en-US" w:eastAsia="ja-JP"/>
              </w:rPr>
              <w:t>=</w:t>
            </w:r>
            <w:r w:rsidRPr="006A444B">
              <w:rPr>
                <w:rFonts w:ascii="Symbol" w:hAnsi="Symbol"/>
                <w:i/>
                <w:lang w:val="en-US" w:eastAsia="ja-JP"/>
              </w:rPr>
              <w:t></w:t>
            </w:r>
          </w:p>
        </w:tc>
      </w:tr>
      <w:tr w:rsidR="00BF14E0" w:rsidRPr="006A444B" w:rsidTr="00BF14E0">
        <w:tc>
          <w:tcPr>
            <w:tcW w:w="4927" w:type="dxa"/>
          </w:tcPr>
          <w:p w:rsidR="00BF14E0" w:rsidRPr="006A444B" w:rsidRDefault="00566A7F" w:rsidP="00BF14E0">
            <w:pPr>
              <w:keepNext/>
              <w:jc w:val="center"/>
              <w:rPr>
                <w:noProof/>
                <w:lang w:val="en-US" w:eastAsia="zh-CN"/>
              </w:rPr>
            </w:pPr>
            <w:r w:rsidRPr="00EF1C76">
              <w:rPr>
                <w:noProof/>
                <w:lang w:val="en-US"/>
              </w:rPr>
              <w:pict>
                <v:shape id="図 17" o:spid="_x0000_i1053" type="#_x0000_t75" style="width:199.5pt;height:2in;visibility:visible">
                  <v:imagedata r:id="rId40" o:title=""/>
                </v:shape>
              </w:pict>
            </w:r>
          </w:p>
          <w:p w:rsidR="00BF14E0" w:rsidRPr="006A444B" w:rsidRDefault="00BF14E0" w:rsidP="00BF14E0">
            <w:pPr>
              <w:keepNext/>
              <w:jc w:val="center"/>
              <w:rPr>
                <w:noProof/>
                <w:lang w:val="en-US" w:eastAsia="zh-CN"/>
              </w:rPr>
            </w:pPr>
            <w:r w:rsidRPr="006A444B">
              <w:rPr>
                <w:i/>
                <w:lang w:val="en-US" w:eastAsia="ja-JP"/>
              </w:rPr>
              <w:t>Z</w:t>
            </w:r>
            <w:r w:rsidRPr="006A444B">
              <w:rPr>
                <w:vertAlign w:val="subscript"/>
                <w:lang w:val="en-US" w:eastAsia="ja-JP"/>
              </w:rPr>
              <w:t>0e</w:t>
            </w:r>
            <w:r w:rsidRPr="006A444B">
              <w:rPr>
                <w:lang w:val="en-US" w:eastAsia="ja-JP"/>
              </w:rPr>
              <w:t>=</w:t>
            </w:r>
            <w:r>
              <w:rPr>
                <w:lang w:val="en-US" w:eastAsia="ja-JP"/>
              </w:rPr>
              <w:t>12</w:t>
            </w:r>
            <w:r w:rsidRPr="006A444B">
              <w:rPr>
                <w:i/>
                <w:lang w:val="en-US" w:eastAsia="ja-JP"/>
              </w:rPr>
              <w:t>Z</w:t>
            </w:r>
            <w:r w:rsidRPr="006A444B">
              <w:rPr>
                <w:vertAlign w:val="subscript"/>
                <w:lang w:val="en-US" w:eastAsia="ja-JP"/>
              </w:rPr>
              <w:t>0o</w:t>
            </w:r>
            <w:r w:rsidRPr="006A444B">
              <w:rPr>
                <w:lang w:val="en-US" w:eastAsia="ja-JP"/>
              </w:rPr>
              <w:t xml:space="preserve">, </w:t>
            </w:r>
            <w:r w:rsidRPr="006A444B">
              <w:rPr>
                <w:rFonts w:ascii="Symbol" w:hAnsi="Symbol"/>
                <w:i/>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o</w:t>
            </w:r>
            <w:r w:rsidRPr="006A444B">
              <w:rPr>
                <w:lang w:val="en-US" w:eastAsia="ja-JP"/>
              </w:rPr>
              <w:t>=</w:t>
            </w:r>
            <w:r w:rsidRPr="006A444B">
              <w:rPr>
                <w:rFonts w:ascii="Symbol" w:hAnsi="Symbol"/>
                <w:i/>
                <w:lang w:val="en-US" w:eastAsia="ja-JP"/>
              </w:rPr>
              <w:t></w:t>
            </w:r>
          </w:p>
        </w:tc>
        <w:tc>
          <w:tcPr>
            <w:tcW w:w="4928" w:type="dxa"/>
          </w:tcPr>
          <w:p w:rsidR="00BF14E0" w:rsidRPr="006A444B" w:rsidRDefault="00566A7F" w:rsidP="00BF14E0">
            <w:pPr>
              <w:keepNext/>
              <w:jc w:val="center"/>
              <w:rPr>
                <w:noProof/>
                <w:lang w:val="en-US" w:eastAsia="zh-CN"/>
              </w:rPr>
            </w:pPr>
            <w:r w:rsidRPr="00EF1C76">
              <w:rPr>
                <w:noProof/>
                <w:lang w:val="en-US"/>
              </w:rPr>
              <w:pict>
                <v:shape id="図 21" o:spid="_x0000_i1054" type="#_x0000_t75" style="width:199.5pt;height:2in;visibility:visible">
                  <v:imagedata r:id="rId41" o:title=""/>
                </v:shape>
              </w:pict>
            </w:r>
          </w:p>
          <w:p w:rsidR="00BF14E0" w:rsidRPr="006A444B" w:rsidRDefault="00BF14E0" w:rsidP="00BF14E0">
            <w:pPr>
              <w:keepNext/>
              <w:jc w:val="center"/>
              <w:rPr>
                <w:noProof/>
                <w:lang w:val="en-US" w:eastAsia="zh-CN"/>
              </w:rPr>
            </w:pPr>
            <w:r w:rsidRPr="006A444B">
              <w:rPr>
                <w:i/>
                <w:lang w:val="en-US" w:eastAsia="ja-JP"/>
              </w:rPr>
              <w:t>Z</w:t>
            </w:r>
            <w:r w:rsidRPr="006A444B">
              <w:rPr>
                <w:vertAlign w:val="subscript"/>
                <w:lang w:val="en-US" w:eastAsia="ja-JP"/>
              </w:rPr>
              <w:t>0e</w:t>
            </w:r>
            <w:r w:rsidRPr="006A444B">
              <w:rPr>
                <w:lang w:val="en-US" w:eastAsia="ja-JP"/>
              </w:rPr>
              <w:t>=</w:t>
            </w:r>
            <w:r>
              <w:rPr>
                <w:lang w:val="en-US" w:eastAsia="ja-JP"/>
              </w:rPr>
              <w:t>12</w:t>
            </w:r>
            <w:r w:rsidRPr="006A444B">
              <w:rPr>
                <w:i/>
                <w:lang w:val="en-US" w:eastAsia="ja-JP"/>
              </w:rPr>
              <w:t>Z</w:t>
            </w:r>
            <w:r w:rsidRPr="006A444B">
              <w:rPr>
                <w:vertAlign w:val="subscript"/>
                <w:lang w:val="en-US" w:eastAsia="ja-JP"/>
              </w:rPr>
              <w:t>0o</w:t>
            </w:r>
            <w:r w:rsidRPr="006A444B">
              <w:rPr>
                <w:lang w:val="en-US" w:eastAsia="ja-JP"/>
              </w:rPr>
              <w:t xml:space="preserve">, </w:t>
            </w:r>
            <w:r w:rsidRPr="006A444B">
              <w:rPr>
                <w:rFonts w:ascii="Symbol" w:hAnsi="Symbol"/>
                <w:i/>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o</w:t>
            </w:r>
            <w:r w:rsidRPr="006A444B">
              <w:rPr>
                <w:lang w:val="en-US" w:eastAsia="ja-JP"/>
              </w:rPr>
              <w:t>=</w:t>
            </w:r>
            <w:r w:rsidRPr="006A444B">
              <w:rPr>
                <w:rFonts w:ascii="Symbol" w:hAnsi="Symbol"/>
                <w:i/>
                <w:lang w:val="en-US" w:eastAsia="ja-JP"/>
              </w:rPr>
              <w:t></w:t>
            </w:r>
          </w:p>
        </w:tc>
      </w:tr>
      <w:tr w:rsidR="00BF14E0" w:rsidRPr="006A444B" w:rsidTr="00BF14E0">
        <w:tc>
          <w:tcPr>
            <w:tcW w:w="4927" w:type="dxa"/>
          </w:tcPr>
          <w:p w:rsidR="00BF14E0" w:rsidRPr="006A444B" w:rsidRDefault="00566A7F" w:rsidP="00BF14E0">
            <w:pPr>
              <w:jc w:val="center"/>
              <w:rPr>
                <w:noProof/>
                <w:lang w:val="en-US" w:eastAsia="zh-CN"/>
              </w:rPr>
            </w:pPr>
            <w:r w:rsidRPr="00EF1C76">
              <w:rPr>
                <w:noProof/>
                <w:lang w:val="en-US"/>
              </w:rPr>
              <w:pict>
                <v:shape id="図 22" o:spid="_x0000_i1055" type="#_x0000_t75" style="width:199.5pt;height:2in;visibility:visible">
                  <v:imagedata r:id="rId42" o:title=""/>
                </v:shape>
              </w:pict>
            </w:r>
          </w:p>
          <w:p w:rsidR="00BF14E0" w:rsidRPr="006A444B" w:rsidRDefault="00BF14E0" w:rsidP="00BF14E0">
            <w:pPr>
              <w:jc w:val="center"/>
              <w:rPr>
                <w:noProof/>
                <w:lang w:val="en-US" w:eastAsia="zh-CN"/>
              </w:rPr>
            </w:pPr>
            <w:r w:rsidRPr="006A444B">
              <w:rPr>
                <w:i/>
                <w:lang w:val="en-US" w:eastAsia="ja-JP"/>
              </w:rPr>
              <w:t>Z</w:t>
            </w:r>
            <w:r w:rsidRPr="006A444B">
              <w:rPr>
                <w:vertAlign w:val="subscript"/>
                <w:lang w:val="en-US" w:eastAsia="ja-JP"/>
              </w:rPr>
              <w:t>0e</w:t>
            </w:r>
            <w:r w:rsidRPr="006A444B">
              <w:rPr>
                <w:lang w:val="en-US" w:eastAsia="ja-JP"/>
              </w:rPr>
              <w:t>=</w:t>
            </w:r>
            <w:r>
              <w:rPr>
                <w:lang w:val="en-US" w:eastAsia="ja-JP"/>
              </w:rPr>
              <w:t>16</w:t>
            </w:r>
            <w:r w:rsidRPr="006A444B">
              <w:rPr>
                <w:i/>
                <w:lang w:val="en-US" w:eastAsia="ja-JP"/>
              </w:rPr>
              <w:t>Z</w:t>
            </w:r>
            <w:r w:rsidRPr="006A444B">
              <w:rPr>
                <w:vertAlign w:val="subscript"/>
                <w:lang w:val="en-US" w:eastAsia="ja-JP"/>
              </w:rPr>
              <w:t>0o</w:t>
            </w:r>
            <w:r w:rsidRPr="006A444B">
              <w:rPr>
                <w:lang w:val="en-US" w:eastAsia="ja-JP"/>
              </w:rPr>
              <w:t xml:space="preserve">, </w:t>
            </w:r>
            <w:r w:rsidRPr="006A444B">
              <w:rPr>
                <w:rFonts w:ascii="Symbol" w:hAnsi="Symbol"/>
                <w:i/>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o</w:t>
            </w:r>
            <w:r w:rsidRPr="006A444B">
              <w:rPr>
                <w:lang w:val="en-US" w:eastAsia="ja-JP"/>
              </w:rPr>
              <w:t>=</w:t>
            </w:r>
            <w:r w:rsidRPr="006A444B">
              <w:rPr>
                <w:rFonts w:ascii="Symbol" w:hAnsi="Symbol"/>
                <w:i/>
                <w:lang w:val="en-US" w:eastAsia="ja-JP"/>
              </w:rPr>
              <w:t></w:t>
            </w:r>
          </w:p>
        </w:tc>
        <w:tc>
          <w:tcPr>
            <w:tcW w:w="4928" w:type="dxa"/>
          </w:tcPr>
          <w:p w:rsidR="00BF14E0" w:rsidRPr="006A444B" w:rsidRDefault="00566A7F" w:rsidP="00BF14E0">
            <w:pPr>
              <w:jc w:val="center"/>
              <w:rPr>
                <w:noProof/>
                <w:lang w:val="en-US" w:eastAsia="zh-CN"/>
              </w:rPr>
            </w:pPr>
            <w:r w:rsidRPr="00EF1C76">
              <w:rPr>
                <w:noProof/>
                <w:lang w:val="en-US"/>
              </w:rPr>
              <w:pict>
                <v:shape id="図 23" o:spid="_x0000_i1056" type="#_x0000_t75" style="width:199.5pt;height:2in;visibility:visible">
                  <v:imagedata r:id="rId43" o:title=""/>
                </v:shape>
              </w:pict>
            </w:r>
          </w:p>
          <w:p w:rsidR="00BF14E0" w:rsidRPr="006A444B" w:rsidRDefault="00BF14E0" w:rsidP="00BF14E0">
            <w:pPr>
              <w:jc w:val="center"/>
              <w:rPr>
                <w:noProof/>
                <w:lang w:val="en-US" w:eastAsia="zh-CN"/>
              </w:rPr>
            </w:pPr>
            <w:r w:rsidRPr="006A444B">
              <w:rPr>
                <w:i/>
                <w:lang w:val="en-US" w:eastAsia="ja-JP"/>
              </w:rPr>
              <w:t>Z</w:t>
            </w:r>
            <w:r w:rsidRPr="006A444B">
              <w:rPr>
                <w:vertAlign w:val="subscript"/>
                <w:lang w:val="en-US" w:eastAsia="ja-JP"/>
              </w:rPr>
              <w:t>0e</w:t>
            </w:r>
            <w:r w:rsidRPr="006A444B">
              <w:rPr>
                <w:lang w:val="en-US" w:eastAsia="ja-JP"/>
              </w:rPr>
              <w:t>=</w:t>
            </w:r>
            <w:r>
              <w:rPr>
                <w:lang w:val="en-US" w:eastAsia="ja-JP"/>
              </w:rPr>
              <w:t>16</w:t>
            </w:r>
            <w:r w:rsidRPr="006A444B">
              <w:rPr>
                <w:i/>
                <w:lang w:val="en-US" w:eastAsia="ja-JP"/>
              </w:rPr>
              <w:t>Z</w:t>
            </w:r>
            <w:r w:rsidRPr="006A444B">
              <w:rPr>
                <w:vertAlign w:val="subscript"/>
                <w:lang w:val="en-US" w:eastAsia="ja-JP"/>
              </w:rPr>
              <w:t>0o</w:t>
            </w:r>
            <w:r w:rsidRPr="006A444B">
              <w:rPr>
                <w:lang w:val="en-US" w:eastAsia="ja-JP"/>
              </w:rPr>
              <w:t xml:space="preserve">, </w:t>
            </w:r>
            <w:r w:rsidRPr="006A444B">
              <w:rPr>
                <w:rFonts w:ascii="Symbol" w:hAnsi="Symbol"/>
                <w:i/>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o</w:t>
            </w:r>
            <w:r w:rsidRPr="006A444B">
              <w:rPr>
                <w:lang w:val="en-US" w:eastAsia="ja-JP"/>
              </w:rPr>
              <w:t>=</w:t>
            </w:r>
            <w:r w:rsidRPr="006A444B">
              <w:rPr>
                <w:rFonts w:ascii="Symbol" w:hAnsi="Symbol"/>
                <w:i/>
                <w:lang w:val="en-US" w:eastAsia="ja-JP"/>
              </w:rPr>
              <w:t></w:t>
            </w:r>
          </w:p>
        </w:tc>
      </w:tr>
    </w:tbl>
    <w:p w:rsidR="00BF14E0" w:rsidRPr="006A444B" w:rsidRDefault="00BF14E0" w:rsidP="00BF14E0">
      <w:pPr>
        <w:spacing w:before="0"/>
        <w:rPr>
          <w:lang w:val="en-US" w:eastAsia="ja-JP"/>
        </w:rPr>
      </w:pPr>
    </w:p>
    <w:p w:rsidR="00BF14E0" w:rsidRPr="006A444B" w:rsidRDefault="00BF14E0" w:rsidP="00BF14E0">
      <w:pPr>
        <w:rPr>
          <w:lang w:val="en-US" w:eastAsia="ja-JP"/>
        </w:rPr>
      </w:pPr>
    </w:p>
    <w:tbl>
      <w:tblPr>
        <w:tblW w:w="0" w:type="auto"/>
        <w:jc w:val="center"/>
        <w:tblLook w:val="00A0"/>
      </w:tblPr>
      <w:tblGrid>
        <w:gridCol w:w="4927"/>
        <w:gridCol w:w="4928"/>
      </w:tblGrid>
      <w:tr w:rsidR="00BF14E0" w:rsidRPr="006A444B" w:rsidTr="00566A7F">
        <w:trPr>
          <w:jc w:val="center"/>
        </w:trPr>
        <w:tc>
          <w:tcPr>
            <w:tcW w:w="4927" w:type="dxa"/>
          </w:tcPr>
          <w:p w:rsidR="00BF14E0" w:rsidRPr="00566A7F" w:rsidRDefault="00BF14E0" w:rsidP="00BF14E0">
            <w:pPr>
              <w:pStyle w:val="FigureNo"/>
              <w:rPr>
                <w:sz w:val="20"/>
                <w:lang w:val="en-US" w:eastAsia="ja-JP"/>
              </w:rPr>
            </w:pPr>
            <w:r w:rsidRPr="00566A7F">
              <w:rPr>
                <w:sz w:val="20"/>
                <w:lang w:val="en-US" w:eastAsia="ja-JP"/>
              </w:rPr>
              <w:t>FIGURE 6</w:t>
            </w:r>
          </w:p>
          <w:p w:rsidR="00BF14E0" w:rsidRPr="00566A7F" w:rsidRDefault="00BF14E0" w:rsidP="00BF14E0">
            <w:pPr>
              <w:pStyle w:val="Figuretitle"/>
              <w:rPr>
                <w:sz w:val="20"/>
                <w:lang w:val="en-US" w:eastAsia="ja-JP"/>
              </w:rPr>
            </w:pPr>
            <w:r w:rsidRPr="00566A7F">
              <w:rPr>
                <w:sz w:val="20"/>
                <w:lang w:val="en-US" w:eastAsia="ja-JP"/>
              </w:rPr>
              <w:t xml:space="preserve">A series short stub with mode dispersion </w:t>
            </w:r>
            <w:r w:rsidRPr="00566A7F">
              <w:rPr>
                <w:sz w:val="20"/>
                <w:lang w:val="en-US" w:eastAsia="ja-JP"/>
              </w:rPr>
              <w:br/>
              <w:t>and/or loss (</w:t>
            </w:r>
            <w:r w:rsidRPr="00566A7F">
              <w:rPr>
                <w:i/>
                <w:sz w:val="20"/>
                <w:lang w:val="en-US" w:eastAsia="ja-JP"/>
              </w:rPr>
              <w:t>Z</w:t>
            </w:r>
            <w:r w:rsidRPr="00566A7F">
              <w:rPr>
                <w:sz w:val="20"/>
                <w:vertAlign w:val="subscript"/>
                <w:lang w:val="en-US" w:eastAsia="ja-JP"/>
              </w:rPr>
              <w:t>0e</w:t>
            </w:r>
            <w:r w:rsidRPr="00566A7F">
              <w:rPr>
                <w:sz w:val="20"/>
                <w:lang w:val="en-US" w:eastAsia="ja-JP"/>
              </w:rPr>
              <w:t>=</w:t>
            </w:r>
            <w:r w:rsidRPr="00566A7F">
              <w:rPr>
                <w:i/>
                <w:sz w:val="20"/>
                <w:lang w:val="en-US" w:eastAsia="ja-JP"/>
              </w:rPr>
              <w:t>Z</w:t>
            </w:r>
            <w:r w:rsidRPr="00566A7F">
              <w:rPr>
                <w:sz w:val="20"/>
                <w:vertAlign w:val="subscript"/>
                <w:lang w:val="en-US" w:eastAsia="ja-JP"/>
              </w:rPr>
              <w:t>0o</w:t>
            </w:r>
            <w:r w:rsidRPr="00566A7F">
              <w:rPr>
                <w:sz w:val="20"/>
                <w:lang w:val="en-US" w:eastAsia="ja-JP"/>
              </w:rPr>
              <w:t>)</w:t>
            </w:r>
          </w:p>
        </w:tc>
        <w:tc>
          <w:tcPr>
            <w:tcW w:w="4928" w:type="dxa"/>
          </w:tcPr>
          <w:p w:rsidR="00BF14E0" w:rsidRPr="00566A7F" w:rsidRDefault="00BF14E0" w:rsidP="00BF14E0">
            <w:pPr>
              <w:pStyle w:val="FigureNo"/>
              <w:rPr>
                <w:sz w:val="20"/>
                <w:lang w:val="en-US" w:eastAsia="ja-JP"/>
              </w:rPr>
            </w:pPr>
            <w:r w:rsidRPr="00566A7F">
              <w:rPr>
                <w:sz w:val="20"/>
                <w:lang w:val="en-US" w:eastAsia="ja-JP"/>
              </w:rPr>
              <w:t>FIGURE 7</w:t>
            </w:r>
          </w:p>
          <w:p w:rsidR="00BF14E0" w:rsidRPr="00566A7F" w:rsidRDefault="00BF14E0" w:rsidP="00BF14E0">
            <w:pPr>
              <w:pStyle w:val="Figuretitle"/>
              <w:rPr>
                <w:sz w:val="20"/>
                <w:lang w:val="en-US" w:eastAsia="ja-JP"/>
              </w:rPr>
            </w:pPr>
            <w:r w:rsidRPr="00566A7F">
              <w:rPr>
                <w:sz w:val="20"/>
                <w:lang w:val="en-US" w:eastAsia="ja-JP"/>
              </w:rPr>
              <w:t xml:space="preserve">A series open stub with mode dispersion </w:t>
            </w:r>
            <w:r w:rsidRPr="00566A7F">
              <w:rPr>
                <w:sz w:val="20"/>
                <w:lang w:val="en-US" w:eastAsia="ja-JP"/>
              </w:rPr>
              <w:br/>
              <w:t>and/or loss (</w:t>
            </w:r>
            <w:r w:rsidRPr="00566A7F">
              <w:rPr>
                <w:i/>
                <w:sz w:val="20"/>
                <w:lang w:val="en-US" w:eastAsia="ja-JP"/>
              </w:rPr>
              <w:t>Z</w:t>
            </w:r>
            <w:r w:rsidRPr="00566A7F">
              <w:rPr>
                <w:sz w:val="20"/>
                <w:vertAlign w:val="subscript"/>
                <w:lang w:val="en-US" w:eastAsia="ja-JP"/>
              </w:rPr>
              <w:t>0e</w:t>
            </w:r>
            <w:r w:rsidRPr="00566A7F">
              <w:rPr>
                <w:sz w:val="20"/>
                <w:lang w:val="en-US" w:eastAsia="ja-JP"/>
              </w:rPr>
              <w:t>=</w:t>
            </w:r>
            <w:r w:rsidRPr="00566A7F">
              <w:rPr>
                <w:i/>
                <w:sz w:val="20"/>
                <w:lang w:val="en-US" w:eastAsia="ja-JP"/>
              </w:rPr>
              <w:t>Z</w:t>
            </w:r>
            <w:r w:rsidRPr="00566A7F">
              <w:rPr>
                <w:sz w:val="20"/>
                <w:vertAlign w:val="subscript"/>
                <w:lang w:val="en-US" w:eastAsia="ja-JP"/>
              </w:rPr>
              <w:t>0o</w:t>
            </w:r>
            <w:r w:rsidRPr="00566A7F">
              <w:rPr>
                <w:sz w:val="20"/>
                <w:lang w:val="en-US" w:eastAsia="ja-JP"/>
              </w:rPr>
              <w:t>)</w:t>
            </w:r>
          </w:p>
        </w:tc>
      </w:tr>
      <w:tr w:rsidR="00BF14E0" w:rsidRPr="006A444B" w:rsidTr="00566A7F">
        <w:trPr>
          <w:jc w:val="center"/>
        </w:trPr>
        <w:tc>
          <w:tcPr>
            <w:tcW w:w="4927" w:type="dxa"/>
          </w:tcPr>
          <w:p w:rsidR="00BF14E0" w:rsidRPr="006A444B" w:rsidRDefault="00566A7F" w:rsidP="00BF14E0">
            <w:pPr>
              <w:keepNext/>
              <w:jc w:val="center"/>
              <w:rPr>
                <w:lang w:val="en-US" w:eastAsia="ja-JP"/>
              </w:rPr>
            </w:pPr>
            <w:r w:rsidRPr="00EF1C76">
              <w:rPr>
                <w:noProof/>
                <w:lang w:val="en-US"/>
              </w:rPr>
              <w:pict>
                <v:shape id="図 31" o:spid="_x0000_i1057" type="#_x0000_t75" style="width:199.5pt;height:2in;visibility:visible">
                  <v:imagedata r:id="rId44" o:title=""/>
                </v:shape>
              </w:pict>
            </w:r>
          </w:p>
          <w:p w:rsidR="00BF14E0" w:rsidRPr="006A444B" w:rsidRDefault="00BF14E0" w:rsidP="00BF14E0">
            <w:pPr>
              <w:keepNext/>
              <w:jc w:val="center"/>
              <w:rPr>
                <w:lang w:val="en-US" w:eastAsia="ja-JP"/>
              </w:rPr>
            </w:pPr>
            <w:r w:rsidRPr="006A444B">
              <w:rPr>
                <w:lang w:val="en-US" w:eastAsia="ja-JP"/>
              </w:rPr>
              <w:t xml:space="preserve">Lossy even-mode </w:t>
            </w:r>
            <w:r w:rsidRPr="006A444B">
              <w:rPr>
                <w:rFonts w:ascii="Symbol" w:hAnsi="Symbol"/>
                <w:i/>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o</w:t>
            </w:r>
            <w:r w:rsidRPr="006A444B">
              <w:rPr>
                <w:lang w:val="en-US" w:eastAsia="ja-JP"/>
              </w:rPr>
              <w:t>=</w:t>
            </w:r>
            <w:r w:rsidRPr="006A444B">
              <w:rPr>
                <w:rFonts w:ascii="Symbol" w:hAnsi="Symbol"/>
                <w:i/>
                <w:lang w:val="en-US" w:eastAsia="ja-JP"/>
              </w:rPr>
              <w:t></w:t>
            </w:r>
            <w:r w:rsidRPr="006A444B">
              <w:rPr>
                <w:rFonts w:ascii="Symbol" w:hAnsi="Symbol"/>
                <w:lang w:val="en-US" w:eastAsia="ja-JP"/>
              </w:rPr>
              <w:t></w:t>
            </w:r>
            <w:r w:rsidRPr="006A444B">
              <w:rPr>
                <w:rFonts w:ascii="Symbol" w:hAnsi="Symbol"/>
                <w:lang w:val="en-US" w:eastAsia="ja-JP"/>
              </w:rPr>
              <w:t></w:t>
            </w:r>
            <w:r w:rsidRPr="006A444B">
              <w:rPr>
                <w:rFonts w:ascii="Symbol" w:hAnsi="Symbol"/>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e</w:t>
            </w:r>
            <w:r w:rsidRPr="006A444B">
              <w:rPr>
                <w:lang w:val="en-US" w:eastAsia="ja-JP"/>
              </w:rPr>
              <w:t>=0.05</w:t>
            </w:r>
          </w:p>
        </w:tc>
        <w:tc>
          <w:tcPr>
            <w:tcW w:w="4928" w:type="dxa"/>
          </w:tcPr>
          <w:p w:rsidR="00BF14E0" w:rsidRPr="006A444B" w:rsidRDefault="00566A7F" w:rsidP="00BF14E0">
            <w:pPr>
              <w:keepNext/>
              <w:jc w:val="center"/>
              <w:rPr>
                <w:lang w:val="en-US" w:eastAsia="ja-JP"/>
              </w:rPr>
            </w:pPr>
            <w:r w:rsidRPr="00EF1C76">
              <w:rPr>
                <w:noProof/>
                <w:lang w:val="en-US"/>
              </w:rPr>
              <w:pict>
                <v:shape id="図 25" o:spid="_x0000_i1058" type="#_x0000_t75" style="width:199.5pt;height:2in;visibility:visible">
                  <v:imagedata r:id="rId45" o:title=""/>
                </v:shape>
              </w:pict>
            </w:r>
          </w:p>
          <w:p w:rsidR="00BF14E0" w:rsidRPr="006A444B" w:rsidRDefault="00BF14E0" w:rsidP="00BF14E0">
            <w:pPr>
              <w:keepNext/>
              <w:jc w:val="center"/>
              <w:rPr>
                <w:lang w:val="en-US" w:eastAsia="ja-JP"/>
              </w:rPr>
            </w:pPr>
            <w:r w:rsidRPr="006A444B">
              <w:rPr>
                <w:lang w:val="en-US" w:eastAsia="ja-JP"/>
              </w:rPr>
              <w:t xml:space="preserve">Lossy even-mode </w:t>
            </w:r>
            <w:r w:rsidRPr="006A444B">
              <w:rPr>
                <w:rFonts w:ascii="Symbol" w:hAnsi="Symbol"/>
                <w:i/>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o</w:t>
            </w:r>
            <w:r w:rsidRPr="006A444B">
              <w:rPr>
                <w:lang w:val="en-US" w:eastAsia="ja-JP"/>
              </w:rPr>
              <w:t>=</w:t>
            </w:r>
            <w:r w:rsidRPr="006A444B">
              <w:rPr>
                <w:rFonts w:ascii="Symbol" w:hAnsi="Symbol"/>
                <w:i/>
                <w:lang w:val="en-US" w:eastAsia="ja-JP"/>
              </w:rPr>
              <w:t></w:t>
            </w:r>
            <w:r w:rsidRPr="006A444B">
              <w:rPr>
                <w:rFonts w:ascii="Symbol" w:hAnsi="Symbol"/>
                <w:lang w:val="en-US" w:eastAsia="ja-JP"/>
              </w:rPr>
              <w:t></w:t>
            </w:r>
            <w:r w:rsidRPr="006A444B">
              <w:rPr>
                <w:rFonts w:ascii="Symbol" w:hAnsi="Symbol"/>
                <w:lang w:val="en-US" w:eastAsia="ja-JP"/>
              </w:rPr>
              <w:t></w:t>
            </w:r>
            <w:r w:rsidRPr="006A444B">
              <w:rPr>
                <w:rFonts w:ascii="Symbol" w:hAnsi="Symbol"/>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e</w:t>
            </w:r>
            <w:r w:rsidRPr="006A444B">
              <w:rPr>
                <w:lang w:val="en-US" w:eastAsia="ja-JP"/>
              </w:rPr>
              <w:t>=0.05</w:t>
            </w:r>
          </w:p>
        </w:tc>
      </w:tr>
      <w:tr w:rsidR="00BF14E0" w:rsidRPr="00566A7F" w:rsidTr="00566A7F">
        <w:trPr>
          <w:jc w:val="center"/>
        </w:trPr>
        <w:tc>
          <w:tcPr>
            <w:tcW w:w="4927" w:type="dxa"/>
          </w:tcPr>
          <w:p w:rsidR="00BF14E0" w:rsidRPr="006A444B" w:rsidRDefault="00566A7F" w:rsidP="00BF14E0">
            <w:pPr>
              <w:keepNext/>
              <w:jc w:val="center"/>
              <w:rPr>
                <w:noProof/>
                <w:lang w:val="en-US" w:eastAsia="zh-CN"/>
              </w:rPr>
            </w:pPr>
            <w:r w:rsidRPr="00EF1C76">
              <w:rPr>
                <w:noProof/>
                <w:lang w:val="en-US"/>
              </w:rPr>
              <w:pict>
                <v:shape id="図 33" o:spid="_x0000_i1059" type="#_x0000_t75" style="width:199.5pt;height:2in;visibility:visible">
                  <v:imagedata r:id="rId46" o:title=""/>
                </v:shape>
              </w:pict>
            </w:r>
          </w:p>
          <w:p w:rsidR="00BF14E0" w:rsidRPr="00566A7F" w:rsidRDefault="00BF14E0" w:rsidP="00BF14E0">
            <w:pPr>
              <w:keepNext/>
              <w:jc w:val="center"/>
              <w:rPr>
                <w:noProof/>
                <w:lang w:val="fr-CH" w:eastAsia="zh-CN"/>
              </w:rPr>
            </w:pPr>
            <w:r w:rsidRPr="00566A7F">
              <w:rPr>
                <w:lang w:val="fr-CH" w:eastAsia="ja-JP"/>
              </w:rPr>
              <w:t>Mode-dispersive, Lossy even-mode</w:t>
            </w:r>
            <w:r w:rsidRPr="00566A7F">
              <w:rPr>
                <w:lang w:val="fr-CH" w:eastAsia="ja-JP"/>
              </w:rPr>
              <w:br/>
            </w:r>
            <w:r w:rsidRPr="006A444B">
              <w:rPr>
                <w:rFonts w:ascii="Symbol" w:hAnsi="Symbol"/>
                <w:i/>
                <w:lang w:val="en-US" w:eastAsia="ja-JP"/>
              </w:rPr>
              <w:t></w:t>
            </w:r>
            <w:r w:rsidRPr="00566A7F">
              <w:rPr>
                <w:vertAlign w:val="subscript"/>
                <w:lang w:val="fr-CH" w:eastAsia="ja-JP"/>
              </w:rPr>
              <w:t>e</w:t>
            </w:r>
            <w:r w:rsidRPr="00566A7F">
              <w:rPr>
                <w:lang w:val="fr-CH" w:eastAsia="ja-JP"/>
              </w:rPr>
              <w:t>=1.1</w:t>
            </w:r>
            <w:r w:rsidRPr="006A444B">
              <w:rPr>
                <w:rFonts w:ascii="Symbol" w:hAnsi="Symbol"/>
                <w:i/>
                <w:lang w:val="en-US" w:eastAsia="ja-JP"/>
              </w:rPr>
              <w:t></w:t>
            </w:r>
            <w:r w:rsidRPr="00566A7F">
              <w:rPr>
                <w:vertAlign w:val="subscript"/>
                <w:lang w:val="fr-CH" w:eastAsia="ja-JP"/>
              </w:rPr>
              <w:t>o</w:t>
            </w:r>
            <w:r w:rsidRPr="00566A7F">
              <w:rPr>
                <w:lang w:val="fr-CH" w:eastAsia="ja-JP"/>
              </w:rPr>
              <w:t>=1.1</w:t>
            </w:r>
            <w:r w:rsidRPr="006A444B">
              <w:rPr>
                <w:rFonts w:ascii="Symbol" w:hAnsi="Symbol"/>
                <w:i/>
                <w:lang w:val="en-US" w:eastAsia="ja-JP"/>
              </w:rPr>
              <w:t></w:t>
            </w:r>
            <w:r w:rsidRPr="006A444B">
              <w:rPr>
                <w:rFonts w:ascii="Symbol" w:hAnsi="Symbol"/>
                <w:lang w:val="en-US" w:eastAsia="ja-JP"/>
              </w:rPr>
              <w:t></w:t>
            </w:r>
            <w:r w:rsidRPr="006A444B">
              <w:rPr>
                <w:rFonts w:ascii="Symbol" w:hAnsi="Symbol"/>
                <w:lang w:val="en-US" w:eastAsia="ja-JP"/>
              </w:rPr>
              <w:t></w:t>
            </w:r>
            <w:r w:rsidRPr="006A444B">
              <w:rPr>
                <w:rFonts w:ascii="Symbol" w:hAnsi="Symbol"/>
                <w:lang w:val="en-US" w:eastAsia="ja-JP"/>
              </w:rPr>
              <w:t></w:t>
            </w:r>
            <w:r w:rsidRPr="00566A7F">
              <w:rPr>
                <w:vertAlign w:val="subscript"/>
                <w:lang w:val="fr-CH" w:eastAsia="ja-JP"/>
              </w:rPr>
              <w:t>e</w:t>
            </w:r>
            <w:r w:rsidRPr="00566A7F">
              <w:rPr>
                <w:lang w:val="fr-CH" w:eastAsia="ja-JP"/>
              </w:rPr>
              <w:t>/</w:t>
            </w:r>
            <w:r w:rsidRPr="006A444B">
              <w:rPr>
                <w:rFonts w:ascii="Symbol" w:hAnsi="Symbol"/>
                <w:i/>
                <w:lang w:val="en-US" w:eastAsia="ja-JP"/>
              </w:rPr>
              <w:t></w:t>
            </w:r>
            <w:r w:rsidRPr="00566A7F">
              <w:rPr>
                <w:vertAlign w:val="subscript"/>
                <w:lang w:val="fr-CH" w:eastAsia="ja-JP"/>
              </w:rPr>
              <w:t>e</w:t>
            </w:r>
            <w:r w:rsidRPr="00566A7F">
              <w:rPr>
                <w:lang w:val="fr-CH" w:eastAsia="ja-JP"/>
              </w:rPr>
              <w:t>=0.05</w:t>
            </w:r>
          </w:p>
        </w:tc>
        <w:tc>
          <w:tcPr>
            <w:tcW w:w="4928" w:type="dxa"/>
          </w:tcPr>
          <w:p w:rsidR="00BF14E0" w:rsidRPr="006A444B" w:rsidRDefault="00566A7F" w:rsidP="00BF14E0">
            <w:pPr>
              <w:keepNext/>
              <w:jc w:val="center"/>
              <w:rPr>
                <w:noProof/>
                <w:lang w:val="en-US" w:eastAsia="zh-CN"/>
              </w:rPr>
            </w:pPr>
            <w:r w:rsidRPr="00EF1C76">
              <w:rPr>
                <w:noProof/>
                <w:lang w:val="en-US"/>
              </w:rPr>
              <w:pict>
                <v:shape id="図 26" o:spid="_x0000_i1060" type="#_x0000_t75" style="width:199.5pt;height:2in;visibility:visible">
                  <v:imagedata r:id="rId47" o:title=""/>
                </v:shape>
              </w:pict>
            </w:r>
          </w:p>
          <w:p w:rsidR="00BF14E0" w:rsidRPr="00566A7F" w:rsidRDefault="00BF14E0" w:rsidP="00BF14E0">
            <w:pPr>
              <w:keepNext/>
              <w:jc w:val="center"/>
              <w:rPr>
                <w:noProof/>
                <w:lang w:val="fr-CH" w:eastAsia="zh-CN"/>
              </w:rPr>
            </w:pPr>
            <w:r w:rsidRPr="00566A7F">
              <w:rPr>
                <w:lang w:val="fr-CH" w:eastAsia="ja-JP"/>
              </w:rPr>
              <w:t>Mode-dispersive, Lossy even-mode</w:t>
            </w:r>
            <w:r w:rsidRPr="00566A7F">
              <w:rPr>
                <w:lang w:val="fr-CH" w:eastAsia="ja-JP"/>
              </w:rPr>
              <w:br/>
            </w:r>
            <w:r w:rsidRPr="006A444B">
              <w:rPr>
                <w:rFonts w:ascii="Symbol" w:hAnsi="Symbol"/>
                <w:i/>
                <w:lang w:val="en-US" w:eastAsia="ja-JP"/>
              </w:rPr>
              <w:t></w:t>
            </w:r>
            <w:r w:rsidRPr="00566A7F">
              <w:rPr>
                <w:vertAlign w:val="subscript"/>
                <w:lang w:val="fr-CH" w:eastAsia="ja-JP"/>
              </w:rPr>
              <w:t>e</w:t>
            </w:r>
            <w:r w:rsidRPr="00566A7F">
              <w:rPr>
                <w:lang w:val="fr-CH" w:eastAsia="ja-JP"/>
              </w:rPr>
              <w:t>=1.1</w:t>
            </w:r>
            <w:r w:rsidRPr="006A444B">
              <w:rPr>
                <w:rFonts w:ascii="Symbol" w:hAnsi="Symbol"/>
                <w:i/>
                <w:lang w:val="en-US" w:eastAsia="ja-JP"/>
              </w:rPr>
              <w:t></w:t>
            </w:r>
            <w:r w:rsidRPr="00566A7F">
              <w:rPr>
                <w:vertAlign w:val="subscript"/>
                <w:lang w:val="fr-CH" w:eastAsia="ja-JP"/>
              </w:rPr>
              <w:t>o</w:t>
            </w:r>
            <w:r w:rsidRPr="00566A7F">
              <w:rPr>
                <w:lang w:val="fr-CH" w:eastAsia="ja-JP"/>
              </w:rPr>
              <w:t>=1.1</w:t>
            </w:r>
            <w:r w:rsidRPr="006A444B">
              <w:rPr>
                <w:rFonts w:ascii="Symbol" w:hAnsi="Symbol"/>
                <w:i/>
                <w:lang w:val="en-US" w:eastAsia="ja-JP"/>
              </w:rPr>
              <w:t></w:t>
            </w:r>
            <w:r w:rsidRPr="006A444B">
              <w:rPr>
                <w:rFonts w:ascii="Symbol" w:hAnsi="Symbol"/>
                <w:lang w:val="en-US" w:eastAsia="ja-JP"/>
              </w:rPr>
              <w:t></w:t>
            </w:r>
            <w:r w:rsidRPr="006A444B">
              <w:rPr>
                <w:rFonts w:ascii="Symbol" w:hAnsi="Symbol"/>
                <w:lang w:val="en-US" w:eastAsia="ja-JP"/>
              </w:rPr>
              <w:t></w:t>
            </w:r>
            <w:r w:rsidRPr="006A444B">
              <w:rPr>
                <w:rFonts w:ascii="Symbol" w:hAnsi="Symbol"/>
                <w:lang w:val="en-US" w:eastAsia="ja-JP"/>
              </w:rPr>
              <w:t></w:t>
            </w:r>
            <w:r w:rsidRPr="00566A7F">
              <w:rPr>
                <w:vertAlign w:val="subscript"/>
                <w:lang w:val="fr-CH" w:eastAsia="ja-JP"/>
              </w:rPr>
              <w:t>e</w:t>
            </w:r>
            <w:r w:rsidRPr="00566A7F">
              <w:rPr>
                <w:lang w:val="fr-CH" w:eastAsia="ja-JP"/>
              </w:rPr>
              <w:t>/</w:t>
            </w:r>
            <w:r w:rsidRPr="006A444B">
              <w:rPr>
                <w:rFonts w:ascii="Symbol" w:hAnsi="Symbol"/>
                <w:i/>
                <w:lang w:val="en-US" w:eastAsia="ja-JP"/>
              </w:rPr>
              <w:t></w:t>
            </w:r>
            <w:r w:rsidRPr="00566A7F">
              <w:rPr>
                <w:vertAlign w:val="subscript"/>
                <w:lang w:val="fr-CH" w:eastAsia="ja-JP"/>
              </w:rPr>
              <w:t>e</w:t>
            </w:r>
            <w:r w:rsidRPr="00566A7F">
              <w:rPr>
                <w:lang w:val="fr-CH" w:eastAsia="ja-JP"/>
              </w:rPr>
              <w:t>=0.05</w:t>
            </w:r>
          </w:p>
        </w:tc>
      </w:tr>
      <w:tr w:rsidR="00BF14E0" w:rsidRPr="006A444B" w:rsidTr="00566A7F">
        <w:trPr>
          <w:jc w:val="center"/>
        </w:trPr>
        <w:tc>
          <w:tcPr>
            <w:tcW w:w="4927" w:type="dxa"/>
          </w:tcPr>
          <w:p w:rsidR="00BF14E0" w:rsidRPr="006A444B" w:rsidRDefault="00566A7F" w:rsidP="00BF14E0">
            <w:pPr>
              <w:jc w:val="center"/>
              <w:rPr>
                <w:noProof/>
                <w:lang w:val="en-US" w:eastAsia="zh-CN"/>
              </w:rPr>
            </w:pPr>
            <w:r w:rsidRPr="00EF1C76">
              <w:rPr>
                <w:noProof/>
                <w:lang w:val="en-US"/>
              </w:rPr>
              <w:pict>
                <v:shape id="図 29" o:spid="_x0000_i1061" type="#_x0000_t75" style="width:199.5pt;height:2in;visibility:visible">
                  <v:imagedata r:id="rId48" o:title=""/>
                </v:shape>
              </w:pict>
            </w:r>
          </w:p>
          <w:p w:rsidR="00BF14E0" w:rsidRPr="006A444B" w:rsidRDefault="00BF14E0" w:rsidP="00BF14E0">
            <w:pPr>
              <w:jc w:val="center"/>
              <w:rPr>
                <w:noProof/>
                <w:lang w:val="en-US" w:eastAsia="zh-CN"/>
              </w:rPr>
            </w:pPr>
            <w:r w:rsidRPr="006A444B">
              <w:rPr>
                <w:lang w:val="en-US" w:eastAsia="ja-JP"/>
              </w:rPr>
              <w:t xml:space="preserve">Mode-dispersive </w:t>
            </w:r>
            <w:r w:rsidRPr="006A444B">
              <w:rPr>
                <w:rFonts w:ascii="Symbol" w:hAnsi="Symbol"/>
                <w:i/>
                <w:lang w:val="en-US" w:eastAsia="ja-JP"/>
              </w:rPr>
              <w:t></w:t>
            </w:r>
            <w:r w:rsidRPr="006A444B">
              <w:rPr>
                <w:vertAlign w:val="subscript"/>
                <w:lang w:val="en-US" w:eastAsia="ja-JP"/>
              </w:rPr>
              <w:t>e</w:t>
            </w:r>
            <w:r w:rsidRPr="006A444B">
              <w:rPr>
                <w:lang w:val="en-US" w:eastAsia="ja-JP"/>
              </w:rPr>
              <w:t>=1.1</w:t>
            </w:r>
            <w:r w:rsidRPr="006A444B">
              <w:rPr>
                <w:rFonts w:ascii="Symbol" w:hAnsi="Symbol"/>
                <w:i/>
                <w:lang w:val="en-US" w:eastAsia="ja-JP"/>
              </w:rPr>
              <w:t></w:t>
            </w:r>
            <w:r w:rsidRPr="006A444B">
              <w:rPr>
                <w:vertAlign w:val="subscript"/>
                <w:lang w:val="en-US" w:eastAsia="ja-JP"/>
              </w:rPr>
              <w:t>o</w:t>
            </w:r>
            <w:r w:rsidRPr="006A444B">
              <w:rPr>
                <w:lang w:val="en-US" w:eastAsia="ja-JP"/>
              </w:rPr>
              <w:t>=1.1</w:t>
            </w:r>
            <w:r w:rsidRPr="006A444B">
              <w:rPr>
                <w:rFonts w:ascii="Symbol" w:hAnsi="Symbol"/>
                <w:i/>
                <w:lang w:val="en-US" w:eastAsia="ja-JP"/>
              </w:rPr>
              <w:t></w:t>
            </w:r>
          </w:p>
        </w:tc>
        <w:tc>
          <w:tcPr>
            <w:tcW w:w="4928" w:type="dxa"/>
          </w:tcPr>
          <w:p w:rsidR="00BF14E0" w:rsidRPr="006A444B" w:rsidRDefault="00566A7F" w:rsidP="00BF14E0">
            <w:pPr>
              <w:jc w:val="center"/>
              <w:rPr>
                <w:noProof/>
                <w:lang w:val="en-US" w:eastAsia="zh-CN"/>
              </w:rPr>
            </w:pPr>
            <w:r w:rsidRPr="00EF1C76">
              <w:rPr>
                <w:noProof/>
                <w:lang w:val="en-US"/>
              </w:rPr>
              <w:pict>
                <v:shape id="図 24" o:spid="_x0000_i1062" type="#_x0000_t75" style="width:199.5pt;height:2in;visibility:visible">
                  <v:imagedata r:id="rId49" o:title=""/>
                </v:shape>
              </w:pict>
            </w:r>
          </w:p>
          <w:p w:rsidR="00BF14E0" w:rsidRPr="006A444B" w:rsidRDefault="00BF14E0" w:rsidP="00BF14E0">
            <w:pPr>
              <w:jc w:val="center"/>
              <w:rPr>
                <w:noProof/>
                <w:lang w:val="en-US" w:eastAsia="zh-CN"/>
              </w:rPr>
            </w:pPr>
            <w:r w:rsidRPr="006A444B">
              <w:rPr>
                <w:lang w:val="en-US" w:eastAsia="ja-JP"/>
              </w:rPr>
              <w:t xml:space="preserve">Mode-dispersive </w:t>
            </w:r>
            <w:r w:rsidRPr="006A444B">
              <w:rPr>
                <w:rFonts w:ascii="Symbol" w:hAnsi="Symbol"/>
                <w:i/>
                <w:lang w:val="en-US" w:eastAsia="ja-JP"/>
              </w:rPr>
              <w:t></w:t>
            </w:r>
            <w:r w:rsidRPr="006A444B">
              <w:rPr>
                <w:vertAlign w:val="subscript"/>
                <w:lang w:val="en-US" w:eastAsia="ja-JP"/>
              </w:rPr>
              <w:t>e</w:t>
            </w:r>
            <w:r w:rsidRPr="006A444B">
              <w:rPr>
                <w:lang w:val="en-US" w:eastAsia="ja-JP"/>
              </w:rPr>
              <w:t>=1.1</w:t>
            </w:r>
            <w:r w:rsidRPr="006A444B">
              <w:rPr>
                <w:rFonts w:ascii="Symbol" w:hAnsi="Symbol"/>
                <w:i/>
                <w:lang w:val="en-US" w:eastAsia="ja-JP"/>
              </w:rPr>
              <w:t></w:t>
            </w:r>
            <w:r w:rsidRPr="006A444B">
              <w:rPr>
                <w:vertAlign w:val="subscript"/>
                <w:lang w:val="en-US" w:eastAsia="ja-JP"/>
              </w:rPr>
              <w:t>o</w:t>
            </w:r>
            <w:r w:rsidRPr="006A444B">
              <w:rPr>
                <w:lang w:val="en-US" w:eastAsia="ja-JP"/>
              </w:rPr>
              <w:t>=1.1</w:t>
            </w:r>
            <w:r w:rsidRPr="006A444B">
              <w:rPr>
                <w:rFonts w:ascii="Symbol" w:hAnsi="Symbol"/>
                <w:i/>
                <w:lang w:val="en-US" w:eastAsia="ja-JP"/>
              </w:rPr>
              <w:t></w:t>
            </w:r>
          </w:p>
        </w:tc>
      </w:tr>
    </w:tbl>
    <w:p w:rsidR="00BF14E0" w:rsidRPr="006A444B" w:rsidRDefault="00BF14E0" w:rsidP="00BF14E0">
      <w:pPr>
        <w:rPr>
          <w:lang w:val="en-US" w:eastAsia="ja-JP"/>
        </w:rPr>
      </w:pPr>
    </w:p>
    <w:tbl>
      <w:tblPr>
        <w:tblW w:w="0" w:type="auto"/>
        <w:tblLook w:val="00A0"/>
      </w:tblPr>
      <w:tblGrid>
        <w:gridCol w:w="4927"/>
        <w:gridCol w:w="4928"/>
      </w:tblGrid>
      <w:tr w:rsidR="00BF14E0" w:rsidRPr="006A444B" w:rsidTr="00BF14E0">
        <w:tc>
          <w:tcPr>
            <w:tcW w:w="4927" w:type="dxa"/>
          </w:tcPr>
          <w:p w:rsidR="00BF14E0" w:rsidRPr="00566A7F" w:rsidRDefault="00BF14E0" w:rsidP="00BF14E0">
            <w:pPr>
              <w:pStyle w:val="FigureNo"/>
              <w:rPr>
                <w:sz w:val="20"/>
                <w:lang w:val="en-US" w:eastAsia="ja-JP"/>
              </w:rPr>
            </w:pPr>
            <w:r w:rsidRPr="00566A7F">
              <w:rPr>
                <w:sz w:val="20"/>
                <w:lang w:val="en-US" w:eastAsia="ja-JP"/>
              </w:rPr>
              <w:t>FIGURE 8</w:t>
            </w:r>
          </w:p>
          <w:p w:rsidR="00BF14E0" w:rsidRPr="00566A7F" w:rsidRDefault="00BF14E0" w:rsidP="00BF14E0">
            <w:pPr>
              <w:pStyle w:val="Figuretitle"/>
              <w:rPr>
                <w:sz w:val="20"/>
                <w:lang w:val="en-US" w:eastAsia="ja-JP"/>
              </w:rPr>
            </w:pPr>
            <w:r w:rsidRPr="00566A7F">
              <w:rPr>
                <w:sz w:val="20"/>
                <w:lang w:val="en-US" w:eastAsia="ja-JP"/>
              </w:rPr>
              <w:t xml:space="preserve">A series short stub with mode dispersion </w:t>
            </w:r>
            <w:r w:rsidRPr="00566A7F">
              <w:rPr>
                <w:sz w:val="20"/>
                <w:lang w:val="en-US" w:eastAsia="ja-JP"/>
              </w:rPr>
              <w:br/>
              <w:t>and/or loss (</w:t>
            </w:r>
            <w:r w:rsidRPr="00566A7F">
              <w:rPr>
                <w:i/>
                <w:sz w:val="20"/>
                <w:lang w:val="en-US" w:eastAsia="ja-JP"/>
              </w:rPr>
              <w:t>Z</w:t>
            </w:r>
            <w:r w:rsidRPr="00566A7F">
              <w:rPr>
                <w:sz w:val="20"/>
                <w:vertAlign w:val="subscript"/>
                <w:lang w:val="en-US" w:eastAsia="ja-JP"/>
              </w:rPr>
              <w:t>0e</w:t>
            </w:r>
            <w:r w:rsidRPr="00566A7F">
              <w:rPr>
                <w:sz w:val="20"/>
                <w:lang w:val="en-US" w:eastAsia="ja-JP"/>
              </w:rPr>
              <w:t>=12</w:t>
            </w:r>
            <w:r w:rsidRPr="00566A7F">
              <w:rPr>
                <w:i/>
                <w:sz w:val="20"/>
                <w:lang w:val="en-US" w:eastAsia="ja-JP"/>
              </w:rPr>
              <w:t>Z</w:t>
            </w:r>
            <w:r w:rsidRPr="00566A7F">
              <w:rPr>
                <w:sz w:val="20"/>
                <w:vertAlign w:val="subscript"/>
                <w:lang w:val="en-US" w:eastAsia="ja-JP"/>
              </w:rPr>
              <w:t>0o</w:t>
            </w:r>
            <w:r w:rsidRPr="00566A7F">
              <w:rPr>
                <w:sz w:val="20"/>
                <w:lang w:val="en-US" w:eastAsia="ja-JP"/>
              </w:rPr>
              <w:t>)</w:t>
            </w:r>
          </w:p>
        </w:tc>
        <w:tc>
          <w:tcPr>
            <w:tcW w:w="4928" w:type="dxa"/>
          </w:tcPr>
          <w:p w:rsidR="00BF14E0" w:rsidRPr="00566A7F" w:rsidRDefault="00BF14E0" w:rsidP="00BF14E0">
            <w:pPr>
              <w:pStyle w:val="FigureNo"/>
              <w:rPr>
                <w:sz w:val="20"/>
                <w:lang w:val="en-US" w:eastAsia="ja-JP"/>
              </w:rPr>
            </w:pPr>
            <w:r w:rsidRPr="00566A7F">
              <w:rPr>
                <w:sz w:val="20"/>
                <w:lang w:val="en-US" w:eastAsia="ja-JP"/>
              </w:rPr>
              <w:t>FIGURE 9</w:t>
            </w:r>
          </w:p>
          <w:p w:rsidR="00BF14E0" w:rsidRPr="00566A7F" w:rsidRDefault="00BF14E0" w:rsidP="00BF14E0">
            <w:pPr>
              <w:pStyle w:val="Figuretitle"/>
              <w:rPr>
                <w:sz w:val="20"/>
                <w:lang w:val="en-US" w:eastAsia="ja-JP"/>
              </w:rPr>
            </w:pPr>
            <w:r w:rsidRPr="00566A7F">
              <w:rPr>
                <w:sz w:val="20"/>
                <w:lang w:val="en-US" w:eastAsia="ja-JP"/>
              </w:rPr>
              <w:t xml:space="preserve">A series open stub with mode dispersion </w:t>
            </w:r>
            <w:r w:rsidRPr="00566A7F">
              <w:rPr>
                <w:sz w:val="20"/>
                <w:lang w:val="en-US" w:eastAsia="ja-JP"/>
              </w:rPr>
              <w:br/>
              <w:t>and/or loss (</w:t>
            </w:r>
            <w:r w:rsidRPr="00566A7F">
              <w:rPr>
                <w:i/>
                <w:sz w:val="20"/>
                <w:lang w:val="en-US" w:eastAsia="ja-JP"/>
              </w:rPr>
              <w:t>Z</w:t>
            </w:r>
            <w:r w:rsidRPr="00566A7F">
              <w:rPr>
                <w:sz w:val="20"/>
                <w:vertAlign w:val="subscript"/>
                <w:lang w:val="en-US" w:eastAsia="ja-JP"/>
              </w:rPr>
              <w:t>0e</w:t>
            </w:r>
            <w:r w:rsidRPr="00566A7F">
              <w:rPr>
                <w:sz w:val="20"/>
                <w:lang w:val="en-US" w:eastAsia="ja-JP"/>
              </w:rPr>
              <w:t>=12</w:t>
            </w:r>
            <w:r w:rsidRPr="00566A7F">
              <w:rPr>
                <w:i/>
                <w:sz w:val="20"/>
                <w:lang w:val="en-US" w:eastAsia="ja-JP"/>
              </w:rPr>
              <w:t>Z</w:t>
            </w:r>
            <w:r w:rsidRPr="00566A7F">
              <w:rPr>
                <w:sz w:val="20"/>
                <w:vertAlign w:val="subscript"/>
                <w:lang w:val="en-US" w:eastAsia="ja-JP"/>
              </w:rPr>
              <w:t>0o</w:t>
            </w:r>
            <w:r w:rsidRPr="00566A7F">
              <w:rPr>
                <w:sz w:val="20"/>
                <w:lang w:val="en-US" w:eastAsia="ja-JP"/>
              </w:rPr>
              <w:t>)</w:t>
            </w:r>
          </w:p>
        </w:tc>
      </w:tr>
      <w:tr w:rsidR="00BF14E0" w:rsidRPr="006A444B" w:rsidTr="00BF14E0">
        <w:tc>
          <w:tcPr>
            <w:tcW w:w="4927" w:type="dxa"/>
          </w:tcPr>
          <w:p w:rsidR="00BF14E0" w:rsidRPr="006A444B" w:rsidRDefault="00566A7F" w:rsidP="00BF14E0">
            <w:pPr>
              <w:keepNext/>
              <w:jc w:val="center"/>
              <w:rPr>
                <w:lang w:val="en-US" w:eastAsia="ja-JP"/>
              </w:rPr>
            </w:pPr>
            <w:r w:rsidRPr="00EF1C76">
              <w:rPr>
                <w:noProof/>
                <w:lang w:val="en-US"/>
              </w:rPr>
              <w:pict>
                <v:shape id="図 37" o:spid="_x0000_i1063" type="#_x0000_t75" style="width:199.5pt;height:2in;visibility:visible">
                  <v:imagedata r:id="rId50" o:title=""/>
                </v:shape>
              </w:pict>
            </w:r>
          </w:p>
          <w:p w:rsidR="00BF14E0" w:rsidRPr="006A444B" w:rsidRDefault="00BF14E0" w:rsidP="00BF14E0">
            <w:pPr>
              <w:keepNext/>
              <w:jc w:val="center"/>
              <w:rPr>
                <w:lang w:val="en-US" w:eastAsia="ja-JP"/>
              </w:rPr>
            </w:pPr>
            <w:r w:rsidRPr="006A444B">
              <w:rPr>
                <w:lang w:val="en-US" w:eastAsia="ja-JP"/>
              </w:rPr>
              <w:t xml:space="preserve">Lossy even-mode </w:t>
            </w:r>
            <w:r w:rsidRPr="006A444B">
              <w:rPr>
                <w:rFonts w:ascii="Symbol" w:hAnsi="Symbol"/>
                <w:i/>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o</w:t>
            </w:r>
            <w:r w:rsidRPr="006A444B">
              <w:rPr>
                <w:lang w:val="en-US" w:eastAsia="ja-JP"/>
              </w:rPr>
              <w:t>=</w:t>
            </w:r>
            <w:r w:rsidRPr="006A444B">
              <w:rPr>
                <w:rFonts w:ascii="Symbol" w:hAnsi="Symbol"/>
                <w:i/>
                <w:lang w:val="en-US" w:eastAsia="ja-JP"/>
              </w:rPr>
              <w:t></w:t>
            </w:r>
            <w:r w:rsidRPr="006A444B">
              <w:rPr>
                <w:rFonts w:ascii="Symbol" w:hAnsi="Symbol"/>
                <w:lang w:val="en-US" w:eastAsia="ja-JP"/>
              </w:rPr>
              <w:t></w:t>
            </w:r>
            <w:r w:rsidRPr="006A444B">
              <w:rPr>
                <w:rFonts w:ascii="Symbol" w:hAnsi="Symbol"/>
                <w:lang w:val="en-US" w:eastAsia="ja-JP"/>
              </w:rPr>
              <w:t></w:t>
            </w:r>
            <w:r w:rsidRPr="006A444B">
              <w:rPr>
                <w:rFonts w:ascii="Symbol" w:hAnsi="Symbol"/>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e</w:t>
            </w:r>
            <w:r w:rsidRPr="006A444B">
              <w:rPr>
                <w:lang w:val="en-US" w:eastAsia="ja-JP"/>
              </w:rPr>
              <w:t>=0.05</w:t>
            </w:r>
          </w:p>
        </w:tc>
        <w:tc>
          <w:tcPr>
            <w:tcW w:w="4928" w:type="dxa"/>
          </w:tcPr>
          <w:p w:rsidR="00BF14E0" w:rsidRPr="006A444B" w:rsidRDefault="00566A7F" w:rsidP="00BF14E0">
            <w:pPr>
              <w:keepNext/>
              <w:jc w:val="center"/>
              <w:rPr>
                <w:lang w:val="en-US" w:eastAsia="ja-JP"/>
              </w:rPr>
            </w:pPr>
            <w:r w:rsidRPr="00EF1C76">
              <w:rPr>
                <w:noProof/>
                <w:lang w:val="en-US"/>
              </w:rPr>
              <w:pict>
                <v:shape id="図 40" o:spid="_x0000_i1064" type="#_x0000_t75" style="width:199.5pt;height:2in;visibility:visible">
                  <v:imagedata r:id="rId51" o:title=""/>
                </v:shape>
              </w:pict>
            </w:r>
          </w:p>
          <w:p w:rsidR="00BF14E0" w:rsidRPr="006A444B" w:rsidRDefault="00BF14E0" w:rsidP="00BF14E0">
            <w:pPr>
              <w:keepNext/>
              <w:jc w:val="center"/>
              <w:rPr>
                <w:lang w:val="en-US" w:eastAsia="ja-JP"/>
              </w:rPr>
            </w:pPr>
            <w:r w:rsidRPr="006A444B">
              <w:rPr>
                <w:lang w:val="en-US" w:eastAsia="ja-JP"/>
              </w:rPr>
              <w:t xml:space="preserve">Lossy even-mode </w:t>
            </w:r>
            <w:r w:rsidRPr="006A444B">
              <w:rPr>
                <w:rFonts w:ascii="Symbol" w:hAnsi="Symbol"/>
                <w:i/>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o</w:t>
            </w:r>
            <w:r w:rsidRPr="006A444B">
              <w:rPr>
                <w:lang w:val="en-US" w:eastAsia="ja-JP"/>
              </w:rPr>
              <w:t>=</w:t>
            </w:r>
            <w:r w:rsidRPr="006A444B">
              <w:rPr>
                <w:rFonts w:ascii="Symbol" w:hAnsi="Symbol"/>
                <w:i/>
                <w:lang w:val="en-US" w:eastAsia="ja-JP"/>
              </w:rPr>
              <w:t></w:t>
            </w:r>
            <w:r w:rsidRPr="006A444B">
              <w:rPr>
                <w:rFonts w:ascii="Symbol" w:hAnsi="Symbol"/>
                <w:lang w:val="en-US" w:eastAsia="ja-JP"/>
              </w:rPr>
              <w:t></w:t>
            </w:r>
            <w:r w:rsidRPr="006A444B">
              <w:rPr>
                <w:rFonts w:ascii="Symbol" w:hAnsi="Symbol"/>
                <w:lang w:val="en-US" w:eastAsia="ja-JP"/>
              </w:rPr>
              <w:t></w:t>
            </w:r>
            <w:r w:rsidRPr="006A444B">
              <w:rPr>
                <w:rFonts w:ascii="Symbol" w:hAnsi="Symbol"/>
                <w:lang w:val="en-US" w:eastAsia="ja-JP"/>
              </w:rPr>
              <w:t></w:t>
            </w:r>
            <w:r w:rsidRPr="006A444B">
              <w:rPr>
                <w:vertAlign w:val="subscript"/>
                <w:lang w:val="en-US" w:eastAsia="ja-JP"/>
              </w:rPr>
              <w:t>e</w:t>
            </w:r>
            <w:r w:rsidRPr="006A444B">
              <w:rPr>
                <w:lang w:val="en-US" w:eastAsia="ja-JP"/>
              </w:rPr>
              <w:t>/</w:t>
            </w:r>
            <w:r w:rsidRPr="006A444B">
              <w:rPr>
                <w:rFonts w:ascii="Symbol" w:hAnsi="Symbol"/>
                <w:i/>
                <w:lang w:val="en-US" w:eastAsia="ja-JP"/>
              </w:rPr>
              <w:t></w:t>
            </w:r>
            <w:r w:rsidRPr="006A444B">
              <w:rPr>
                <w:vertAlign w:val="subscript"/>
                <w:lang w:val="en-US" w:eastAsia="ja-JP"/>
              </w:rPr>
              <w:t>e</w:t>
            </w:r>
            <w:r w:rsidRPr="006A444B">
              <w:rPr>
                <w:lang w:val="en-US" w:eastAsia="ja-JP"/>
              </w:rPr>
              <w:t>=0.05</w:t>
            </w:r>
          </w:p>
        </w:tc>
      </w:tr>
      <w:tr w:rsidR="00BF14E0" w:rsidRPr="00566A7F" w:rsidTr="00BF14E0">
        <w:tc>
          <w:tcPr>
            <w:tcW w:w="4927" w:type="dxa"/>
          </w:tcPr>
          <w:p w:rsidR="00BF14E0" w:rsidRPr="006A444B" w:rsidRDefault="00566A7F" w:rsidP="00BF14E0">
            <w:pPr>
              <w:keepNext/>
              <w:jc w:val="center"/>
              <w:rPr>
                <w:noProof/>
                <w:lang w:val="en-US" w:eastAsia="zh-CN"/>
              </w:rPr>
            </w:pPr>
            <w:r w:rsidRPr="00EF1C76">
              <w:rPr>
                <w:noProof/>
                <w:lang w:val="en-US"/>
              </w:rPr>
              <w:pict>
                <v:shape id="図 39" o:spid="_x0000_i1065" type="#_x0000_t75" style="width:199.5pt;height:2in;visibility:visible">
                  <v:imagedata r:id="rId52" o:title=""/>
                </v:shape>
              </w:pict>
            </w:r>
          </w:p>
          <w:p w:rsidR="00BF14E0" w:rsidRPr="00566A7F" w:rsidRDefault="00BF14E0" w:rsidP="00BF14E0">
            <w:pPr>
              <w:keepNext/>
              <w:jc w:val="center"/>
              <w:rPr>
                <w:noProof/>
                <w:lang w:val="fr-CH" w:eastAsia="zh-CN"/>
              </w:rPr>
            </w:pPr>
            <w:r w:rsidRPr="00566A7F">
              <w:rPr>
                <w:lang w:val="fr-CH" w:eastAsia="ja-JP"/>
              </w:rPr>
              <w:t>Mode-dispersive, Lossy even-mode</w:t>
            </w:r>
            <w:r w:rsidRPr="00566A7F">
              <w:rPr>
                <w:lang w:val="fr-CH" w:eastAsia="ja-JP"/>
              </w:rPr>
              <w:br/>
            </w:r>
            <w:r w:rsidRPr="006A444B">
              <w:rPr>
                <w:rFonts w:ascii="Symbol" w:hAnsi="Symbol"/>
                <w:i/>
                <w:lang w:val="en-US" w:eastAsia="ja-JP"/>
              </w:rPr>
              <w:t></w:t>
            </w:r>
            <w:r w:rsidRPr="00566A7F">
              <w:rPr>
                <w:vertAlign w:val="subscript"/>
                <w:lang w:val="fr-CH" w:eastAsia="ja-JP"/>
              </w:rPr>
              <w:t>e</w:t>
            </w:r>
            <w:r w:rsidRPr="00566A7F">
              <w:rPr>
                <w:lang w:val="fr-CH" w:eastAsia="ja-JP"/>
              </w:rPr>
              <w:t>=1.1</w:t>
            </w:r>
            <w:r w:rsidRPr="006A444B">
              <w:rPr>
                <w:rFonts w:ascii="Symbol" w:hAnsi="Symbol"/>
                <w:i/>
                <w:lang w:val="en-US" w:eastAsia="ja-JP"/>
              </w:rPr>
              <w:t></w:t>
            </w:r>
            <w:r w:rsidRPr="00566A7F">
              <w:rPr>
                <w:vertAlign w:val="subscript"/>
                <w:lang w:val="fr-CH" w:eastAsia="ja-JP"/>
              </w:rPr>
              <w:t>o</w:t>
            </w:r>
            <w:r w:rsidRPr="00566A7F">
              <w:rPr>
                <w:lang w:val="fr-CH" w:eastAsia="ja-JP"/>
              </w:rPr>
              <w:t>=1.1</w:t>
            </w:r>
            <w:r w:rsidRPr="006A444B">
              <w:rPr>
                <w:rFonts w:ascii="Symbol" w:hAnsi="Symbol"/>
                <w:i/>
                <w:lang w:val="en-US" w:eastAsia="ja-JP"/>
              </w:rPr>
              <w:t></w:t>
            </w:r>
            <w:r w:rsidRPr="006A444B">
              <w:rPr>
                <w:rFonts w:ascii="Symbol" w:hAnsi="Symbol"/>
                <w:lang w:val="en-US" w:eastAsia="ja-JP"/>
              </w:rPr>
              <w:t></w:t>
            </w:r>
            <w:r w:rsidRPr="006A444B">
              <w:rPr>
                <w:rFonts w:ascii="Symbol" w:hAnsi="Symbol"/>
                <w:lang w:val="en-US" w:eastAsia="ja-JP"/>
              </w:rPr>
              <w:t></w:t>
            </w:r>
            <w:r w:rsidRPr="006A444B">
              <w:rPr>
                <w:rFonts w:ascii="Symbol" w:hAnsi="Symbol"/>
                <w:lang w:val="en-US" w:eastAsia="ja-JP"/>
              </w:rPr>
              <w:t></w:t>
            </w:r>
            <w:r w:rsidRPr="00566A7F">
              <w:rPr>
                <w:vertAlign w:val="subscript"/>
                <w:lang w:val="fr-CH" w:eastAsia="ja-JP"/>
              </w:rPr>
              <w:t>e</w:t>
            </w:r>
            <w:r w:rsidRPr="00566A7F">
              <w:rPr>
                <w:lang w:val="fr-CH" w:eastAsia="ja-JP"/>
              </w:rPr>
              <w:t>/</w:t>
            </w:r>
            <w:r w:rsidRPr="006A444B">
              <w:rPr>
                <w:rFonts w:ascii="Symbol" w:hAnsi="Symbol"/>
                <w:i/>
                <w:lang w:val="en-US" w:eastAsia="ja-JP"/>
              </w:rPr>
              <w:t></w:t>
            </w:r>
            <w:r w:rsidRPr="00566A7F">
              <w:rPr>
                <w:vertAlign w:val="subscript"/>
                <w:lang w:val="fr-CH" w:eastAsia="ja-JP"/>
              </w:rPr>
              <w:t>e</w:t>
            </w:r>
            <w:r w:rsidRPr="00566A7F">
              <w:rPr>
                <w:lang w:val="fr-CH" w:eastAsia="ja-JP"/>
              </w:rPr>
              <w:t>=0.05</w:t>
            </w:r>
          </w:p>
        </w:tc>
        <w:tc>
          <w:tcPr>
            <w:tcW w:w="4928" w:type="dxa"/>
          </w:tcPr>
          <w:p w:rsidR="00BF14E0" w:rsidRPr="006A444B" w:rsidRDefault="00566A7F" w:rsidP="00BF14E0">
            <w:pPr>
              <w:keepNext/>
              <w:jc w:val="center"/>
              <w:rPr>
                <w:noProof/>
                <w:lang w:val="en-US" w:eastAsia="zh-CN"/>
              </w:rPr>
            </w:pPr>
            <w:r w:rsidRPr="00EF1C76">
              <w:rPr>
                <w:noProof/>
                <w:lang w:val="en-US"/>
              </w:rPr>
              <w:pict>
                <v:shape id="図 36" o:spid="_x0000_i1066" type="#_x0000_t75" style="width:199.5pt;height:2in;visibility:visible">
                  <v:imagedata r:id="rId53" o:title=""/>
                </v:shape>
              </w:pict>
            </w:r>
          </w:p>
          <w:p w:rsidR="00BF14E0" w:rsidRPr="00566A7F" w:rsidRDefault="00BF14E0" w:rsidP="00BF14E0">
            <w:pPr>
              <w:keepNext/>
              <w:jc w:val="center"/>
              <w:rPr>
                <w:noProof/>
                <w:lang w:val="fr-CH" w:eastAsia="zh-CN"/>
              </w:rPr>
            </w:pPr>
            <w:r w:rsidRPr="00566A7F">
              <w:rPr>
                <w:lang w:val="fr-CH" w:eastAsia="ja-JP"/>
              </w:rPr>
              <w:t>Mode-dispersive, Lossy even-mode</w:t>
            </w:r>
            <w:r w:rsidRPr="00566A7F">
              <w:rPr>
                <w:lang w:val="fr-CH" w:eastAsia="ja-JP"/>
              </w:rPr>
              <w:br/>
            </w:r>
            <w:r w:rsidRPr="006A444B">
              <w:rPr>
                <w:rFonts w:ascii="Symbol" w:hAnsi="Symbol"/>
                <w:i/>
                <w:lang w:val="en-US" w:eastAsia="ja-JP"/>
              </w:rPr>
              <w:t></w:t>
            </w:r>
            <w:r w:rsidRPr="00566A7F">
              <w:rPr>
                <w:vertAlign w:val="subscript"/>
                <w:lang w:val="fr-CH" w:eastAsia="ja-JP"/>
              </w:rPr>
              <w:t>e</w:t>
            </w:r>
            <w:r w:rsidRPr="00566A7F">
              <w:rPr>
                <w:lang w:val="fr-CH" w:eastAsia="ja-JP"/>
              </w:rPr>
              <w:t>=1.1</w:t>
            </w:r>
            <w:r w:rsidRPr="006A444B">
              <w:rPr>
                <w:rFonts w:ascii="Symbol" w:hAnsi="Symbol"/>
                <w:i/>
                <w:lang w:val="en-US" w:eastAsia="ja-JP"/>
              </w:rPr>
              <w:t></w:t>
            </w:r>
            <w:r w:rsidRPr="00566A7F">
              <w:rPr>
                <w:vertAlign w:val="subscript"/>
                <w:lang w:val="fr-CH" w:eastAsia="ja-JP"/>
              </w:rPr>
              <w:t>o</w:t>
            </w:r>
            <w:r w:rsidRPr="00566A7F">
              <w:rPr>
                <w:lang w:val="fr-CH" w:eastAsia="ja-JP"/>
              </w:rPr>
              <w:t>=1.1</w:t>
            </w:r>
            <w:r w:rsidRPr="006A444B">
              <w:rPr>
                <w:rFonts w:ascii="Symbol" w:hAnsi="Symbol"/>
                <w:i/>
                <w:lang w:val="en-US" w:eastAsia="ja-JP"/>
              </w:rPr>
              <w:t></w:t>
            </w:r>
            <w:r w:rsidRPr="006A444B">
              <w:rPr>
                <w:rFonts w:ascii="Symbol" w:hAnsi="Symbol"/>
                <w:lang w:val="en-US" w:eastAsia="ja-JP"/>
              </w:rPr>
              <w:t></w:t>
            </w:r>
            <w:r w:rsidRPr="006A444B">
              <w:rPr>
                <w:rFonts w:ascii="Symbol" w:hAnsi="Symbol"/>
                <w:lang w:val="en-US" w:eastAsia="ja-JP"/>
              </w:rPr>
              <w:t></w:t>
            </w:r>
            <w:r w:rsidRPr="006A444B">
              <w:rPr>
                <w:rFonts w:ascii="Symbol" w:hAnsi="Symbol"/>
                <w:lang w:val="en-US" w:eastAsia="ja-JP"/>
              </w:rPr>
              <w:t></w:t>
            </w:r>
            <w:r w:rsidRPr="00566A7F">
              <w:rPr>
                <w:vertAlign w:val="subscript"/>
                <w:lang w:val="fr-CH" w:eastAsia="ja-JP"/>
              </w:rPr>
              <w:t>e</w:t>
            </w:r>
            <w:r w:rsidRPr="00566A7F">
              <w:rPr>
                <w:lang w:val="fr-CH" w:eastAsia="ja-JP"/>
              </w:rPr>
              <w:t>/</w:t>
            </w:r>
            <w:r w:rsidRPr="006A444B">
              <w:rPr>
                <w:rFonts w:ascii="Symbol" w:hAnsi="Symbol"/>
                <w:i/>
                <w:lang w:val="en-US" w:eastAsia="ja-JP"/>
              </w:rPr>
              <w:t></w:t>
            </w:r>
            <w:r w:rsidRPr="00566A7F">
              <w:rPr>
                <w:vertAlign w:val="subscript"/>
                <w:lang w:val="fr-CH" w:eastAsia="ja-JP"/>
              </w:rPr>
              <w:t>e</w:t>
            </w:r>
            <w:r w:rsidRPr="00566A7F">
              <w:rPr>
                <w:lang w:val="fr-CH" w:eastAsia="ja-JP"/>
              </w:rPr>
              <w:t>=0.05</w:t>
            </w:r>
          </w:p>
        </w:tc>
      </w:tr>
      <w:tr w:rsidR="00BF14E0" w:rsidRPr="006A444B" w:rsidTr="00BF14E0">
        <w:tc>
          <w:tcPr>
            <w:tcW w:w="4927" w:type="dxa"/>
          </w:tcPr>
          <w:p w:rsidR="00BF14E0" w:rsidRPr="006A444B" w:rsidRDefault="00566A7F" w:rsidP="00BF14E0">
            <w:pPr>
              <w:jc w:val="center"/>
              <w:rPr>
                <w:noProof/>
                <w:lang w:val="en-US" w:eastAsia="zh-CN"/>
              </w:rPr>
            </w:pPr>
            <w:r w:rsidRPr="00EF1C76">
              <w:rPr>
                <w:noProof/>
                <w:lang w:val="en-US"/>
              </w:rPr>
              <w:pict>
                <v:shape id="図 34" o:spid="_x0000_i1067" type="#_x0000_t75" style="width:199.5pt;height:2in;visibility:visible">
                  <v:imagedata r:id="rId54" o:title=""/>
                </v:shape>
              </w:pict>
            </w:r>
          </w:p>
          <w:p w:rsidR="00BF14E0" w:rsidRPr="006A444B" w:rsidRDefault="00BF14E0" w:rsidP="00BF14E0">
            <w:pPr>
              <w:jc w:val="center"/>
              <w:rPr>
                <w:noProof/>
                <w:lang w:val="en-US" w:eastAsia="zh-CN"/>
              </w:rPr>
            </w:pPr>
            <w:r w:rsidRPr="006A444B">
              <w:rPr>
                <w:lang w:val="en-US" w:eastAsia="ja-JP"/>
              </w:rPr>
              <w:t xml:space="preserve">Mode-dispersive </w:t>
            </w:r>
            <w:r w:rsidRPr="006A444B">
              <w:rPr>
                <w:rFonts w:ascii="Symbol" w:hAnsi="Symbol"/>
                <w:i/>
                <w:lang w:val="en-US" w:eastAsia="ja-JP"/>
              </w:rPr>
              <w:t></w:t>
            </w:r>
            <w:r w:rsidRPr="006A444B">
              <w:rPr>
                <w:vertAlign w:val="subscript"/>
                <w:lang w:val="en-US" w:eastAsia="ja-JP"/>
              </w:rPr>
              <w:t>e</w:t>
            </w:r>
            <w:r w:rsidRPr="006A444B">
              <w:rPr>
                <w:lang w:val="en-US" w:eastAsia="ja-JP"/>
              </w:rPr>
              <w:t>=1.1</w:t>
            </w:r>
            <w:r w:rsidRPr="006A444B">
              <w:rPr>
                <w:rFonts w:ascii="Symbol" w:hAnsi="Symbol"/>
                <w:i/>
                <w:lang w:val="en-US" w:eastAsia="ja-JP"/>
              </w:rPr>
              <w:t></w:t>
            </w:r>
            <w:r w:rsidRPr="006A444B">
              <w:rPr>
                <w:vertAlign w:val="subscript"/>
                <w:lang w:val="en-US" w:eastAsia="ja-JP"/>
              </w:rPr>
              <w:t>o</w:t>
            </w:r>
            <w:r w:rsidRPr="006A444B">
              <w:rPr>
                <w:lang w:val="en-US" w:eastAsia="ja-JP"/>
              </w:rPr>
              <w:t>=1.1</w:t>
            </w:r>
            <w:r w:rsidRPr="006A444B">
              <w:rPr>
                <w:rFonts w:ascii="Symbol" w:hAnsi="Symbol"/>
                <w:i/>
                <w:lang w:val="en-US" w:eastAsia="ja-JP"/>
              </w:rPr>
              <w:t></w:t>
            </w:r>
          </w:p>
        </w:tc>
        <w:tc>
          <w:tcPr>
            <w:tcW w:w="4928" w:type="dxa"/>
          </w:tcPr>
          <w:p w:rsidR="00BF14E0" w:rsidRPr="006A444B" w:rsidRDefault="00566A7F" w:rsidP="00BF14E0">
            <w:pPr>
              <w:jc w:val="center"/>
              <w:rPr>
                <w:noProof/>
                <w:lang w:val="en-US" w:eastAsia="zh-CN"/>
              </w:rPr>
            </w:pPr>
            <w:r w:rsidRPr="00EF1C76">
              <w:rPr>
                <w:noProof/>
                <w:lang w:val="en-US"/>
              </w:rPr>
              <w:pict>
                <v:shape id="図 35" o:spid="_x0000_i1068" type="#_x0000_t75" style="width:199.5pt;height:2in;visibility:visible">
                  <v:imagedata r:id="rId55" o:title=""/>
                </v:shape>
              </w:pict>
            </w:r>
          </w:p>
          <w:p w:rsidR="00BF14E0" w:rsidRPr="006A444B" w:rsidRDefault="00BF14E0" w:rsidP="00BF14E0">
            <w:pPr>
              <w:jc w:val="center"/>
              <w:rPr>
                <w:noProof/>
                <w:lang w:val="en-US" w:eastAsia="zh-CN"/>
              </w:rPr>
            </w:pPr>
            <w:r w:rsidRPr="006A444B">
              <w:rPr>
                <w:lang w:val="en-US" w:eastAsia="ja-JP"/>
              </w:rPr>
              <w:t xml:space="preserve">Mode-dispersive </w:t>
            </w:r>
            <w:r w:rsidRPr="006A444B">
              <w:rPr>
                <w:rFonts w:ascii="Symbol" w:hAnsi="Symbol"/>
                <w:i/>
                <w:lang w:val="en-US" w:eastAsia="ja-JP"/>
              </w:rPr>
              <w:t></w:t>
            </w:r>
            <w:r w:rsidRPr="006A444B">
              <w:rPr>
                <w:vertAlign w:val="subscript"/>
                <w:lang w:val="en-US" w:eastAsia="ja-JP"/>
              </w:rPr>
              <w:t>e</w:t>
            </w:r>
            <w:r w:rsidRPr="006A444B">
              <w:rPr>
                <w:lang w:val="en-US" w:eastAsia="ja-JP"/>
              </w:rPr>
              <w:t>=1.1</w:t>
            </w:r>
            <w:r w:rsidRPr="006A444B">
              <w:rPr>
                <w:rFonts w:ascii="Symbol" w:hAnsi="Symbol"/>
                <w:i/>
                <w:lang w:val="en-US" w:eastAsia="ja-JP"/>
              </w:rPr>
              <w:t></w:t>
            </w:r>
            <w:r w:rsidRPr="006A444B">
              <w:rPr>
                <w:vertAlign w:val="subscript"/>
                <w:lang w:val="en-US" w:eastAsia="ja-JP"/>
              </w:rPr>
              <w:t>o</w:t>
            </w:r>
            <w:r w:rsidRPr="006A444B">
              <w:rPr>
                <w:lang w:val="en-US" w:eastAsia="ja-JP"/>
              </w:rPr>
              <w:t>=1.1</w:t>
            </w:r>
            <w:r w:rsidRPr="006A444B">
              <w:rPr>
                <w:rFonts w:ascii="Symbol" w:hAnsi="Symbol"/>
                <w:i/>
                <w:lang w:val="en-US" w:eastAsia="ja-JP"/>
              </w:rPr>
              <w:t></w:t>
            </w:r>
          </w:p>
        </w:tc>
      </w:tr>
    </w:tbl>
    <w:p w:rsidR="00BF14E0" w:rsidRPr="006A444B" w:rsidRDefault="00BF14E0" w:rsidP="00BF14E0">
      <w:pPr>
        <w:overflowPunct/>
        <w:autoSpaceDE/>
        <w:autoSpaceDN/>
        <w:adjustRightInd/>
        <w:spacing w:before="0"/>
        <w:textAlignment w:val="auto"/>
        <w:rPr>
          <w:lang w:val="en-US" w:eastAsia="ja-JP"/>
        </w:rPr>
      </w:pPr>
    </w:p>
    <w:p w:rsidR="00BF14E0" w:rsidRPr="006A444B" w:rsidRDefault="00BF14E0" w:rsidP="00BF14E0">
      <w:pPr>
        <w:pStyle w:val="Heading4"/>
        <w:rPr>
          <w:lang w:val="en-US"/>
        </w:rPr>
      </w:pPr>
      <w:r w:rsidRPr="006A444B">
        <w:rPr>
          <w:lang w:val="en-US"/>
        </w:rPr>
        <w:t>A1.1.1.3</w:t>
      </w:r>
      <w:r w:rsidRPr="006A444B">
        <w:rPr>
          <w:lang w:val="en-US"/>
        </w:rPr>
        <w:tab/>
        <w:t>Conclusions</w:t>
      </w:r>
    </w:p>
    <w:p w:rsidR="00BF14E0" w:rsidRPr="006A444B" w:rsidRDefault="00BF14E0" w:rsidP="00BF14E0">
      <w:pPr>
        <w:rPr>
          <w:lang w:val="en-US" w:eastAsia="ja-JP"/>
        </w:rPr>
      </w:pPr>
      <w:r w:rsidRPr="006A444B">
        <w:rPr>
          <w:lang w:val="en-US" w:eastAsia="ja-JP"/>
        </w:rPr>
        <w:t>The general expressions for the mixed-mode scattering matrix elements of a balanced transmission line unilaterally loaded with a stub in series have been formulated. The simple unilateral phase shifter model of a series short stub used in the analysis in sub</w:t>
      </w:r>
      <w:r w:rsidR="00566A7F">
        <w:rPr>
          <w:lang w:val="en-US" w:eastAsia="ja-JP"/>
        </w:rPr>
        <w:t>section 2.1.4.3 of Report ITU</w:t>
      </w:r>
      <w:r w:rsidR="00566A7F">
        <w:rPr>
          <w:lang w:val="en-US" w:eastAsia="ja-JP"/>
        </w:rPr>
        <w:noBreakHyphen/>
        <w:t>R </w:t>
      </w:r>
      <w:r w:rsidRPr="006A444B">
        <w:rPr>
          <w:lang w:val="en-US" w:eastAsia="ja-JP"/>
        </w:rPr>
        <w:t>SM.2158 has been verified as the simplest case of the general expressions. The general expressions for the mixed-mode scattering matrix elements which represent inter-mode scatterings between even and odd modes and the numerical calculations under various conditions suggest that the even and the odd modes are strongly coupled over a wide range of spectrum, not just at the frequencies where the stub length corresponds to a multiple of th</w:t>
      </w:r>
      <w:r w:rsidR="00566A7F">
        <w:rPr>
          <w:lang w:val="en-US" w:eastAsia="ja-JP"/>
        </w:rPr>
        <w:t>e quarter wavelength of the odd</w:t>
      </w:r>
      <w:r w:rsidR="00566A7F">
        <w:rPr>
          <w:lang w:val="en-US" w:eastAsia="ja-JP"/>
        </w:rPr>
        <w:noBreakHyphen/>
      </w:r>
      <w:r w:rsidRPr="006A444B">
        <w:rPr>
          <w:lang w:val="en-US" w:eastAsia="ja-JP"/>
        </w:rPr>
        <w:t>mode.</w:t>
      </w:r>
    </w:p>
    <w:p w:rsidR="00BF14E0" w:rsidRPr="006A444B" w:rsidRDefault="00BF14E0" w:rsidP="00BF14E0">
      <w:pPr>
        <w:rPr>
          <w:lang w:val="en-US" w:eastAsia="ja-JP"/>
        </w:rPr>
      </w:pPr>
      <w:r w:rsidRPr="006A444B">
        <w:rPr>
          <w:lang w:val="en-US" w:eastAsia="ja-JP"/>
        </w:rPr>
        <w:t>The results suggest that the even-mode currents as large as the odd-mode signal currents are generated in domestic power-line wirings which usually contain as many switch branches as the number of rooms and that the power spectral density of the odd-mode signal must be regulated as low as that of the even-mode.</w:t>
      </w:r>
    </w:p>
    <w:p w:rsidR="00BF14E0" w:rsidRPr="006A444B" w:rsidRDefault="00BF14E0" w:rsidP="00BF14E0">
      <w:pPr>
        <w:rPr>
          <w:lang w:val="en-US" w:eastAsia="ja-JP"/>
        </w:rPr>
      </w:pPr>
    </w:p>
    <w:p w:rsidR="00BF14E0" w:rsidRPr="006A444B" w:rsidRDefault="00BF14E0" w:rsidP="00BF14E0">
      <w:pPr>
        <w:rPr>
          <w:lang w:val="en-US" w:eastAsia="ja-JP"/>
        </w:rPr>
      </w:pPr>
    </w:p>
    <w:p w:rsidR="00BF14E0" w:rsidRPr="006A444B" w:rsidRDefault="00BF14E0" w:rsidP="00BF14E0">
      <w:pPr>
        <w:pStyle w:val="AnnexNo"/>
        <w:rPr>
          <w:lang w:val="en-US"/>
        </w:rPr>
      </w:pPr>
      <w:r w:rsidRPr="006A444B">
        <w:rPr>
          <w:lang w:val="en-US"/>
        </w:rPr>
        <w:t>Annex 2</w:t>
      </w:r>
    </w:p>
    <w:p w:rsidR="00BF14E0" w:rsidRPr="006A444B" w:rsidRDefault="00BF14E0" w:rsidP="00BF14E0">
      <w:pPr>
        <w:pStyle w:val="Annextitle"/>
        <w:rPr>
          <w:lang w:val="en-US"/>
        </w:rPr>
      </w:pPr>
      <w:bookmarkStart w:id="36" w:name="_Toc265129560"/>
      <w:r w:rsidRPr="006A444B">
        <w:rPr>
          <w:lang w:val="en-US"/>
        </w:rPr>
        <w:t>Analyses of potential interference in the VHF and UHF bands</w:t>
      </w:r>
      <w:bookmarkEnd w:id="36"/>
    </w:p>
    <w:p w:rsidR="00566A7F" w:rsidRDefault="00566A7F" w:rsidP="00566A7F">
      <w:pPr>
        <w:rPr>
          <w:lang w:val="en-US"/>
        </w:rPr>
      </w:pPr>
      <w:bookmarkStart w:id="37" w:name="_Toc265129561"/>
    </w:p>
    <w:p w:rsidR="00BF14E0" w:rsidRPr="006A444B" w:rsidRDefault="00BF14E0" w:rsidP="00BF14E0">
      <w:pPr>
        <w:pStyle w:val="Heading2"/>
        <w:rPr>
          <w:lang w:val="en-US"/>
        </w:rPr>
      </w:pPr>
      <w:r w:rsidRPr="006A444B">
        <w:rPr>
          <w:lang w:val="en-US"/>
        </w:rPr>
        <w:t>A2.1</w:t>
      </w:r>
      <w:r w:rsidRPr="006A444B">
        <w:rPr>
          <w:lang w:val="en-US"/>
        </w:rPr>
        <w:tab/>
        <w:t>Interference to VHF/UHF radio systems from harmonics of power line telecommunication systems operating in the VHF bands between 80 and 200 MHz</w:t>
      </w:r>
      <w:bookmarkEnd w:id="37"/>
    </w:p>
    <w:p w:rsidR="00BF14E0" w:rsidRPr="006A444B" w:rsidRDefault="00BF14E0" w:rsidP="00BF14E0">
      <w:pPr>
        <w:rPr>
          <w:b/>
          <w:lang w:val="en-US"/>
        </w:rPr>
      </w:pPr>
      <w:r w:rsidRPr="006A444B">
        <w:rPr>
          <w:lang w:val="en-US"/>
        </w:rPr>
        <w:t>The study of protection requirements of radio services in the range up to 80 MHz from the effects of PLT has been extensively carried out. However, there so far appears to have been little consideration of the effects of the harmonics of PLT systems on VHF and UHF radio systems.</w:t>
      </w:r>
    </w:p>
    <w:p w:rsidR="00BF14E0" w:rsidRPr="006A444B" w:rsidRDefault="00BF14E0" w:rsidP="00BF14E0">
      <w:pPr>
        <w:pStyle w:val="Heading3"/>
        <w:rPr>
          <w:lang w:val="en-US"/>
        </w:rPr>
      </w:pPr>
      <w:bookmarkStart w:id="38" w:name="_Toc265129562"/>
      <w:r w:rsidRPr="006A444B">
        <w:rPr>
          <w:lang w:val="en-US"/>
        </w:rPr>
        <w:t>A2.1.1</w:t>
      </w:r>
      <w:r w:rsidRPr="006A444B">
        <w:rPr>
          <w:lang w:val="en-US"/>
        </w:rPr>
        <w:tab/>
        <w:t>Domestic radio systems</w:t>
      </w:r>
      <w:bookmarkEnd w:id="38"/>
    </w:p>
    <w:p w:rsidR="00BF14E0" w:rsidRPr="006A444B" w:rsidRDefault="00BF14E0" w:rsidP="00BF14E0">
      <w:pPr>
        <w:rPr>
          <w:b/>
          <w:lang w:val="en-US"/>
        </w:rPr>
      </w:pPr>
      <w:r w:rsidRPr="006A444B">
        <w:rPr>
          <w:lang w:val="en-US"/>
        </w:rPr>
        <w:t>Several radio systems operating in the 88</w:t>
      </w:r>
      <w:r w:rsidRPr="006A444B">
        <w:rPr>
          <w:lang w:val="en-US"/>
        </w:rPr>
        <w:noBreakHyphen/>
        <w:t>800 MHz range are use</w:t>
      </w:r>
      <w:r w:rsidR="00566A7F">
        <w:rPr>
          <w:lang w:val="en-US"/>
        </w:rPr>
        <w:t>d in domestic situations. These </w:t>
      </w:r>
      <w:r w:rsidRPr="006A444B">
        <w:rPr>
          <w:lang w:val="en-US"/>
        </w:rPr>
        <w:t>include as well as amateur radio, broadcast radio and televisi</w:t>
      </w:r>
      <w:r w:rsidR="00580FF1">
        <w:rPr>
          <w:lang w:val="en-US"/>
        </w:rPr>
        <w:t>on, paging, personal alarms for </w:t>
      </w:r>
      <w:r w:rsidRPr="006A444B">
        <w:rPr>
          <w:lang w:val="en-US"/>
        </w:rPr>
        <w:t>the elderly or incapacitated persons, medical implant monitoring and medical implant control.</w:t>
      </w:r>
    </w:p>
    <w:p w:rsidR="00BF14E0" w:rsidRPr="006A444B" w:rsidRDefault="00BF14E0" w:rsidP="00BF14E0">
      <w:pPr>
        <w:rPr>
          <w:lang w:val="en-US"/>
        </w:rPr>
      </w:pPr>
      <w:r w:rsidRPr="006A444B">
        <w:rPr>
          <w:lang w:val="en-US"/>
        </w:rPr>
        <w:t>The field strengths required by such systems varies over a very wide range, as does the level at which harmful interference can occur. Further, it has been shown (Ref</w:t>
      </w:r>
      <w:r w:rsidR="00580FF1">
        <w:rPr>
          <w:lang w:val="en-US"/>
        </w:rPr>
        <w:t xml:space="preserve"> 1) that intermodulation in the </w:t>
      </w:r>
      <w:r w:rsidRPr="006A444B">
        <w:rPr>
          <w:lang w:val="en-US"/>
        </w:rPr>
        <w:t xml:space="preserve">mains distribution system can reduce the depth of spectral notches </w:t>
      </w:r>
      <w:r w:rsidR="00566A7F">
        <w:rPr>
          <w:lang w:val="en-US"/>
        </w:rPr>
        <w:t>provided in the PLT system, and </w:t>
      </w:r>
      <w:r w:rsidRPr="006A444B">
        <w:rPr>
          <w:lang w:val="en-US"/>
        </w:rPr>
        <w:t>non-linearities (such as the ‘rusty bolt’ effect) will also result in the generation of harmonics. From PLT systems operating up to 200 MHz, the harmonics wi</w:t>
      </w:r>
      <w:r w:rsidR="00566A7F">
        <w:rPr>
          <w:lang w:val="en-US"/>
        </w:rPr>
        <w:t>ll be probably not be much of a </w:t>
      </w:r>
      <w:r w:rsidRPr="006A444B">
        <w:rPr>
          <w:lang w:val="en-US"/>
        </w:rPr>
        <w:t>problem above about 500 MHz, but sensitive systems operating below that may well suffer harmful interference.</w:t>
      </w:r>
    </w:p>
    <w:p w:rsidR="00BF14E0" w:rsidRPr="006A444B" w:rsidRDefault="00BF14E0" w:rsidP="00BF14E0">
      <w:pPr>
        <w:rPr>
          <w:szCs w:val="24"/>
          <w:lang w:val="en-US"/>
        </w:rPr>
      </w:pPr>
      <w:r w:rsidRPr="006A444B">
        <w:rPr>
          <w:lang w:val="en-US"/>
        </w:rPr>
        <w:t xml:space="preserve">The </w:t>
      </w:r>
      <w:r w:rsidR="00566A7F" w:rsidRPr="006A444B">
        <w:rPr>
          <w:lang w:val="en-US"/>
        </w:rPr>
        <w:t>a</w:t>
      </w:r>
      <w:r w:rsidRPr="006A444B">
        <w:rPr>
          <w:lang w:val="en-US"/>
        </w:rPr>
        <w:t xml:space="preserve">mateur services operating in the 220 MHz band in Region 2, and additionally, the </w:t>
      </w:r>
      <w:r w:rsidR="00566A7F" w:rsidRPr="006A444B">
        <w:rPr>
          <w:lang w:val="en-US"/>
        </w:rPr>
        <w:t>a</w:t>
      </w:r>
      <w:r w:rsidRPr="006A444B">
        <w:rPr>
          <w:lang w:val="en-US"/>
        </w:rPr>
        <w:t xml:space="preserve">mateur and </w:t>
      </w:r>
      <w:r w:rsidR="00566A7F" w:rsidRPr="006A444B">
        <w:rPr>
          <w:lang w:val="en-US"/>
        </w:rPr>
        <w:t>a</w:t>
      </w:r>
      <w:r w:rsidR="00566A7F">
        <w:rPr>
          <w:lang w:val="en-US"/>
        </w:rPr>
        <w:t>mateur-</w:t>
      </w:r>
      <w:r w:rsidRPr="006A444B">
        <w:rPr>
          <w:lang w:val="en-US"/>
        </w:rPr>
        <w:t>satellite services in the 432 MHz band in all regions, are particularly likely to be affected by such harmonics: sensitivities down to the order of −40 dB</w:t>
      </w:r>
      <w:r w:rsidRPr="006A444B">
        <w:rPr>
          <w:rFonts w:ascii="Symbol" w:hAnsi="Symbol"/>
          <w:szCs w:val="24"/>
          <w:lang w:val="en-US"/>
        </w:rPr>
        <w:t></w:t>
      </w:r>
      <w:r w:rsidRPr="006A444B">
        <w:rPr>
          <w:szCs w:val="24"/>
          <w:lang w:val="en-US"/>
        </w:rPr>
        <w:t>V/m are used in these services. However, the antennas are usually external to the building and freq</w:t>
      </w:r>
      <w:r w:rsidR="00566A7F">
        <w:rPr>
          <w:szCs w:val="24"/>
          <w:lang w:val="en-US"/>
        </w:rPr>
        <w:t>uently some distance away, so a </w:t>
      </w:r>
      <w:r w:rsidRPr="006A444B">
        <w:rPr>
          <w:szCs w:val="24"/>
          <w:lang w:val="en-US"/>
        </w:rPr>
        <w:t>separation of 10 metres from the PLT distribution network is not an unreasonable assumption. A wall attenuation of 10 dB is also usually assumed.</w:t>
      </w:r>
    </w:p>
    <w:p w:rsidR="00BF14E0" w:rsidRPr="006A444B" w:rsidRDefault="00BF14E0" w:rsidP="00BF14E0">
      <w:pPr>
        <w:rPr>
          <w:szCs w:val="24"/>
          <w:lang w:val="en-US"/>
        </w:rPr>
      </w:pPr>
      <w:r w:rsidRPr="006A444B">
        <w:rPr>
          <w:szCs w:val="24"/>
          <w:lang w:val="en-US"/>
        </w:rPr>
        <w:t>Broadcast services generally have reasonably large field strengths available, even indoors. This has, of course, led to the use of poor antennas, often indoors and very close to mains wiring, so that the possibility of interference becomes relatively high.</w:t>
      </w:r>
    </w:p>
    <w:p w:rsidR="00566A7F" w:rsidRDefault="00566A7F">
      <w:pPr>
        <w:tabs>
          <w:tab w:val="clear" w:pos="794"/>
          <w:tab w:val="clear" w:pos="1191"/>
          <w:tab w:val="clear" w:pos="1588"/>
          <w:tab w:val="clear" w:pos="1985"/>
        </w:tabs>
        <w:overflowPunct/>
        <w:autoSpaceDE/>
        <w:autoSpaceDN/>
        <w:adjustRightInd/>
        <w:spacing w:before="0"/>
        <w:textAlignment w:val="auto"/>
        <w:rPr>
          <w:lang w:val="en-US"/>
        </w:rPr>
      </w:pPr>
      <w:r>
        <w:rPr>
          <w:lang w:val="en-US"/>
        </w:rPr>
        <w:br w:type="page"/>
      </w:r>
    </w:p>
    <w:p w:rsidR="00BF14E0" w:rsidRPr="006A444B" w:rsidRDefault="00BF14E0" w:rsidP="00BF14E0">
      <w:pPr>
        <w:rPr>
          <w:b/>
          <w:szCs w:val="24"/>
          <w:lang w:val="en-US"/>
        </w:rPr>
      </w:pPr>
      <w:r w:rsidRPr="006A444B">
        <w:rPr>
          <w:lang w:val="en-US"/>
        </w:rPr>
        <w:t>Other services likely to be affected include medical implants, operating in the 401 to 406 MHz band following the guidelines in Recommendation ITU-R SA.1346.</w:t>
      </w:r>
      <w:r w:rsidRPr="006A444B">
        <w:rPr>
          <w:b/>
          <w:szCs w:val="24"/>
          <w:lang w:val="en-US"/>
        </w:rPr>
        <w:t xml:space="preserve"> </w:t>
      </w:r>
      <w:r w:rsidRPr="006A444B">
        <w:rPr>
          <w:szCs w:val="24"/>
          <w:lang w:val="en-US"/>
        </w:rPr>
        <w:t>Such devices are of increasing importance in the field of ‘eHealth’, especially in view of the health costs of serving an increasingly ageing population. In this case, devices operate indoors, in close proximity to the mains − indeed, ‘programmers’ as the fixed units are known, will almost certainly b</w:t>
      </w:r>
      <w:r w:rsidR="00566A7F">
        <w:rPr>
          <w:szCs w:val="24"/>
          <w:lang w:val="en-US"/>
        </w:rPr>
        <w:t>e mains powered, and thus see a </w:t>
      </w:r>
      <w:r w:rsidRPr="006A444B">
        <w:rPr>
          <w:szCs w:val="24"/>
          <w:lang w:val="en-US"/>
        </w:rPr>
        <w:t>high level of PLT signal (including intermodulation products and harmonics) on their mains leads, and thus radiated to their antennas.</w:t>
      </w:r>
    </w:p>
    <w:p w:rsidR="00BF14E0" w:rsidRPr="006A444B" w:rsidRDefault="00BF14E0" w:rsidP="00BF14E0">
      <w:pPr>
        <w:rPr>
          <w:b/>
          <w:szCs w:val="24"/>
          <w:lang w:val="en-US"/>
        </w:rPr>
      </w:pPr>
      <w:r w:rsidRPr="006A444B">
        <w:rPr>
          <w:szCs w:val="24"/>
          <w:lang w:val="en-US"/>
        </w:rPr>
        <w:t xml:space="preserve">To avoid interference to the </w:t>
      </w:r>
      <w:r w:rsidR="00566A7F" w:rsidRPr="006A444B">
        <w:rPr>
          <w:szCs w:val="24"/>
          <w:lang w:val="en-US"/>
        </w:rPr>
        <w:t>p</w:t>
      </w:r>
      <w:r w:rsidRPr="006A444B">
        <w:rPr>
          <w:szCs w:val="24"/>
          <w:lang w:val="en-US"/>
        </w:rPr>
        <w:t xml:space="preserve">rimary </w:t>
      </w:r>
      <w:r w:rsidR="00566A7F" w:rsidRPr="006A444B">
        <w:rPr>
          <w:szCs w:val="24"/>
          <w:lang w:val="en-US"/>
        </w:rPr>
        <w:t>u</w:t>
      </w:r>
      <w:r w:rsidRPr="006A444B">
        <w:rPr>
          <w:szCs w:val="24"/>
          <w:lang w:val="en-US"/>
        </w:rPr>
        <w:t>ser (</w:t>
      </w:r>
      <w:r w:rsidR="00566A7F" w:rsidRPr="006A444B">
        <w:rPr>
          <w:szCs w:val="24"/>
          <w:lang w:val="en-US"/>
        </w:rPr>
        <w:t>m</w:t>
      </w:r>
      <w:r w:rsidRPr="006A444B">
        <w:rPr>
          <w:szCs w:val="24"/>
          <w:lang w:val="en-US"/>
        </w:rPr>
        <w:t xml:space="preserve">eteorological </w:t>
      </w:r>
      <w:r w:rsidR="00566A7F" w:rsidRPr="006A444B">
        <w:rPr>
          <w:szCs w:val="24"/>
          <w:lang w:val="en-US"/>
        </w:rPr>
        <w:t>a</w:t>
      </w:r>
      <w:r w:rsidRPr="006A444B">
        <w:rPr>
          <w:szCs w:val="24"/>
          <w:lang w:val="en-US"/>
        </w:rPr>
        <w:t>ids), a sophisticated ‘Listen Before Talk’ mechanism is mandated in the product standards for these equipments, e.g. E</w:t>
      </w:r>
      <w:r w:rsidR="00566A7F">
        <w:rPr>
          <w:szCs w:val="24"/>
          <w:lang w:val="en-US"/>
        </w:rPr>
        <w:t>N301 839, requiring a </w:t>
      </w:r>
      <w:r w:rsidRPr="006A444B">
        <w:rPr>
          <w:szCs w:val="24"/>
          <w:lang w:val="en-US"/>
        </w:rPr>
        <w:t>threshold of as low as +11 dB</w:t>
      </w:r>
      <w:r w:rsidRPr="006A444B">
        <w:rPr>
          <w:rFonts w:ascii="Symbol" w:hAnsi="Symbol"/>
          <w:szCs w:val="24"/>
          <w:lang w:val="en-US"/>
        </w:rPr>
        <w:t></w:t>
      </w:r>
      <w:r w:rsidRPr="006A444B">
        <w:rPr>
          <w:szCs w:val="24"/>
          <w:lang w:val="en-US"/>
        </w:rPr>
        <w:t xml:space="preserve">V/m, above which transmission is inhibited. Thus interference from the PLT exceeding this level will prevent the programmer from initiating communication with the implant. A spacing of 30 cm between the radiating mains wiring and the programmer is quite likely, and thus a loss of 30 dB less than in the amateur case may be expected. Without the benefit of the wall attenuation that the amateur station can expect, or the possible advantages in terms of rejection by antenna radiation pattern, the protection requirements for the medical implants in terms of radiated PLT power can be seen to be very similar to those required by the </w:t>
      </w:r>
      <w:r w:rsidR="00566A7F" w:rsidRPr="006A444B">
        <w:rPr>
          <w:szCs w:val="24"/>
          <w:lang w:val="en-US"/>
        </w:rPr>
        <w:t>a</w:t>
      </w:r>
      <w:r w:rsidRPr="006A444B">
        <w:rPr>
          <w:szCs w:val="24"/>
          <w:lang w:val="en-US"/>
        </w:rPr>
        <w:t>mateur services.</w:t>
      </w:r>
    </w:p>
    <w:p w:rsidR="00BF14E0" w:rsidRPr="006A444B" w:rsidRDefault="00BF14E0" w:rsidP="00BF14E0">
      <w:pPr>
        <w:rPr>
          <w:b/>
          <w:lang w:val="en-US"/>
        </w:rPr>
      </w:pPr>
      <w:r w:rsidRPr="006A444B">
        <w:rPr>
          <w:lang w:val="en-US"/>
        </w:rPr>
        <w:t>Although VHF paging services are not quite as popular as once was the case, they are still used, as in many situations, they are cheaper than using alternatives such as cellular telephones. Mainly operating in the VHF region, they will be subject to harmonic and fundamental interference from PLT equipment operating up to 200 MHz.</w:t>
      </w:r>
    </w:p>
    <w:p w:rsidR="00BF14E0" w:rsidRPr="006A444B" w:rsidRDefault="00BF14E0" w:rsidP="00BF14E0">
      <w:pPr>
        <w:rPr>
          <w:b/>
          <w:lang w:val="en-US"/>
        </w:rPr>
      </w:pPr>
      <w:r w:rsidRPr="006A444B">
        <w:rPr>
          <w:lang w:val="en-US"/>
        </w:rPr>
        <w:t>Personal alarms operating in either the VHF or 400 MHz region are used by the elderly and disabled, especially those living alone or in sheltered accommodation to call for assistance in the case of an emergency. Because the transmitters have to be small and light − frequently worn attached to a neckband − and have small and inefficient antennas as well as powers of only a few milliwatts, receiver sensitivities are of necessity high. The case of someone collapsing such that the body is over the antenna will give an appreciable increase in attenuation, but again, the receiver will be close to the mains wiring, and the wanted signal received signal strength may well be as low as 0 dB</w:t>
      </w:r>
      <w:r w:rsidRPr="006A444B">
        <w:rPr>
          <w:rFonts w:ascii="Symbol" w:hAnsi="Symbol"/>
          <w:lang w:val="en-US"/>
        </w:rPr>
        <w:t></w:t>
      </w:r>
      <w:r w:rsidRPr="006A444B">
        <w:rPr>
          <w:lang w:val="en-US"/>
        </w:rPr>
        <w:t>V/m.</w:t>
      </w:r>
    </w:p>
    <w:p w:rsidR="00BF14E0" w:rsidRPr="006A444B" w:rsidRDefault="00BF14E0" w:rsidP="00566A7F">
      <w:pPr>
        <w:pStyle w:val="Heading3"/>
        <w:rPr>
          <w:lang w:val="en-US"/>
        </w:rPr>
      </w:pPr>
      <w:bookmarkStart w:id="39" w:name="_Toc265129563"/>
      <w:r w:rsidRPr="006A444B">
        <w:rPr>
          <w:lang w:val="en-US"/>
        </w:rPr>
        <w:t>A2.1.2</w:t>
      </w:r>
      <w:r w:rsidRPr="006A444B">
        <w:rPr>
          <w:lang w:val="en-US"/>
        </w:rPr>
        <w:tab/>
        <w:t>Conclusion</w:t>
      </w:r>
      <w:bookmarkEnd w:id="39"/>
    </w:p>
    <w:p w:rsidR="00BF14E0" w:rsidRPr="006A444B" w:rsidRDefault="00BF14E0" w:rsidP="00BF14E0">
      <w:pPr>
        <w:rPr>
          <w:lang w:val="en-US"/>
        </w:rPr>
      </w:pPr>
      <w:r w:rsidRPr="006A444B">
        <w:rPr>
          <w:lang w:val="en-US"/>
        </w:rPr>
        <w:t>Although the level of harmonics and intermodulation products falling outside the operational frequency band of a PLT system may be expected to decrease with frequency, the effects of equipment mains leads becoming resonant with a resultant increase in the local field strength is much more likely to occur than at lower frequencies. It has been shown that the level of protection required by the amateur and amateur satellite services at VHF/UHF from the fundamental and harmonics of PLT systems is similar to that required by other systems likely to be found in the domestic environment, the communications failure of which, caused by harmful interference from PLT emissions, could have serious consequences.</w:t>
      </w:r>
    </w:p>
    <w:p w:rsidR="00BF14E0" w:rsidRPr="006A444B" w:rsidRDefault="00BF14E0" w:rsidP="00BF14E0">
      <w:pPr>
        <w:pStyle w:val="Heading2"/>
        <w:rPr>
          <w:lang w:val="en-US" w:eastAsia="de-DE"/>
        </w:rPr>
      </w:pPr>
      <w:bookmarkStart w:id="40" w:name="_Toc265129564"/>
      <w:r w:rsidRPr="006A444B">
        <w:rPr>
          <w:lang w:val="en-US" w:eastAsia="de-DE"/>
        </w:rPr>
        <w:t>A2.2</w:t>
      </w:r>
      <w:r w:rsidRPr="006A444B">
        <w:rPr>
          <w:lang w:val="en-US" w:eastAsia="de-DE"/>
        </w:rPr>
        <w:tab/>
        <w:t>Compatibility between Aeronautical Radio and PLT in-house devices in the frequency range 30 MHz-380 MHz</w:t>
      </w:r>
      <w:bookmarkEnd w:id="40"/>
    </w:p>
    <w:p w:rsidR="00BF14E0" w:rsidRPr="006A444B" w:rsidRDefault="00BF14E0" w:rsidP="00BF14E0">
      <w:pPr>
        <w:rPr>
          <w:lang w:val="en-US"/>
        </w:rPr>
      </w:pPr>
      <w:r w:rsidRPr="006A444B">
        <w:rPr>
          <w:lang w:val="en-US"/>
        </w:rPr>
        <w:t>For broadband communications within low voltage AC mains grids a</w:t>
      </w:r>
      <w:r w:rsidR="00566A7F">
        <w:rPr>
          <w:lang w:val="en-US"/>
        </w:rPr>
        <w:t>nd in-house installations, some </w:t>
      </w:r>
      <w:r w:rsidRPr="006A444B">
        <w:rPr>
          <w:lang w:val="en-US"/>
        </w:rPr>
        <w:t xml:space="preserve">PLT equipment uses the frequency range up to 300 MHz. </w:t>
      </w:r>
    </w:p>
    <w:p w:rsidR="00BF14E0" w:rsidRPr="006A444B" w:rsidRDefault="00BF14E0" w:rsidP="00BF14E0">
      <w:pPr>
        <w:rPr>
          <w:lang w:val="en-US"/>
        </w:rPr>
      </w:pPr>
      <w:r w:rsidRPr="006A444B">
        <w:rPr>
          <w:lang w:val="en-US"/>
        </w:rPr>
        <w:t>This compatibility analysis focuses on the protection of radio reception for airborne receivers in the aeronautical radio service using the frequency range 30 to 380 MHz.</w:t>
      </w:r>
    </w:p>
    <w:p w:rsidR="00BF14E0" w:rsidRPr="006A444B" w:rsidRDefault="00BF14E0" w:rsidP="00BF14E0">
      <w:pPr>
        <w:rPr>
          <w:lang w:val="en-US"/>
        </w:rPr>
      </w:pPr>
      <w:r w:rsidRPr="006A444B">
        <w:rPr>
          <w:lang w:val="en-US"/>
        </w:rPr>
        <w:t>The compatibility requirements at the airborne receiver for the aeronautical services in the frequency range 80 to 380 MHz are listed in section A2.2.5.1. Applying these requirements results in an interference threshold to be met by PLT (section A2.2.5.2). To show whether these limits can be met by PLT, the maximum power spectral density as defined in the various PLT systems for above 30 MHz was converted into radiated power/field strengths from buildings which carry PLT broadband communications, in section A2.2.5.3. In section A2.2.5.4 it is shown to which extent PLT may interfere with the aeronautical receiver.</w:t>
      </w:r>
    </w:p>
    <w:p w:rsidR="00BF14E0" w:rsidRPr="006A444B" w:rsidRDefault="00BF14E0" w:rsidP="00BF14E0">
      <w:pPr>
        <w:pStyle w:val="Heading3"/>
        <w:rPr>
          <w:lang w:val="en-US"/>
        </w:rPr>
      </w:pPr>
      <w:bookmarkStart w:id="41" w:name="_Toc265129565"/>
      <w:r w:rsidRPr="006A444B">
        <w:rPr>
          <w:lang w:val="en-US"/>
        </w:rPr>
        <w:t>A2.2.1</w:t>
      </w:r>
      <w:r w:rsidRPr="006A444B">
        <w:rPr>
          <w:lang w:val="en-US"/>
        </w:rPr>
        <w:tab/>
        <w:t>Compatibility analysis for interferences in aeronautical radio</w:t>
      </w:r>
      <w:bookmarkEnd w:id="41"/>
    </w:p>
    <w:p w:rsidR="00BF14E0" w:rsidRPr="006A444B" w:rsidRDefault="00BF14E0" w:rsidP="00BF14E0">
      <w:pPr>
        <w:rPr>
          <w:lang w:val="en-US"/>
        </w:rPr>
      </w:pPr>
      <w:r w:rsidRPr="006A444B">
        <w:rPr>
          <w:lang w:val="en-US"/>
        </w:rPr>
        <w:t xml:space="preserve">BNetzA has performed extensive measurements in 2000 on digital cable signals to determine the “wanted minimum field strength” required by VHF COM, UHF COM, VOR, ILS LOS and VDL Mode 2). These values can be converted into the “maximum permissible interference field strengths at the airborne receiver” by applying the system dependent C/I. The values are listed in </w:t>
      </w:r>
      <w:r w:rsidRPr="00566A7F">
        <w:rPr>
          <w:bCs/>
          <w:lang w:val="en-US"/>
        </w:rPr>
        <w:t>Table 1</w:t>
      </w:r>
      <w:r w:rsidRPr="006A444B">
        <w:rPr>
          <w:lang w:val="en-US"/>
        </w:rPr>
        <w:t>.</w:t>
      </w:r>
    </w:p>
    <w:p w:rsidR="00BF14E0" w:rsidRPr="00566A7F" w:rsidRDefault="00BF14E0" w:rsidP="00566A7F">
      <w:pPr>
        <w:pStyle w:val="TableNo"/>
        <w:rPr>
          <w:sz w:val="20"/>
          <w:lang w:val="en-US"/>
        </w:rPr>
      </w:pPr>
      <w:r w:rsidRPr="00566A7F">
        <w:rPr>
          <w:sz w:val="20"/>
          <w:lang w:val="en-US"/>
        </w:rPr>
        <w:t xml:space="preserve">Table </w:t>
      </w:r>
      <w:r w:rsidR="00566A7F" w:rsidRPr="00566A7F">
        <w:rPr>
          <w:sz w:val="20"/>
          <w:lang w:val="en-US"/>
        </w:rPr>
        <w:t>1</w:t>
      </w:r>
    </w:p>
    <w:p w:rsidR="00BF14E0" w:rsidRPr="00566A7F" w:rsidRDefault="00BF14E0" w:rsidP="00566A7F">
      <w:pPr>
        <w:pStyle w:val="Tabletitle"/>
        <w:rPr>
          <w:sz w:val="20"/>
          <w:lang w:val="en-US"/>
        </w:rPr>
      </w:pPr>
      <w:r w:rsidRPr="00566A7F">
        <w:rPr>
          <w:sz w:val="20"/>
          <w:lang w:val="en-US"/>
        </w:rPr>
        <w:t>Compatibility requirements at the airborne receiver for COFDM signals measured</w:t>
      </w:r>
      <w:r w:rsidRPr="00566A7F">
        <w:rPr>
          <w:sz w:val="20"/>
          <w:lang w:val="en-US"/>
        </w:rPr>
        <w:br/>
        <w:t xml:space="preserve">by a quasi-peak (QP) detector having a bandwidth of 120 kHz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50"/>
        <w:gridCol w:w="1620"/>
        <w:gridCol w:w="1620"/>
        <w:gridCol w:w="1980"/>
      </w:tblGrid>
      <w:tr w:rsidR="00BF14E0" w:rsidRPr="00566A7F" w:rsidTr="00BF14E0">
        <w:trPr>
          <w:jc w:val="center"/>
        </w:trPr>
        <w:tc>
          <w:tcPr>
            <w:tcW w:w="2050" w:type="dxa"/>
            <w:vAlign w:val="center"/>
          </w:tcPr>
          <w:p w:rsidR="00BF14E0" w:rsidRPr="00566A7F" w:rsidRDefault="00BF14E0" w:rsidP="00566A7F">
            <w:pPr>
              <w:pStyle w:val="Tablehead"/>
              <w:rPr>
                <w:sz w:val="20"/>
                <w:lang w:val="en-US"/>
              </w:rPr>
            </w:pPr>
            <w:r w:rsidRPr="00566A7F">
              <w:rPr>
                <w:sz w:val="20"/>
                <w:lang w:val="en-US"/>
              </w:rPr>
              <w:br w:type="page"/>
            </w:r>
          </w:p>
        </w:tc>
        <w:tc>
          <w:tcPr>
            <w:tcW w:w="1620" w:type="dxa"/>
            <w:vAlign w:val="center"/>
          </w:tcPr>
          <w:p w:rsidR="00BF14E0" w:rsidRPr="00566A7F" w:rsidRDefault="00BF14E0" w:rsidP="00566A7F">
            <w:pPr>
              <w:pStyle w:val="Tablehead"/>
              <w:rPr>
                <w:sz w:val="20"/>
                <w:lang w:val="en-US"/>
              </w:rPr>
            </w:pPr>
            <w:r w:rsidRPr="00566A7F">
              <w:rPr>
                <w:sz w:val="20"/>
                <w:lang w:val="en-US"/>
              </w:rPr>
              <w:t>Wanted minimum field strength</w:t>
            </w:r>
          </w:p>
        </w:tc>
        <w:tc>
          <w:tcPr>
            <w:tcW w:w="1620" w:type="dxa"/>
            <w:vAlign w:val="center"/>
          </w:tcPr>
          <w:p w:rsidR="00BF14E0" w:rsidRPr="00566A7F" w:rsidRDefault="00BF14E0" w:rsidP="00566A7F">
            <w:pPr>
              <w:pStyle w:val="Tablehead"/>
              <w:rPr>
                <w:sz w:val="20"/>
                <w:lang w:val="en-US"/>
              </w:rPr>
            </w:pPr>
            <w:r w:rsidRPr="00566A7F">
              <w:rPr>
                <w:sz w:val="20"/>
                <w:lang w:val="en-US"/>
              </w:rPr>
              <w:t>C/I</w:t>
            </w:r>
          </w:p>
        </w:tc>
        <w:tc>
          <w:tcPr>
            <w:tcW w:w="1980" w:type="dxa"/>
            <w:vAlign w:val="center"/>
          </w:tcPr>
          <w:p w:rsidR="00BF14E0" w:rsidRPr="00566A7F" w:rsidRDefault="00BF14E0" w:rsidP="00566A7F">
            <w:pPr>
              <w:pStyle w:val="Tablehead"/>
              <w:rPr>
                <w:sz w:val="20"/>
                <w:lang w:val="en-US"/>
              </w:rPr>
            </w:pPr>
            <w:r w:rsidRPr="00566A7F">
              <w:rPr>
                <w:sz w:val="20"/>
                <w:lang w:val="en-US"/>
              </w:rPr>
              <w:t>Maximum permissible interference field strength</w:t>
            </w:r>
          </w:p>
        </w:tc>
      </w:tr>
      <w:tr w:rsidR="00BF14E0" w:rsidRPr="00395811" w:rsidTr="00BF14E0">
        <w:trPr>
          <w:jc w:val="center"/>
        </w:trPr>
        <w:tc>
          <w:tcPr>
            <w:tcW w:w="2050" w:type="dxa"/>
            <w:vAlign w:val="center"/>
          </w:tcPr>
          <w:p w:rsidR="00BF14E0" w:rsidRPr="00395811" w:rsidRDefault="00BF14E0" w:rsidP="00395811">
            <w:pPr>
              <w:pStyle w:val="Tabletext"/>
              <w:rPr>
                <w:sz w:val="20"/>
                <w:lang w:val="de-CH"/>
              </w:rPr>
            </w:pPr>
            <w:r w:rsidRPr="00395811">
              <w:rPr>
                <w:sz w:val="20"/>
                <w:lang w:val="de-CH"/>
              </w:rPr>
              <w:t>VHF COM</w:t>
            </w:r>
          </w:p>
          <w:p w:rsidR="00BF14E0" w:rsidRPr="00395811" w:rsidRDefault="00BF14E0" w:rsidP="00395811">
            <w:pPr>
              <w:pStyle w:val="Tabletext"/>
              <w:rPr>
                <w:sz w:val="20"/>
                <w:lang w:val="de-CH"/>
              </w:rPr>
            </w:pPr>
            <w:r w:rsidRPr="00395811">
              <w:rPr>
                <w:sz w:val="20"/>
                <w:lang w:val="de-CH"/>
              </w:rPr>
              <w:t>8.3 kHz Raster</w:t>
            </w:r>
          </w:p>
          <w:p w:rsidR="00BF14E0" w:rsidRPr="00395811" w:rsidRDefault="00BF14E0" w:rsidP="00395811">
            <w:pPr>
              <w:pStyle w:val="Tabletext"/>
              <w:rPr>
                <w:sz w:val="20"/>
                <w:lang w:val="de-CH"/>
              </w:rPr>
            </w:pPr>
            <w:r w:rsidRPr="00395811">
              <w:rPr>
                <w:sz w:val="20"/>
                <w:lang w:val="de-CH"/>
              </w:rPr>
              <w:t>117.975-137 MHz</w:t>
            </w:r>
          </w:p>
        </w:tc>
        <w:tc>
          <w:tcPr>
            <w:tcW w:w="1620" w:type="dxa"/>
            <w:vAlign w:val="center"/>
          </w:tcPr>
          <w:p w:rsidR="00BF14E0" w:rsidRPr="00395811" w:rsidRDefault="00BF14E0" w:rsidP="00395811">
            <w:pPr>
              <w:pStyle w:val="Tabletext"/>
              <w:jc w:val="center"/>
              <w:rPr>
                <w:sz w:val="20"/>
                <w:lang w:val="en-US"/>
              </w:rPr>
            </w:pPr>
            <w:r w:rsidRPr="00395811">
              <w:rPr>
                <w:sz w:val="20"/>
                <w:lang w:val="en-US"/>
              </w:rPr>
              <w:t>16 dB(µV/m)</w:t>
            </w:r>
          </w:p>
        </w:tc>
        <w:tc>
          <w:tcPr>
            <w:tcW w:w="1620" w:type="dxa"/>
            <w:vAlign w:val="center"/>
          </w:tcPr>
          <w:p w:rsidR="00BF14E0" w:rsidRPr="00395811" w:rsidRDefault="00BF14E0" w:rsidP="00395811">
            <w:pPr>
              <w:pStyle w:val="Tabletext"/>
              <w:jc w:val="center"/>
              <w:rPr>
                <w:sz w:val="20"/>
                <w:lang w:val="en-US"/>
              </w:rPr>
            </w:pPr>
            <w:r w:rsidRPr="00395811">
              <w:rPr>
                <w:sz w:val="20"/>
                <w:lang w:val="en-US"/>
              </w:rPr>
              <w:t>10 dB</w:t>
            </w:r>
          </w:p>
        </w:tc>
        <w:tc>
          <w:tcPr>
            <w:tcW w:w="1980" w:type="dxa"/>
            <w:vAlign w:val="center"/>
          </w:tcPr>
          <w:p w:rsidR="00BF14E0" w:rsidRPr="00395811" w:rsidRDefault="00BF14E0" w:rsidP="00395811">
            <w:pPr>
              <w:pStyle w:val="Tabletext"/>
              <w:jc w:val="center"/>
              <w:rPr>
                <w:sz w:val="20"/>
                <w:lang w:val="en-US"/>
              </w:rPr>
            </w:pPr>
            <w:r w:rsidRPr="00395811">
              <w:rPr>
                <w:sz w:val="20"/>
                <w:lang w:val="en-US"/>
              </w:rPr>
              <w:t>6 dB(µV/m)</w:t>
            </w:r>
          </w:p>
        </w:tc>
      </w:tr>
      <w:tr w:rsidR="00BF14E0" w:rsidRPr="00395811" w:rsidTr="00BF14E0">
        <w:trPr>
          <w:jc w:val="center"/>
        </w:trPr>
        <w:tc>
          <w:tcPr>
            <w:tcW w:w="2050" w:type="dxa"/>
            <w:vAlign w:val="center"/>
          </w:tcPr>
          <w:p w:rsidR="00BF14E0" w:rsidRPr="00395811" w:rsidRDefault="00BF14E0" w:rsidP="00395811">
            <w:pPr>
              <w:pStyle w:val="Tabletext"/>
              <w:rPr>
                <w:sz w:val="20"/>
                <w:lang w:val="de-CH"/>
              </w:rPr>
            </w:pPr>
            <w:r w:rsidRPr="00395811">
              <w:rPr>
                <w:sz w:val="20"/>
                <w:lang w:val="de-CH"/>
              </w:rPr>
              <w:t>VHF COM</w:t>
            </w:r>
          </w:p>
          <w:p w:rsidR="00BF14E0" w:rsidRPr="00395811" w:rsidRDefault="00BF14E0" w:rsidP="00395811">
            <w:pPr>
              <w:pStyle w:val="Tabletext"/>
              <w:rPr>
                <w:sz w:val="20"/>
                <w:lang w:val="de-CH"/>
              </w:rPr>
            </w:pPr>
            <w:r w:rsidRPr="00395811">
              <w:rPr>
                <w:sz w:val="20"/>
                <w:lang w:val="de-CH"/>
              </w:rPr>
              <w:t>25 kHz Raster</w:t>
            </w:r>
          </w:p>
          <w:p w:rsidR="00BF14E0" w:rsidRPr="00395811" w:rsidRDefault="00BF14E0" w:rsidP="00395811">
            <w:pPr>
              <w:pStyle w:val="Tabletext"/>
              <w:rPr>
                <w:sz w:val="20"/>
                <w:lang w:val="de-CH"/>
              </w:rPr>
            </w:pPr>
            <w:r w:rsidRPr="00395811">
              <w:rPr>
                <w:sz w:val="20"/>
                <w:lang w:val="de-CH"/>
              </w:rPr>
              <w:t>117.975-137 MHz</w:t>
            </w:r>
          </w:p>
        </w:tc>
        <w:tc>
          <w:tcPr>
            <w:tcW w:w="1620" w:type="dxa"/>
            <w:vAlign w:val="center"/>
          </w:tcPr>
          <w:p w:rsidR="00BF14E0" w:rsidRPr="00395811" w:rsidRDefault="00BF14E0" w:rsidP="00395811">
            <w:pPr>
              <w:pStyle w:val="Tabletext"/>
              <w:jc w:val="center"/>
              <w:rPr>
                <w:sz w:val="20"/>
                <w:lang w:val="en-US"/>
              </w:rPr>
            </w:pPr>
            <w:r w:rsidRPr="00395811">
              <w:rPr>
                <w:sz w:val="20"/>
                <w:lang w:val="en-US"/>
              </w:rPr>
              <w:t>16 dB(µV/m)</w:t>
            </w:r>
          </w:p>
        </w:tc>
        <w:tc>
          <w:tcPr>
            <w:tcW w:w="1620" w:type="dxa"/>
            <w:vAlign w:val="center"/>
          </w:tcPr>
          <w:p w:rsidR="00BF14E0" w:rsidRPr="00395811" w:rsidRDefault="00BF14E0" w:rsidP="00395811">
            <w:pPr>
              <w:pStyle w:val="Tabletext"/>
              <w:jc w:val="center"/>
              <w:rPr>
                <w:sz w:val="20"/>
                <w:lang w:val="en-US"/>
              </w:rPr>
            </w:pPr>
            <w:r w:rsidRPr="00395811">
              <w:rPr>
                <w:sz w:val="20"/>
                <w:lang w:val="en-US"/>
              </w:rPr>
              <w:t>10 dB</w:t>
            </w:r>
          </w:p>
        </w:tc>
        <w:tc>
          <w:tcPr>
            <w:tcW w:w="1980" w:type="dxa"/>
            <w:vAlign w:val="center"/>
          </w:tcPr>
          <w:p w:rsidR="00BF14E0" w:rsidRPr="00395811" w:rsidRDefault="00BF14E0" w:rsidP="00395811">
            <w:pPr>
              <w:pStyle w:val="Tabletext"/>
              <w:jc w:val="center"/>
              <w:rPr>
                <w:sz w:val="20"/>
                <w:lang w:val="en-US"/>
              </w:rPr>
            </w:pPr>
            <w:r w:rsidRPr="00395811">
              <w:rPr>
                <w:sz w:val="20"/>
                <w:lang w:val="en-US"/>
              </w:rPr>
              <w:t>6 dB(µV/m)</w:t>
            </w:r>
          </w:p>
        </w:tc>
      </w:tr>
      <w:tr w:rsidR="00BF14E0" w:rsidRPr="00395811" w:rsidTr="00BF14E0">
        <w:trPr>
          <w:jc w:val="center"/>
        </w:trPr>
        <w:tc>
          <w:tcPr>
            <w:tcW w:w="2050" w:type="dxa"/>
            <w:vAlign w:val="center"/>
          </w:tcPr>
          <w:p w:rsidR="00BF14E0" w:rsidRPr="00395811" w:rsidRDefault="00BF14E0" w:rsidP="00395811">
            <w:pPr>
              <w:pStyle w:val="Tabletext"/>
              <w:rPr>
                <w:sz w:val="20"/>
                <w:lang w:val="de-CH"/>
              </w:rPr>
            </w:pPr>
            <w:r w:rsidRPr="00395811">
              <w:rPr>
                <w:sz w:val="20"/>
                <w:lang w:val="de-CH"/>
              </w:rPr>
              <w:t>UHF COM</w:t>
            </w:r>
          </w:p>
          <w:p w:rsidR="00BF14E0" w:rsidRPr="00395811" w:rsidRDefault="00BF14E0" w:rsidP="00395811">
            <w:pPr>
              <w:pStyle w:val="Tabletext"/>
              <w:rPr>
                <w:sz w:val="20"/>
                <w:lang w:val="de-CH"/>
              </w:rPr>
            </w:pPr>
            <w:r w:rsidRPr="00395811">
              <w:rPr>
                <w:sz w:val="20"/>
                <w:lang w:val="de-CH"/>
              </w:rPr>
              <w:t>25 kHz Raster</w:t>
            </w:r>
          </w:p>
          <w:p w:rsidR="00BF14E0" w:rsidRPr="00395811" w:rsidRDefault="00BF14E0" w:rsidP="00395811">
            <w:pPr>
              <w:pStyle w:val="Tabletext"/>
              <w:rPr>
                <w:sz w:val="20"/>
                <w:lang w:val="de-CH"/>
              </w:rPr>
            </w:pPr>
            <w:r w:rsidRPr="00395811">
              <w:rPr>
                <w:sz w:val="20"/>
                <w:lang w:val="de-CH"/>
              </w:rPr>
              <w:t>230-380 MHz</w:t>
            </w:r>
          </w:p>
        </w:tc>
        <w:tc>
          <w:tcPr>
            <w:tcW w:w="1620" w:type="dxa"/>
            <w:vAlign w:val="center"/>
          </w:tcPr>
          <w:p w:rsidR="00BF14E0" w:rsidRPr="00395811" w:rsidRDefault="00BF14E0" w:rsidP="00395811">
            <w:pPr>
              <w:pStyle w:val="Tabletext"/>
              <w:jc w:val="center"/>
              <w:rPr>
                <w:sz w:val="20"/>
                <w:lang w:val="en-US"/>
              </w:rPr>
            </w:pPr>
            <w:r w:rsidRPr="00395811">
              <w:rPr>
                <w:sz w:val="20"/>
                <w:lang w:val="en-US"/>
              </w:rPr>
              <w:t>24 dB(µV/m)</w:t>
            </w:r>
          </w:p>
        </w:tc>
        <w:tc>
          <w:tcPr>
            <w:tcW w:w="1620" w:type="dxa"/>
            <w:vAlign w:val="center"/>
          </w:tcPr>
          <w:p w:rsidR="00BF14E0" w:rsidRPr="00395811" w:rsidRDefault="00BF14E0" w:rsidP="00395811">
            <w:pPr>
              <w:pStyle w:val="Tabletext"/>
              <w:jc w:val="center"/>
              <w:rPr>
                <w:sz w:val="20"/>
                <w:lang w:val="en-US"/>
              </w:rPr>
            </w:pPr>
            <w:r w:rsidRPr="00395811">
              <w:rPr>
                <w:sz w:val="20"/>
                <w:lang w:val="en-US"/>
              </w:rPr>
              <w:t>7 dB</w:t>
            </w:r>
          </w:p>
        </w:tc>
        <w:tc>
          <w:tcPr>
            <w:tcW w:w="1980" w:type="dxa"/>
            <w:vAlign w:val="center"/>
          </w:tcPr>
          <w:p w:rsidR="00BF14E0" w:rsidRPr="00395811" w:rsidRDefault="00BF14E0" w:rsidP="00395811">
            <w:pPr>
              <w:pStyle w:val="Tabletext"/>
              <w:jc w:val="center"/>
              <w:rPr>
                <w:sz w:val="20"/>
                <w:lang w:val="en-US"/>
              </w:rPr>
            </w:pPr>
            <w:r w:rsidRPr="00395811">
              <w:rPr>
                <w:sz w:val="20"/>
                <w:lang w:val="en-US"/>
              </w:rPr>
              <w:t>21 dB(µV/m)</w:t>
            </w:r>
          </w:p>
        </w:tc>
      </w:tr>
      <w:tr w:rsidR="00BF14E0" w:rsidRPr="00395811" w:rsidTr="00BF14E0">
        <w:trPr>
          <w:jc w:val="center"/>
        </w:trPr>
        <w:tc>
          <w:tcPr>
            <w:tcW w:w="2050" w:type="dxa"/>
            <w:vAlign w:val="center"/>
          </w:tcPr>
          <w:p w:rsidR="00BF14E0" w:rsidRPr="00395811" w:rsidRDefault="00BF14E0" w:rsidP="00395811">
            <w:pPr>
              <w:pStyle w:val="Tabletext"/>
              <w:rPr>
                <w:sz w:val="20"/>
                <w:lang w:val="en-US"/>
              </w:rPr>
            </w:pPr>
            <w:r w:rsidRPr="00395811">
              <w:rPr>
                <w:sz w:val="20"/>
                <w:lang w:val="en-US"/>
              </w:rPr>
              <w:t>VOR</w:t>
            </w:r>
          </w:p>
          <w:p w:rsidR="00BF14E0" w:rsidRPr="00395811" w:rsidRDefault="00BF14E0" w:rsidP="00395811">
            <w:pPr>
              <w:pStyle w:val="Tabletext"/>
              <w:rPr>
                <w:sz w:val="20"/>
                <w:lang w:val="en-US"/>
              </w:rPr>
            </w:pPr>
            <w:r w:rsidRPr="00395811">
              <w:rPr>
                <w:sz w:val="20"/>
                <w:lang w:val="en-US"/>
              </w:rPr>
              <w:t>40 kHz Raster</w:t>
            </w:r>
          </w:p>
          <w:p w:rsidR="00BF14E0" w:rsidRPr="00395811" w:rsidRDefault="00BF14E0" w:rsidP="00395811">
            <w:pPr>
              <w:pStyle w:val="Tabletext"/>
              <w:rPr>
                <w:sz w:val="20"/>
                <w:lang w:val="en-US"/>
              </w:rPr>
            </w:pPr>
            <w:r w:rsidRPr="00395811">
              <w:rPr>
                <w:sz w:val="20"/>
                <w:lang w:val="en-US"/>
              </w:rPr>
              <w:t>108-117.975 MHz</w:t>
            </w:r>
          </w:p>
        </w:tc>
        <w:tc>
          <w:tcPr>
            <w:tcW w:w="1620" w:type="dxa"/>
            <w:vAlign w:val="center"/>
          </w:tcPr>
          <w:p w:rsidR="00BF14E0" w:rsidRPr="00395811" w:rsidRDefault="00BF14E0" w:rsidP="00395811">
            <w:pPr>
              <w:pStyle w:val="Tabletext"/>
              <w:jc w:val="center"/>
              <w:rPr>
                <w:sz w:val="20"/>
                <w:lang w:val="en-US"/>
              </w:rPr>
            </w:pPr>
            <w:r w:rsidRPr="00395811">
              <w:rPr>
                <w:sz w:val="20"/>
                <w:lang w:val="en-US"/>
              </w:rPr>
              <w:t>39 dB(µV/m)</w:t>
            </w:r>
          </w:p>
        </w:tc>
        <w:tc>
          <w:tcPr>
            <w:tcW w:w="1620" w:type="dxa"/>
            <w:vAlign w:val="center"/>
          </w:tcPr>
          <w:p w:rsidR="00BF14E0" w:rsidRPr="00395811" w:rsidRDefault="00BF14E0" w:rsidP="00395811">
            <w:pPr>
              <w:pStyle w:val="Tabletext"/>
              <w:jc w:val="center"/>
              <w:rPr>
                <w:sz w:val="20"/>
                <w:lang w:val="en-US"/>
              </w:rPr>
            </w:pPr>
            <w:r w:rsidRPr="00395811">
              <w:rPr>
                <w:sz w:val="20"/>
                <w:lang w:val="en-US"/>
              </w:rPr>
              <w:t>13 dB</w:t>
            </w:r>
          </w:p>
        </w:tc>
        <w:tc>
          <w:tcPr>
            <w:tcW w:w="1980" w:type="dxa"/>
            <w:vAlign w:val="center"/>
          </w:tcPr>
          <w:p w:rsidR="00BF14E0" w:rsidRPr="00395811" w:rsidRDefault="00BF14E0" w:rsidP="00395811">
            <w:pPr>
              <w:pStyle w:val="Tabletext"/>
              <w:jc w:val="center"/>
              <w:rPr>
                <w:sz w:val="20"/>
                <w:lang w:val="en-US"/>
              </w:rPr>
            </w:pPr>
            <w:r w:rsidRPr="00395811">
              <w:rPr>
                <w:sz w:val="20"/>
                <w:lang w:val="en-US"/>
              </w:rPr>
              <w:t>26 dB(µV/m)</w:t>
            </w:r>
          </w:p>
        </w:tc>
      </w:tr>
      <w:tr w:rsidR="00BF14E0" w:rsidRPr="00395811" w:rsidTr="00BF14E0">
        <w:trPr>
          <w:jc w:val="center"/>
        </w:trPr>
        <w:tc>
          <w:tcPr>
            <w:tcW w:w="2050" w:type="dxa"/>
            <w:vAlign w:val="center"/>
          </w:tcPr>
          <w:p w:rsidR="00BF14E0" w:rsidRPr="00395811" w:rsidRDefault="00BF14E0" w:rsidP="00395811">
            <w:pPr>
              <w:pStyle w:val="Tabletext"/>
              <w:rPr>
                <w:sz w:val="20"/>
                <w:lang w:val="fr-CH"/>
              </w:rPr>
            </w:pPr>
            <w:r w:rsidRPr="00395811">
              <w:rPr>
                <w:sz w:val="20"/>
                <w:lang w:val="fr-CH"/>
              </w:rPr>
              <w:t>ILS −LOC</w:t>
            </w:r>
          </w:p>
          <w:p w:rsidR="00BF14E0" w:rsidRPr="00395811" w:rsidRDefault="00BF14E0" w:rsidP="00395811">
            <w:pPr>
              <w:pStyle w:val="Tabletext"/>
              <w:rPr>
                <w:sz w:val="20"/>
                <w:lang w:val="fr-CH"/>
              </w:rPr>
            </w:pPr>
            <w:r w:rsidRPr="00395811">
              <w:rPr>
                <w:sz w:val="20"/>
                <w:lang w:val="fr-CH"/>
              </w:rPr>
              <w:t>40 kHz Raster</w:t>
            </w:r>
          </w:p>
          <w:p w:rsidR="00BF14E0" w:rsidRPr="00395811" w:rsidRDefault="00BF14E0" w:rsidP="00395811">
            <w:pPr>
              <w:pStyle w:val="Tabletext"/>
              <w:rPr>
                <w:sz w:val="20"/>
                <w:lang w:val="fr-CH"/>
              </w:rPr>
            </w:pPr>
            <w:r w:rsidRPr="00395811">
              <w:rPr>
                <w:sz w:val="20"/>
                <w:lang w:val="fr-CH"/>
              </w:rPr>
              <w:t>108.1-111.95 MHz</w:t>
            </w:r>
          </w:p>
        </w:tc>
        <w:tc>
          <w:tcPr>
            <w:tcW w:w="1620" w:type="dxa"/>
            <w:vAlign w:val="center"/>
          </w:tcPr>
          <w:p w:rsidR="00BF14E0" w:rsidRPr="00395811" w:rsidRDefault="00BF14E0" w:rsidP="00395811">
            <w:pPr>
              <w:pStyle w:val="Tabletext"/>
              <w:jc w:val="center"/>
              <w:rPr>
                <w:sz w:val="20"/>
                <w:lang w:val="en-US"/>
              </w:rPr>
            </w:pPr>
            <w:r w:rsidRPr="00395811">
              <w:rPr>
                <w:sz w:val="20"/>
                <w:lang w:val="en-US"/>
              </w:rPr>
              <w:t>32 dB(µV/m)</w:t>
            </w:r>
          </w:p>
        </w:tc>
        <w:tc>
          <w:tcPr>
            <w:tcW w:w="1620" w:type="dxa"/>
            <w:vAlign w:val="center"/>
          </w:tcPr>
          <w:p w:rsidR="00BF14E0" w:rsidRPr="00395811" w:rsidRDefault="00BF14E0" w:rsidP="00395811">
            <w:pPr>
              <w:pStyle w:val="Tabletext"/>
              <w:jc w:val="center"/>
              <w:rPr>
                <w:sz w:val="20"/>
                <w:lang w:val="en-US"/>
              </w:rPr>
            </w:pPr>
            <w:r w:rsidRPr="00395811">
              <w:rPr>
                <w:sz w:val="20"/>
                <w:lang w:val="en-US"/>
              </w:rPr>
              <w:t>9 dB</w:t>
            </w:r>
          </w:p>
        </w:tc>
        <w:tc>
          <w:tcPr>
            <w:tcW w:w="1980" w:type="dxa"/>
            <w:vAlign w:val="center"/>
          </w:tcPr>
          <w:p w:rsidR="00BF14E0" w:rsidRPr="00395811" w:rsidRDefault="00BF14E0" w:rsidP="00395811">
            <w:pPr>
              <w:pStyle w:val="Tabletext"/>
              <w:jc w:val="center"/>
              <w:rPr>
                <w:sz w:val="20"/>
                <w:lang w:val="en-US"/>
              </w:rPr>
            </w:pPr>
            <w:r w:rsidRPr="00395811">
              <w:rPr>
                <w:sz w:val="20"/>
                <w:lang w:val="en-US"/>
              </w:rPr>
              <w:t>23 dB(µV/m)</w:t>
            </w:r>
          </w:p>
        </w:tc>
      </w:tr>
      <w:tr w:rsidR="00BF14E0" w:rsidRPr="00395811" w:rsidTr="00BF14E0">
        <w:trPr>
          <w:jc w:val="center"/>
        </w:trPr>
        <w:tc>
          <w:tcPr>
            <w:tcW w:w="2050" w:type="dxa"/>
            <w:vAlign w:val="center"/>
          </w:tcPr>
          <w:p w:rsidR="00BF14E0" w:rsidRPr="00395811" w:rsidRDefault="00BF14E0" w:rsidP="00395811">
            <w:pPr>
              <w:pStyle w:val="Tabletext"/>
              <w:rPr>
                <w:sz w:val="20"/>
                <w:lang w:val="en-US"/>
              </w:rPr>
            </w:pPr>
            <w:r w:rsidRPr="00395811">
              <w:rPr>
                <w:sz w:val="20"/>
                <w:lang w:val="en-US"/>
              </w:rPr>
              <w:t>VDL Mode 2</w:t>
            </w:r>
          </w:p>
          <w:p w:rsidR="00BF14E0" w:rsidRPr="00395811" w:rsidRDefault="00BF14E0" w:rsidP="00395811">
            <w:pPr>
              <w:pStyle w:val="Tabletext"/>
              <w:rPr>
                <w:sz w:val="20"/>
                <w:lang w:val="en-US"/>
              </w:rPr>
            </w:pPr>
            <w:r w:rsidRPr="00395811">
              <w:rPr>
                <w:sz w:val="20"/>
                <w:lang w:val="en-US"/>
              </w:rPr>
              <w:t>118-138 MHz</w:t>
            </w:r>
          </w:p>
        </w:tc>
        <w:tc>
          <w:tcPr>
            <w:tcW w:w="1620" w:type="dxa"/>
            <w:vAlign w:val="center"/>
          </w:tcPr>
          <w:p w:rsidR="00BF14E0" w:rsidRPr="00395811" w:rsidRDefault="00BF14E0" w:rsidP="00395811">
            <w:pPr>
              <w:pStyle w:val="Tabletext"/>
              <w:jc w:val="center"/>
              <w:rPr>
                <w:sz w:val="20"/>
                <w:lang w:val="en-US"/>
              </w:rPr>
            </w:pPr>
            <w:r w:rsidRPr="00395811">
              <w:rPr>
                <w:sz w:val="20"/>
                <w:lang w:val="en-US"/>
              </w:rPr>
              <w:t>39 dB(µV/m)</w:t>
            </w:r>
          </w:p>
        </w:tc>
        <w:tc>
          <w:tcPr>
            <w:tcW w:w="1620" w:type="dxa"/>
            <w:vAlign w:val="center"/>
          </w:tcPr>
          <w:p w:rsidR="00BF14E0" w:rsidRPr="00395811" w:rsidRDefault="00BF14E0" w:rsidP="00395811">
            <w:pPr>
              <w:pStyle w:val="Tabletext"/>
              <w:jc w:val="center"/>
              <w:rPr>
                <w:sz w:val="20"/>
                <w:lang w:val="en-US"/>
              </w:rPr>
            </w:pPr>
            <w:r w:rsidRPr="00395811">
              <w:rPr>
                <w:sz w:val="20"/>
                <w:lang w:val="en-US"/>
              </w:rPr>
              <w:t>9 dB</w:t>
            </w:r>
          </w:p>
        </w:tc>
        <w:tc>
          <w:tcPr>
            <w:tcW w:w="1980" w:type="dxa"/>
            <w:vAlign w:val="center"/>
          </w:tcPr>
          <w:p w:rsidR="00BF14E0" w:rsidRPr="00395811" w:rsidRDefault="00BF14E0" w:rsidP="00395811">
            <w:pPr>
              <w:pStyle w:val="Tabletext"/>
              <w:jc w:val="center"/>
              <w:rPr>
                <w:sz w:val="20"/>
                <w:lang w:val="en-US"/>
              </w:rPr>
            </w:pPr>
            <w:r w:rsidRPr="00395811">
              <w:rPr>
                <w:sz w:val="20"/>
                <w:lang w:val="en-US"/>
              </w:rPr>
              <w:t>30 dB(µV/m)</w:t>
            </w:r>
          </w:p>
        </w:tc>
      </w:tr>
    </w:tbl>
    <w:p w:rsidR="00BF14E0" w:rsidRPr="006A444B" w:rsidRDefault="00BF14E0" w:rsidP="00BF14E0">
      <w:pPr>
        <w:spacing w:before="0"/>
        <w:rPr>
          <w:lang w:val="en-US"/>
        </w:rPr>
      </w:pPr>
    </w:p>
    <w:p w:rsidR="00BF14E0" w:rsidRPr="006A444B" w:rsidRDefault="00BF14E0" w:rsidP="00BF14E0">
      <w:pPr>
        <w:pStyle w:val="Heading3"/>
        <w:rPr>
          <w:lang w:val="en-US"/>
        </w:rPr>
      </w:pPr>
      <w:bookmarkStart w:id="42" w:name="_Toc265129566"/>
      <w:r w:rsidRPr="006A444B">
        <w:rPr>
          <w:lang w:val="en-US"/>
        </w:rPr>
        <w:t>A2.2.2</w:t>
      </w:r>
      <w:r w:rsidRPr="006A444B">
        <w:rPr>
          <w:lang w:val="en-US"/>
        </w:rPr>
        <w:tab/>
        <w:t xml:space="preserve"> Calculation of interference threshold for PLT due to aeronautical requirements</w:t>
      </w:r>
      <w:bookmarkEnd w:id="42"/>
    </w:p>
    <w:p w:rsidR="00BF14E0" w:rsidRPr="006A444B" w:rsidRDefault="00BF14E0" w:rsidP="00BF14E0">
      <w:pPr>
        <w:pStyle w:val="Heading4"/>
        <w:rPr>
          <w:lang w:val="en-US"/>
        </w:rPr>
      </w:pPr>
      <w:bookmarkStart w:id="43" w:name="_Toc265129567"/>
      <w:r w:rsidRPr="006A444B">
        <w:rPr>
          <w:lang w:val="en-US"/>
        </w:rPr>
        <w:t>A2.2.2.1</w:t>
      </w:r>
      <w:r w:rsidRPr="006A444B">
        <w:rPr>
          <w:lang w:val="en-US"/>
        </w:rPr>
        <w:tab/>
        <w:t>Compatibility model</w:t>
      </w:r>
      <w:bookmarkEnd w:id="43"/>
    </w:p>
    <w:p w:rsidR="00BF14E0" w:rsidRPr="006A444B" w:rsidRDefault="00BF14E0" w:rsidP="00BF14E0">
      <w:pPr>
        <w:rPr>
          <w:lang w:val="en-US"/>
        </w:rPr>
      </w:pPr>
      <w:r w:rsidRPr="006A444B">
        <w:rPr>
          <w:lang w:val="en-US"/>
        </w:rPr>
        <w:t xml:space="preserve">To assess possible interference to airborne receivers due to aggregate effects from PLT sources the compatibility model from </w:t>
      </w:r>
      <w:r w:rsidRPr="006A444B">
        <w:rPr>
          <w:i/>
          <w:lang w:val="en-US"/>
        </w:rPr>
        <w:t>ECC Rep 024 Annex 7</w:t>
      </w:r>
      <w:r w:rsidRPr="006A444B">
        <w:rPr>
          <w:lang w:val="en-US"/>
        </w:rPr>
        <w:t xml:space="preserve"> </w:t>
      </w:r>
      <w:r w:rsidRPr="006A444B">
        <w:rPr>
          <w:rStyle w:val="FootnoteReference"/>
          <w:lang w:val="en-US"/>
        </w:rPr>
        <w:footnoteReference w:id="3"/>
      </w:r>
      <w:r w:rsidRPr="006A444B">
        <w:rPr>
          <w:lang w:val="en-US"/>
        </w:rPr>
        <w:t xml:space="preserve"> is used. This model considers the summation effects of a specific interferer surface in relation to the interferer density (interferer per square kilometre). The geometry is sketched in Fig. 1</w:t>
      </w:r>
      <w:r w:rsidRPr="006A444B">
        <w:rPr>
          <w:caps/>
          <w:lang w:val="en-US"/>
        </w:rPr>
        <w:t>.</w:t>
      </w:r>
      <w:r w:rsidRPr="006A444B">
        <w:rPr>
          <w:lang w:val="en-US"/>
        </w:rPr>
        <w:t xml:space="preserve"> The receiver in the aircraft sees an increased area of the apparent noise due to the aggregation.</w:t>
      </w:r>
    </w:p>
    <w:p w:rsidR="00BF14E0" w:rsidRPr="00395811" w:rsidRDefault="00BF14E0" w:rsidP="00395811">
      <w:pPr>
        <w:pStyle w:val="FigureNo"/>
        <w:rPr>
          <w:sz w:val="20"/>
        </w:rPr>
      </w:pPr>
      <w:r w:rsidRPr="00395811">
        <w:rPr>
          <w:sz w:val="20"/>
        </w:rPr>
        <w:t>figure 1</w:t>
      </w:r>
    </w:p>
    <w:p w:rsidR="00BF14E0" w:rsidRPr="00395811" w:rsidRDefault="00BF14E0" w:rsidP="00395811">
      <w:pPr>
        <w:pStyle w:val="Figuretitle"/>
        <w:rPr>
          <w:sz w:val="20"/>
        </w:rPr>
      </w:pPr>
      <w:r w:rsidRPr="00395811">
        <w:rPr>
          <w:sz w:val="20"/>
        </w:rPr>
        <w:t>Model for determination of the aggregate effect of interference</w:t>
      </w:r>
    </w:p>
    <w:p w:rsidR="00BF14E0" w:rsidRPr="006A444B" w:rsidRDefault="00566A7F" w:rsidP="00BF14E0">
      <w:pPr>
        <w:jc w:val="center"/>
        <w:rPr>
          <w:lang w:val="en-US"/>
        </w:rPr>
      </w:pPr>
      <w:r w:rsidRPr="00EF1C76">
        <w:rPr>
          <w:noProof/>
          <w:lang w:val="en-US"/>
        </w:rPr>
        <w:pict>
          <v:shape id="Picture 21" o:spid="_x0000_i1069" type="#_x0000_t75" style="width:285pt;height:162pt;visibility:visible">
            <v:imagedata r:id="rId56" o:title=""/>
          </v:shape>
        </w:pict>
      </w:r>
    </w:p>
    <w:p w:rsidR="00BF14E0" w:rsidRPr="006A444B" w:rsidRDefault="00BF14E0" w:rsidP="00BF14E0">
      <w:pPr>
        <w:spacing w:before="0"/>
        <w:rPr>
          <w:lang w:val="en-US"/>
        </w:rPr>
      </w:pPr>
    </w:p>
    <w:p w:rsidR="00BF14E0" w:rsidRPr="006A444B" w:rsidRDefault="00BF14E0" w:rsidP="00BF14E0">
      <w:pPr>
        <w:rPr>
          <w:lang w:val="en-US"/>
        </w:rPr>
      </w:pPr>
      <w:r w:rsidRPr="006A444B">
        <w:rPr>
          <w:lang w:val="en-US"/>
        </w:rPr>
        <w:t>For single interference which hits the receiver directly (free space propagation</w:t>
      </w:r>
      <w:r w:rsidRPr="006A444B">
        <w:rPr>
          <w:bCs/>
          <w:iCs/>
          <w:lang w:val="en-US"/>
        </w:rPr>
        <w:t xml:space="preserve">), the path length </w:t>
      </w:r>
      <w:r w:rsidRPr="006A444B">
        <w:rPr>
          <w:bCs/>
          <w:i/>
          <w:iCs/>
          <w:lang w:val="en-US"/>
        </w:rPr>
        <w:t xml:space="preserve">l </w:t>
      </w:r>
      <w:r w:rsidRPr="006A444B">
        <w:rPr>
          <w:bCs/>
          <w:iCs/>
          <w:lang w:val="en-US"/>
        </w:rPr>
        <w:t>can be determined by:</w:t>
      </w:r>
    </w:p>
    <w:p w:rsidR="00BF14E0" w:rsidRPr="006A444B" w:rsidRDefault="00BF14E0" w:rsidP="00BF14E0">
      <w:pPr>
        <w:pStyle w:val="Equation"/>
        <w:rPr>
          <w:lang w:val="en-US"/>
        </w:rPr>
      </w:pPr>
      <w:r w:rsidRPr="006A444B">
        <w:rPr>
          <w:lang w:val="en-US"/>
        </w:rPr>
        <w:tab/>
      </w:r>
      <w:r w:rsidRPr="006A444B">
        <w:rPr>
          <w:lang w:val="en-US"/>
        </w:rPr>
        <w:tab/>
      </w:r>
      <w:r w:rsidR="00566A7F" w:rsidRPr="00EF1C76">
        <w:rPr>
          <w:noProof/>
          <w:lang w:val="en-US"/>
        </w:rPr>
        <w:pict>
          <v:shape id="Picture 22" o:spid="_x0000_i1070" type="#_x0000_t75" style="width:79.5pt;height:34.5pt;visibility:visible">
            <v:imagedata r:id="rId57" o:title=""/>
          </v:shape>
        </w:pict>
      </w:r>
    </w:p>
    <w:p w:rsidR="00BF14E0" w:rsidRPr="006A444B" w:rsidRDefault="00BF14E0" w:rsidP="00BF14E0">
      <w:pPr>
        <w:pStyle w:val="Equation"/>
        <w:rPr>
          <w:lang w:val="en-US"/>
        </w:rPr>
      </w:pPr>
      <w:r w:rsidRPr="006A444B">
        <w:rPr>
          <w:lang w:val="en-US"/>
        </w:rPr>
        <w:tab/>
      </w:r>
      <w:r w:rsidRPr="006A444B">
        <w:rPr>
          <w:lang w:val="en-US"/>
        </w:rPr>
        <w:tab/>
        <w:t xml:space="preserve"> </w:t>
      </w:r>
      <w:r w:rsidR="00566A7F" w:rsidRPr="00EF1C76">
        <w:rPr>
          <w:noProof/>
          <w:lang w:val="en-US"/>
        </w:rPr>
        <w:pict>
          <v:shape id="Picture 23" o:spid="_x0000_i1071" type="#_x0000_t75" style="width:245.25pt;height:27.75pt;visibility:visible">
            <v:imagedata r:id="rId58" o:title=""/>
          </v:shape>
        </w:pict>
      </w:r>
    </w:p>
    <w:p w:rsidR="00BF14E0" w:rsidRPr="006A444B" w:rsidRDefault="00BF14E0" w:rsidP="00395811">
      <w:pPr>
        <w:spacing w:before="360"/>
        <w:rPr>
          <w:lang w:val="en-US"/>
        </w:rPr>
      </w:pPr>
      <w:r w:rsidRPr="006A444B">
        <w:rPr>
          <w:lang w:val="en-US"/>
        </w:rPr>
        <w:t xml:space="preserve">Where the values of </w:t>
      </w:r>
      <w:r w:rsidR="00EF1C76" w:rsidRPr="00EF1C76">
        <w:rPr>
          <w:noProof/>
          <w:position w:val="-4"/>
          <w:lang w:val="en-US"/>
        </w:rPr>
        <w:pict>
          <v:shape id="Picture 24" o:spid="_x0000_i1072" type="#_x0000_t75" style="width:9pt;height:9pt;visibility:visible">
            <v:imagedata r:id="rId59" o:title=""/>
          </v:shape>
        </w:pict>
      </w:r>
      <w:r w:rsidRPr="006A444B">
        <w:rPr>
          <w:lang w:val="en-US"/>
        </w:rPr>
        <w:t xml:space="preserve"> and </w:t>
      </w:r>
      <w:r w:rsidR="00EF1C76" w:rsidRPr="00EF1C76">
        <w:rPr>
          <w:noProof/>
          <w:position w:val="-4"/>
          <w:lang w:val="en-US"/>
        </w:rPr>
        <w:pict>
          <v:shape id="Picture 25" o:spid="_x0000_i1073" type="#_x0000_t75" style="width:6pt;height:12pt;visibility:visible">
            <v:imagedata r:id="rId60" o:title=""/>
          </v:shape>
        </w:pict>
      </w:r>
      <w:r w:rsidRPr="006A444B">
        <w:rPr>
          <w:lang w:val="en-US"/>
        </w:rPr>
        <w:t xml:space="preserve"> are physically constrained by the Earth curvature: </w:t>
      </w:r>
    </w:p>
    <w:p w:rsidR="00BF14E0" w:rsidRPr="006A444B" w:rsidRDefault="00BF14E0" w:rsidP="00BF14E0">
      <w:pPr>
        <w:pStyle w:val="Equation"/>
        <w:rPr>
          <w:lang w:val="en-US"/>
        </w:rPr>
      </w:pPr>
      <w:r w:rsidRPr="006A444B">
        <w:rPr>
          <w:lang w:val="en-US"/>
        </w:rPr>
        <w:tab/>
      </w:r>
      <w:r w:rsidRPr="006A444B">
        <w:rPr>
          <w:lang w:val="en-US"/>
        </w:rPr>
        <w:tab/>
      </w:r>
      <w:r w:rsidR="00EF1C76" w:rsidRPr="00EF1C76">
        <w:rPr>
          <w:noProof/>
          <w:lang w:val="en-US"/>
        </w:rPr>
        <w:pict>
          <v:shape id="Picture 26" o:spid="_x0000_i1074" type="#_x0000_t75" style="width:150pt;height:15pt;visibility:visible">
            <v:imagedata r:id="rId61" o:title=""/>
          </v:shape>
        </w:pict>
      </w:r>
      <w:r w:rsidRPr="006A444B">
        <w:rPr>
          <w:lang w:val="en-US"/>
        </w:rPr>
        <w:t xml:space="preserve"> and </w:t>
      </w:r>
      <w:r w:rsidR="00EF1C76" w:rsidRPr="00EF1C76">
        <w:rPr>
          <w:noProof/>
          <w:lang w:val="en-US"/>
        </w:rPr>
        <w:pict>
          <v:shape id="Picture 27" o:spid="_x0000_i1075" type="#_x0000_t75" style="width:90pt;height:17.25pt;visibility:visible">
            <v:imagedata r:id="rId62" o:title=""/>
          </v:shape>
        </w:pict>
      </w:r>
      <w:r w:rsidRPr="006A444B">
        <w:rPr>
          <w:lang w:val="en-US"/>
        </w:rPr>
        <w:t xml:space="preserve"> respectively</w:t>
      </w:r>
    </w:p>
    <w:p w:rsidR="00BF14E0" w:rsidRPr="006A444B" w:rsidRDefault="00BF14E0" w:rsidP="00BF14E0">
      <w:pPr>
        <w:pStyle w:val="Equation"/>
        <w:rPr>
          <w:lang w:val="en-US"/>
        </w:rPr>
      </w:pPr>
      <w:r w:rsidRPr="006A444B">
        <w:rPr>
          <w:lang w:val="en-US"/>
        </w:rPr>
        <w:tab/>
      </w:r>
      <w:r w:rsidRPr="006A444B">
        <w:rPr>
          <w:lang w:val="en-US"/>
        </w:rPr>
        <w:tab/>
      </w:r>
      <w:r w:rsidR="00566A7F" w:rsidRPr="00EF1C76">
        <w:rPr>
          <w:noProof/>
          <w:lang w:val="en-US"/>
        </w:rPr>
        <w:pict>
          <v:shape id="Picture 28" o:spid="_x0000_i1076" type="#_x0000_t75" style="width:29.25pt;height:38.25pt;visibility:visible">
            <v:imagedata r:id="rId63" o:title=""/>
          </v:shape>
        </w:pict>
      </w:r>
      <w:r w:rsidR="00566A7F" w:rsidRPr="00EF1C76">
        <w:rPr>
          <w:noProof/>
          <w:lang w:val="en-US"/>
        </w:rPr>
        <w:pict>
          <v:shape id="Picture 29" o:spid="_x0000_i1077" type="#_x0000_t75" style="width:254.25pt;height:39pt;visibility:visible">
            <v:imagedata r:id="rId64" o:title=""/>
          </v:shape>
        </w:pict>
      </w:r>
    </w:p>
    <w:p w:rsidR="00BF14E0" w:rsidRPr="006A444B" w:rsidRDefault="00BF14E0" w:rsidP="00BF14E0">
      <w:pPr>
        <w:pStyle w:val="Equation"/>
        <w:rPr>
          <w:lang w:val="en-US"/>
        </w:rPr>
      </w:pPr>
      <w:r w:rsidRPr="006A444B">
        <w:rPr>
          <w:lang w:val="en-US"/>
        </w:rPr>
        <w:tab/>
      </w:r>
      <w:r w:rsidRPr="006A444B">
        <w:rPr>
          <w:lang w:val="en-US"/>
        </w:rPr>
        <w:tab/>
      </w:r>
      <w:r w:rsidR="00566A7F" w:rsidRPr="00EF1C76">
        <w:rPr>
          <w:noProof/>
          <w:lang w:val="en-US"/>
        </w:rPr>
        <w:pict>
          <v:shape id="Picture 30" o:spid="_x0000_i1078" type="#_x0000_t75" style="width:24pt;height:52.5pt;visibility:visible">
            <v:imagedata r:id="rId65" o:title=""/>
          </v:shape>
        </w:pict>
      </w:r>
      <w:r w:rsidRPr="006A444B">
        <w:rPr>
          <w:lang w:val="en-US"/>
        </w:rPr>
        <w:t xml:space="preserve"> </w:t>
      </w:r>
      <w:r w:rsidR="00566A7F" w:rsidRPr="00EF1C76">
        <w:rPr>
          <w:noProof/>
          <w:lang w:val="en-US"/>
        </w:rPr>
        <w:pict>
          <v:shape id="Picture 31" o:spid="_x0000_i1079" type="#_x0000_t75" style="width:371.25pt;height:57pt;visibility:visible">
            <v:imagedata r:id="rId66" o:title=""/>
          </v:shape>
        </w:pict>
      </w:r>
    </w:p>
    <w:p w:rsidR="00BF14E0" w:rsidRPr="006A444B" w:rsidRDefault="00BF14E0" w:rsidP="00395811">
      <w:pPr>
        <w:spacing w:before="360"/>
        <w:rPr>
          <w:lang w:val="en-US"/>
        </w:rPr>
      </w:pPr>
      <w:r w:rsidRPr="006A444B">
        <w:rPr>
          <w:lang w:val="en-US"/>
        </w:rPr>
        <w:t xml:space="preserve">and, for the normalized form: </w:t>
      </w:r>
    </w:p>
    <w:p w:rsidR="00BF14E0" w:rsidRPr="006A444B" w:rsidRDefault="00BF14E0" w:rsidP="00BF14E0">
      <w:pPr>
        <w:pStyle w:val="Equation"/>
        <w:rPr>
          <w:lang w:val="en-US"/>
        </w:rPr>
      </w:pPr>
      <w:r w:rsidRPr="006A444B">
        <w:rPr>
          <w:lang w:val="en-US"/>
        </w:rPr>
        <w:tab/>
      </w:r>
      <w:r w:rsidRPr="006A444B">
        <w:rPr>
          <w:lang w:val="en-US"/>
        </w:rPr>
        <w:tab/>
      </w:r>
      <w:r w:rsidR="00566A7F" w:rsidRPr="00EF1C76">
        <w:rPr>
          <w:noProof/>
          <w:lang w:val="en-US"/>
        </w:rPr>
        <w:pict>
          <v:shape id="Picture 32" o:spid="_x0000_i1080" type="#_x0000_t75" style="width:352.5pt;height:45pt;visibility:visible">
            <v:imagedata r:id="rId67" o:title=""/>
          </v:shape>
        </w:pict>
      </w:r>
    </w:p>
    <w:p w:rsidR="00BF14E0" w:rsidRPr="006A444B" w:rsidRDefault="00BF14E0" w:rsidP="00BF14E0">
      <w:pPr>
        <w:pStyle w:val="Heading4"/>
        <w:rPr>
          <w:lang w:val="en-US"/>
        </w:rPr>
      </w:pPr>
      <w:bookmarkStart w:id="44" w:name="_Toc265129568"/>
      <w:r w:rsidRPr="006A444B">
        <w:rPr>
          <w:lang w:val="en-US"/>
        </w:rPr>
        <w:t>A2.2.2.2</w:t>
      </w:r>
      <w:r w:rsidRPr="006A444B">
        <w:rPr>
          <w:lang w:val="en-US"/>
        </w:rPr>
        <w:tab/>
        <w:t>Assumptions</w:t>
      </w:r>
      <w:bookmarkEnd w:id="44"/>
    </w:p>
    <w:p w:rsidR="00BF14E0" w:rsidRPr="006A444B" w:rsidRDefault="00BF14E0" w:rsidP="00BF14E0">
      <w:pPr>
        <w:rPr>
          <w:lang w:val="en-US"/>
        </w:rPr>
      </w:pPr>
      <w:r w:rsidRPr="006A444B">
        <w:rPr>
          <w:lang w:val="en-US"/>
        </w:rPr>
        <w:t xml:space="preserve">To illustrate the impact on the airborne receiver, </w:t>
      </w:r>
      <w:smartTag w:uri="urn:schemas-microsoft-com:office:smarttags" w:element="State">
        <w:smartTag w:uri="urn:schemas-microsoft-com:office:smarttags" w:element="place">
          <w:r w:rsidRPr="006A444B">
            <w:rPr>
              <w:lang w:val="en-US"/>
            </w:rPr>
            <w:t>Berlin</w:t>
          </w:r>
        </w:smartTag>
      </w:smartTag>
      <w:r w:rsidRPr="006A444B">
        <w:rPr>
          <w:lang w:val="en-US"/>
        </w:rPr>
        <w:t xml:space="preserve"> and its statistical data were used as example: </w:t>
      </w:r>
    </w:p>
    <w:p w:rsidR="00395811" w:rsidRDefault="00BF14E0" w:rsidP="00BF14E0">
      <w:pPr>
        <w:pStyle w:val="enumlev1"/>
        <w:rPr>
          <w:lang w:val="en-US"/>
        </w:rPr>
      </w:pPr>
      <w:r w:rsidRPr="006A444B">
        <w:rPr>
          <w:lang w:val="en-US"/>
        </w:rPr>
        <w:tab/>
        <w:t>The city has an area of 900 km²; the average area for a building is 1.16*10</w:t>
      </w:r>
      <w:r w:rsidRPr="006A444B">
        <w:rPr>
          <w:vertAlign w:val="superscript"/>
          <w:lang w:val="en-US"/>
        </w:rPr>
        <w:t>−3</w:t>
      </w:r>
      <w:r w:rsidRPr="006A444B">
        <w:rPr>
          <w:lang w:val="en-US"/>
        </w:rPr>
        <w:t xml:space="preserve"> km². 40% of the area is covered with buildings (360 km²), so you have </w:t>
      </w:r>
      <w:r w:rsidR="00395811">
        <w:rPr>
          <w:lang w:val="en-US"/>
        </w:rPr>
        <w:t>860 buildings/km². On average a </w:t>
      </w:r>
      <w:r w:rsidRPr="006A444B">
        <w:rPr>
          <w:lang w:val="en-US"/>
        </w:rPr>
        <w:t xml:space="preserve">building has 6 flats that mean 5 200 interferer/km². As an assumption 10% of the flats are featured with broadband internet access via PLT, the interferer are reduced to </w:t>
      </w:r>
    </w:p>
    <w:p w:rsidR="00395811" w:rsidRDefault="00395811">
      <w:pPr>
        <w:tabs>
          <w:tab w:val="clear" w:pos="794"/>
          <w:tab w:val="clear" w:pos="1191"/>
          <w:tab w:val="clear" w:pos="1588"/>
          <w:tab w:val="clear" w:pos="1985"/>
        </w:tabs>
        <w:overflowPunct/>
        <w:autoSpaceDE/>
        <w:autoSpaceDN/>
        <w:adjustRightInd/>
        <w:spacing w:before="0"/>
        <w:textAlignment w:val="auto"/>
        <w:rPr>
          <w:lang w:val="en-US"/>
        </w:rPr>
      </w:pPr>
    </w:p>
    <w:p w:rsidR="00BF14E0" w:rsidRPr="006A444B" w:rsidRDefault="00395811" w:rsidP="00BF14E0">
      <w:pPr>
        <w:pStyle w:val="enumlev1"/>
        <w:rPr>
          <w:lang w:val="en-US"/>
        </w:rPr>
      </w:pPr>
      <w:r>
        <w:rPr>
          <w:lang w:val="en-US"/>
        </w:rPr>
        <w:tab/>
      </w:r>
      <w:r w:rsidR="00BF14E0" w:rsidRPr="006A444B">
        <w:rPr>
          <w:lang w:val="en-US"/>
        </w:rPr>
        <w:t xml:space="preserve">500 interferer/km². Not all PLT modems will be used at the same time. For that point we reduce the interferer density by 50%. That means, the interferer density is about 250 interferer/km² for a city like </w:t>
      </w:r>
      <w:smartTag w:uri="urn:schemas-microsoft-com:office:smarttags" w:element="place">
        <w:smartTag w:uri="urn:schemas-microsoft-com:office:smarttags" w:element="State">
          <w:r w:rsidR="00BF14E0" w:rsidRPr="006A444B">
            <w:rPr>
              <w:lang w:val="en-US"/>
            </w:rPr>
            <w:t>Berlin</w:t>
          </w:r>
        </w:smartTag>
      </w:smartTag>
      <w:r w:rsidR="00BF14E0" w:rsidRPr="006A444B">
        <w:rPr>
          <w:lang w:val="en-US"/>
        </w:rPr>
        <w:t>.</w:t>
      </w:r>
    </w:p>
    <w:p w:rsidR="00BF14E0" w:rsidRPr="006A444B" w:rsidRDefault="00BF14E0" w:rsidP="00BF14E0">
      <w:pPr>
        <w:pStyle w:val="Heading4"/>
        <w:rPr>
          <w:lang w:val="en-US"/>
        </w:rPr>
      </w:pPr>
      <w:bookmarkStart w:id="45" w:name="_Toc265129569"/>
      <w:r w:rsidRPr="006A444B">
        <w:rPr>
          <w:lang w:val="en-US"/>
        </w:rPr>
        <w:t>A2.2.2.3</w:t>
      </w:r>
      <w:r w:rsidRPr="006A444B">
        <w:rPr>
          <w:lang w:val="en-US"/>
        </w:rPr>
        <w:tab/>
        <w:t>Calculation</w:t>
      </w:r>
      <w:bookmarkEnd w:id="45"/>
    </w:p>
    <w:p w:rsidR="00BF14E0" w:rsidRPr="006A444B" w:rsidRDefault="00BF14E0" w:rsidP="00BF14E0">
      <w:pPr>
        <w:rPr>
          <w:lang w:val="en-US"/>
        </w:rPr>
      </w:pPr>
      <w:r w:rsidRPr="006A444B">
        <w:rPr>
          <w:lang w:val="en-US"/>
        </w:rPr>
        <w:t>Using the maximum permissible interference field strength in Table 1</w:t>
      </w:r>
      <w:r w:rsidRPr="006A444B">
        <w:rPr>
          <w:b/>
          <w:lang w:val="en-US"/>
        </w:rPr>
        <w:t>,</w:t>
      </w:r>
      <w:r w:rsidRPr="006A444B">
        <w:rPr>
          <w:lang w:val="en-US"/>
        </w:rPr>
        <w:t xml:space="preserve"> the permitted power flux-density, </w:t>
      </w:r>
      <w:r w:rsidRPr="006A444B">
        <w:rPr>
          <w:i/>
          <w:lang w:val="en-US"/>
        </w:rPr>
        <w:t>PFD</w:t>
      </w:r>
      <w:r w:rsidRPr="006A444B">
        <w:rPr>
          <w:lang w:val="en-US"/>
        </w:rPr>
        <w:t>, at the receiver can be calculated:</w:t>
      </w:r>
    </w:p>
    <w:p w:rsidR="00BF14E0" w:rsidRPr="006A444B" w:rsidRDefault="00BF14E0" w:rsidP="00BF14E0">
      <w:pPr>
        <w:pStyle w:val="Equation"/>
        <w:jc w:val="center"/>
        <w:rPr>
          <w:lang w:val="en-US"/>
        </w:rPr>
      </w:pPr>
      <w:r w:rsidRPr="006A444B">
        <w:rPr>
          <w:lang w:val="en-US"/>
        </w:rPr>
        <w:object w:dxaOrig="1340" w:dyaOrig="660">
          <v:shape id="_x0000_i1081" type="#_x0000_t75" style="width:66.75pt;height:33.75pt" o:ole="">
            <v:imagedata r:id="rId68" o:title=""/>
          </v:shape>
          <o:OLEObject Type="Embed" ProgID="Equation.3" ShapeID="_x0000_i1081" DrawAspect="Content" ObjectID="_1340453065" r:id="rId69"/>
        </w:object>
      </w:r>
    </w:p>
    <w:p w:rsidR="00BF14E0" w:rsidRPr="006A444B" w:rsidRDefault="00BF14E0" w:rsidP="00BF14E0">
      <w:pPr>
        <w:rPr>
          <w:lang w:val="en-US"/>
        </w:rPr>
      </w:pPr>
      <w:r w:rsidRPr="006A444B">
        <w:rPr>
          <w:lang w:val="en-US"/>
        </w:rPr>
        <w:t>where:</w:t>
      </w:r>
    </w:p>
    <w:p w:rsidR="00BF14E0" w:rsidRPr="006A444B" w:rsidRDefault="00BF14E0" w:rsidP="00BF14E0">
      <w:pPr>
        <w:pStyle w:val="Equationlegend"/>
        <w:rPr>
          <w:lang w:val="en-US"/>
        </w:rPr>
      </w:pPr>
      <w:r w:rsidRPr="006A444B">
        <w:rPr>
          <w:lang w:val="en-US"/>
        </w:rPr>
        <w:tab/>
      </w:r>
      <w:r w:rsidRPr="006A444B">
        <w:rPr>
          <w:i/>
          <w:iCs/>
          <w:lang w:val="en-US"/>
        </w:rPr>
        <w:t>PFD</w:t>
      </w:r>
      <w:r w:rsidRPr="006A444B">
        <w:rPr>
          <w:lang w:val="en-US"/>
        </w:rPr>
        <w:t>:</w:t>
      </w:r>
      <w:r w:rsidRPr="006A444B">
        <w:rPr>
          <w:lang w:val="en-US"/>
        </w:rPr>
        <w:tab/>
        <w:t>power flux-density in W/m²</w:t>
      </w:r>
      <w:r w:rsidR="00395811">
        <w:rPr>
          <w:lang w:val="en-US"/>
        </w:rPr>
        <w:t>;</w:t>
      </w:r>
    </w:p>
    <w:p w:rsidR="00BF14E0" w:rsidRPr="006A444B" w:rsidRDefault="00BF14E0" w:rsidP="00BF14E0">
      <w:pPr>
        <w:pStyle w:val="Equationlegend"/>
        <w:rPr>
          <w:lang w:val="en-US"/>
        </w:rPr>
      </w:pPr>
      <w:r w:rsidRPr="006A444B">
        <w:rPr>
          <w:lang w:val="en-US"/>
        </w:rPr>
        <w:tab/>
      </w:r>
      <w:r w:rsidRPr="006A444B">
        <w:rPr>
          <w:i/>
          <w:iCs/>
          <w:lang w:val="en-US"/>
        </w:rPr>
        <w:t>E</w:t>
      </w:r>
      <w:r w:rsidRPr="006A444B">
        <w:rPr>
          <w:lang w:val="en-US"/>
        </w:rPr>
        <w:t>:</w:t>
      </w:r>
      <w:r w:rsidRPr="006A444B">
        <w:rPr>
          <w:lang w:val="en-US"/>
        </w:rPr>
        <w:tab/>
        <w:t>maximum permissible interference field strength field in V/m</w:t>
      </w:r>
      <w:r w:rsidR="00395811">
        <w:rPr>
          <w:lang w:val="en-US"/>
        </w:rPr>
        <w:t>.</w:t>
      </w:r>
    </w:p>
    <w:p w:rsidR="00BF14E0" w:rsidRPr="006A444B" w:rsidRDefault="00BF14E0" w:rsidP="00BF14E0">
      <w:pPr>
        <w:rPr>
          <w:lang w:val="en-US"/>
        </w:rPr>
      </w:pPr>
      <w:r w:rsidRPr="006A444B">
        <w:rPr>
          <w:lang w:val="en-US"/>
        </w:rPr>
        <w:t xml:space="preserve">By using the compatibility model described in section 3.1 the permitted radiating power of one PLT noise source can be calculated then. </w:t>
      </w:r>
    </w:p>
    <w:p w:rsidR="00BF14E0" w:rsidRPr="006A444B" w:rsidRDefault="00BF14E0" w:rsidP="00BF14E0">
      <w:pPr>
        <w:rPr>
          <w:lang w:val="en-US"/>
        </w:rPr>
      </w:pPr>
    </w:p>
    <w:p w:rsidR="00BF14E0" w:rsidRPr="006A444B" w:rsidRDefault="00EF1C76" w:rsidP="00BF14E0">
      <w:pPr>
        <w:framePr w:w="2426" w:h="255" w:wrap="auto" w:vAnchor="text" w:hAnchor="page" w:x="1418" w:y="13"/>
        <w:rPr>
          <w:rFonts w:ascii="Arial" w:hAnsi="Arial"/>
          <w:sz w:val="20"/>
          <w:lang w:val="en-US"/>
        </w:rPr>
      </w:pPr>
      <w:r w:rsidRPr="00EF1C76">
        <w:rPr>
          <w:rFonts w:ascii="Arial" w:hAnsi="Arial"/>
          <w:noProof/>
          <w:position w:val="-7"/>
          <w:sz w:val="20"/>
          <w:lang w:val="en-US"/>
        </w:rPr>
        <w:pict>
          <v:shape id="Picture 34" o:spid="_x0000_i1082" type="#_x0000_t75" style="width:40.5pt;height:12.75pt;visibility:visible">
            <v:imagedata r:id="rId70" o:title=""/>
          </v:shape>
        </w:pict>
      </w:r>
    </w:p>
    <w:p w:rsidR="00BF14E0" w:rsidRPr="006A444B" w:rsidRDefault="00EF1C76" w:rsidP="00BF14E0">
      <w:pPr>
        <w:framePr w:w="2676" w:h="330" w:wrap="auto" w:vAnchor="text" w:hAnchor="page" w:x="2858" w:y="-1"/>
        <w:rPr>
          <w:rFonts w:ascii="Arial" w:hAnsi="Arial"/>
          <w:sz w:val="20"/>
          <w:lang w:val="en-US"/>
        </w:rPr>
      </w:pPr>
      <w:r w:rsidRPr="00EF1C76">
        <w:rPr>
          <w:rFonts w:ascii="Arial" w:hAnsi="Arial"/>
          <w:noProof/>
          <w:position w:val="-15"/>
          <w:sz w:val="20"/>
          <w:lang w:val="en-US"/>
        </w:rPr>
        <w:pict>
          <v:shape id="Picture 35" o:spid="_x0000_i1083" type="#_x0000_t75" style="width:58.5pt;height:16.5pt;visibility:visible">
            <v:imagedata r:id="rId71" o:title=""/>
          </v:shape>
        </w:pict>
      </w:r>
    </w:p>
    <w:p w:rsidR="00BF14E0" w:rsidRPr="006A444B" w:rsidRDefault="00EF1C76" w:rsidP="00BF14E0">
      <w:pPr>
        <w:framePr w:w="2451" w:h="330" w:wrap="auto" w:vAnchor="text" w:hAnchor="page" w:x="7718" w:y="13"/>
        <w:rPr>
          <w:rFonts w:ascii="Arial" w:hAnsi="Arial"/>
          <w:sz w:val="20"/>
          <w:lang w:val="en-US"/>
        </w:rPr>
      </w:pPr>
      <w:r w:rsidRPr="00EF1C76">
        <w:rPr>
          <w:rFonts w:ascii="Arial" w:hAnsi="Arial"/>
          <w:noProof/>
          <w:position w:val="-15"/>
          <w:sz w:val="20"/>
          <w:lang w:val="en-US"/>
        </w:rPr>
        <w:pict>
          <v:shape id="Picture 36" o:spid="_x0000_i1084" type="#_x0000_t75" style="width:67.5pt;height:16.5pt;visibility:visible">
            <v:imagedata r:id="rId72" o:title=""/>
          </v:shape>
        </w:pict>
      </w:r>
    </w:p>
    <w:p w:rsidR="00BF14E0" w:rsidRPr="006A444B" w:rsidRDefault="00EF1C76" w:rsidP="00BF14E0">
      <w:pPr>
        <w:framePr w:w="1582" w:h="675" w:wrap="auto" w:vAnchor="text" w:hAnchor="page" w:x="5198" w:y="-173"/>
        <w:rPr>
          <w:rFonts w:ascii="Arial" w:hAnsi="Arial"/>
          <w:sz w:val="20"/>
          <w:lang w:val="en-US"/>
        </w:rPr>
      </w:pPr>
      <w:r w:rsidRPr="00EF1C76">
        <w:rPr>
          <w:rFonts w:ascii="Arial" w:hAnsi="Arial"/>
          <w:noProof/>
          <w:position w:val="-36"/>
          <w:sz w:val="20"/>
          <w:lang w:val="en-US"/>
        </w:rPr>
        <w:pict>
          <v:shape id="Picture 37" o:spid="_x0000_i1085" type="#_x0000_t75" style="width:39pt;height:33.75pt;visibility:visible">
            <v:imagedata r:id="rId73" o:title=""/>
          </v:shape>
        </w:pict>
      </w:r>
    </w:p>
    <w:p w:rsidR="00BF14E0" w:rsidRPr="006A444B" w:rsidRDefault="00BF14E0" w:rsidP="00BF14E0">
      <w:pPr>
        <w:rPr>
          <w:lang w:val="en-US"/>
        </w:rPr>
      </w:pPr>
    </w:p>
    <w:p w:rsidR="00BF14E0" w:rsidRPr="006A444B" w:rsidRDefault="00EF1C76" w:rsidP="00BF14E0">
      <w:pPr>
        <w:framePr w:w="6569" w:h="2085" w:wrap="auto" w:vAnchor="text" w:hAnchor="page" w:x="2701" w:y="400"/>
        <w:jc w:val="center"/>
        <w:rPr>
          <w:rFonts w:ascii="Arial" w:hAnsi="Arial"/>
          <w:sz w:val="20"/>
          <w:lang w:val="en-US"/>
        </w:rPr>
      </w:pPr>
      <w:r w:rsidRPr="00EF1C76">
        <w:rPr>
          <w:rFonts w:ascii="Arial" w:hAnsi="Arial"/>
          <w:noProof/>
          <w:position w:val="-177"/>
          <w:sz w:val="20"/>
          <w:lang w:val="en-US"/>
        </w:rPr>
        <w:pict>
          <v:shape id="Picture 38" o:spid="_x0000_i1086" type="#_x0000_t75" style="width:312.75pt;height:104.25pt;visibility:visible">
            <v:imagedata r:id="rId74" o:title=""/>
          </v:shape>
        </w:pict>
      </w:r>
    </w:p>
    <w:p w:rsidR="00BF14E0" w:rsidRPr="006A444B" w:rsidRDefault="00BF14E0" w:rsidP="00BF14E0">
      <w:pPr>
        <w:jc w:val="center"/>
        <w:rPr>
          <w:lang w:val="en-US"/>
        </w:rPr>
      </w:pPr>
    </w:p>
    <w:p w:rsidR="00BF14E0" w:rsidRPr="006A444B" w:rsidRDefault="00BF14E0" w:rsidP="00BF14E0">
      <w:pPr>
        <w:rPr>
          <w:lang w:val="en-US"/>
        </w:rPr>
      </w:pPr>
    </w:p>
    <w:p w:rsidR="00BF14E0" w:rsidRPr="006A444B" w:rsidRDefault="00BF14E0" w:rsidP="00BF14E0">
      <w:pPr>
        <w:rPr>
          <w:lang w:val="en-US"/>
        </w:rPr>
      </w:pPr>
    </w:p>
    <w:p w:rsidR="00BF14E0" w:rsidRPr="006A444B" w:rsidRDefault="00BF14E0" w:rsidP="00BF14E0">
      <w:pPr>
        <w:rPr>
          <w:lang w:val="en-US"/>
        </w:rPr>
      </w:pPr>
    </w:p>
    <w:p w:rsidR="00BF14E0" w:rsidRPr="006A444B" w:rsidRDefault="00BF14E0" w:rsidP="00BF14E0">
      <w:pPr>
        <w:rPr>
          <w:lang w:val="en-US"/>
        </w:rPr>
      </w:pPr>
    </w:p>
    <w:p w:rsidR="00BF14E0" w:rsidRPr="006A444B" w:rsidRDefault="00BF14E0" w:rsidP="00BF14E0">
      <w:pPr>
        <w:rPr>
          <w:lang w:val="en-US"/>
        </w:rPr>
      </w:pPr>
    </w:p>
    <w:p w:rsidR="00BF14E0" w:rsidRPr="006A444B" w:rsidRDefault="00BF14E0" w:rsidP="00BF14E0">
      <w:pPr>
        <w:rPr>
          <w:lang w:val="en-US"/>
        </w:rPr>
      </w:pPr>
    </w:p>
    <w:p w:rsidR="00BF14E0" w:rsidRPr="006A444B" w:rsidRDefault="00EF1C76" w:rsidP="00BF14E0">
      <w:pPr>
        <w:framePr w:w="2756" w:h="750" w:wrap="auto" w:vAnchor="text" w:hAnchor="page" w:x="4576" w:y="358"/>
        <w:jc w:val="center"/>
        <w:rPr>
          <w:rFonts w:ascii="Arial" w:hAnsi="Arial"/>
          <w:sz w:val="20"/>
          <w:lang w:val="en-US"/>
        </w:rPr>
      </w:pPr>
      <w:r w:rsidRPr="00EF1C76">
        <w:rPr>
          <w:rFonts w:ascii="Arial" w:hAnsi="Arial"/>
          <w:noProof/>
          <w:position w:val="-36"/>
          <w:sz w:val="20"/>
          <w:lang w:val="en-US"/>
        </w:rPr>
        <w:pict>
          <v:shape id="Picture 39" o:spid="_x0000_i1087" type="#_x0000_t75" style="width:102pt;height:37.5pt;visibility:visible">
            <v:imagedata r:id="rId75" o:title=""/>
          </v:shape>
        </w:pict>
      </w:r>
    </w:p>
    <w:p w:rsidR="00BF14E0" w:rsidRPr="006A444B" w:rsidRDefault="00BF14E0" w:rsidP="00BF14E0">
      <w:pPr>
        <w:jc w:val="center"/>
        <w:rPr>
          <w:lang w:val="en-US"/>
        </w:rPr>
      </w:pPr>
    </w:p>
    <w:p w:rsidR="00BF14E0" w:rsidRPr="006A444B" w:rsidRDefault="00BF14E0" w:rsidP="00BF14E0">
      <w:pPr>
        <w:jc w:val="center"/>
        <w:rPr>
          <w:lang w:val="en-US"/>
        </w:rPr>
      </w:pPr>
    </w:p>
    <w:p w:rsidR="00BF14E0" w:rsidRPr="006A444B" w:rsidRDefault="00BF14E0" w:rsidP="00BF14E0">
      <w:pPr>
        <w:rPr>
          <w:lang w:val="en-US"/>
        </w:rPr>
      </w:pPr>
    </w:p>
    <w:p w:rsidR="00BF14E0" w:rsidRPr="006A444B" w:rsidRDefault="00BF14E0" w:rsidP="00BF14E0">
      <w:pPr>
        <w:rPr>
          <w:lang w:val="en-US"/>
        </w:rPr>
      </w:pPr>
    </w:p>
    <w:p w:rsidR="00BF14E0" w:rsidRPr="006A444B" w:rsidRDefault="00BF14E0" w:rsidP="00BF14E0">
      <w:pPr>
        <w:pStyle w:val="Equationlegend"/>
        <w:rPr>
          <w:lang w:val="en-US"/>
        </w:rPr>
      </w:pPr>
      <w:r w:rsidRPr="006A444B">
        <w:rPr>
          <w:lang w:val="en-US"/>
        </w:rPr>
        <w:tab/>
        <w:t>h:</w:t>
      </w:r>
      <w:r w:rsidRPr="006A444B">
        <w:rPr>
          <w:lang w:val="en-US"/>
        </w:rPr>
        <w:tab/>
        <w:t>flight altitude in km</w:t>
      </w:r>
      <w:r w:rsidR="00395811">
        <w:rPr>
          <w:lang w:val="en-US"/>
        </w:rPr>
        <w:t>;</w:t>
      </w:r>
    </w:p>
    <w:p w:rsidR="00BF14E0" w:rsidRPr="006A444B" w:rsidRDefault="00BF14E0" w:rsidP="00BF14E0">
      <w:pPr>
        <w:pStyle w:val="Equationlegend"/>
        <w:rPr>
          <w:lang w:val="en-US"/>
        </w:rPr>
      </w:pPr>
      <w:r w:rsidRPr="006A444B">
        <w:rPr>
          <w:vertAlign w:val="subscript"/>
          <w:lang w:val="en-US"/>
        </w:rPr>
        <w:tab/>
      </w:r>
      <w:r w:rsidRPr="006A444B">
        <w:rPr>
          <w:lang w:val="en-US"/>
        </w:rPr>
        <w:t>R</w:t>
      </w:r>
      <w:r w:rsidRPr="006A444B">
        <w:rPr>
          <w:vertAlign w:val="subscript"/>
          <w:lang w:val="en-US"/>
        </w:rPr>
        <w:t>E</w:t>
      </w:r>
      <w:r w:rsidRPr="006A444B">
        <w:rPr>
          <w:lang w:val="en-US"/>
        </w:rPr>
        <w:t>:</w:t>
      </w:r>
      <w:r w:rsidRPr="006A444B">
        <w:rPr>
          <w:vertAlign w:val="subscript"/>
          <w:lang w:val="en-US"/>
        </w:rPr>
        <w:tab/>
      </w:r>
      <w:r w:rsidRPr="006A444B">
        <w:rPr>
          <w:lang w:val="en-US"/>
        </w:rPr>
        <w:t>Earth’s radius in km</w:t>
      </w:r>
      <w:r w:rsidR="00395811">
        <w:rPr>
          <w:lang w:val="en-US"/>
        </w:rPr>
        <w:t>;</w:t>
      </w:r>
    </w:p>
    <w:p w:rsidR="00BF14E0" w:rsidRPr="006A444B" w:rsidRDefault="00BF14E0" w:rsidP="00BF14E0">
      <w:pPr>
        <w:pStyle w:val="Equationlegend"/>
        <w:rPr>
          <w:lang w:val="en-US"/>
        </w:rPr>
      </w:pPr>
      <w:r w:rsidRPr="006A444B">
        <w:rPr>
          <w:vertAlign w:val="subscript"/>
          <w:lang w:val="en-US"/>
        </w:rPr>
        <w:tab/>
      </w:r>
      <w:r w:rsidRPr="006A444B">
        <w:rPr>
          <w:lang w:val="en-US"/>
        </w:rPr>
        <w:t>G</w:t>
      </w:r>
      <w:r w:rsidRPr="006A444B">
        <w:rPr>
          <w:vertAlign w:val="subscript"/>
          <w:lang w:val="en-US"/>
        </w:rPr>
        <w:t>TX</w:t>
      </w:r>
      <w:r w:rsidRPr="006A444B">
        <w:rPr>
          <w:lang w:val="en-US"/>
        </w:rPr>
        <w:t>:</w:t>
      </w:r>
      <w:r w:rsidRPr="006A444B">
        <w:rPr>
          <w:lang w:val="en-US"/>
        </w:rPr>
        <w:tab/>
        <w:t>antenna gain of an isotropic source</w:t>
      </w:r>
      <w:r w:rsidR="00395811">
        <w:rPr>
          <w:lang w:val="en-US"/>
        </w:rPr>
        <w:t>;</w:t>
      </w:r>
    </w:p>
    <w:p w:rsidR="00BF14E0" w:rsidRPr="00FF5E2D" w:rsidRDefault="00BF14E0" w:rsidP="00BF14E0">
      <w:pPr>
        <w:pStyle w:val="Equationlegend"/>
        <w:rPr>
          <w:lang w:val="de-CH"/>
        </w:rPr>
      </w:pPr>
      <w:r w:rsidRPr="006A444B">
        <w:rPr>
          <w:lang w:val="en-US"/>
        </w:rPr>
        <w:tab/>
      </w:r>
      <w:r w:rsidRPr="00FF5E2D">
        <w:rPr>
          <w:i/>
          <w:iCs/>
          <w:lang w:val="de-CH"/>
        </w:rPr>
        <w:t>D</w:t>
      </w:r>
      <w:r w:rsidRPr="00FF5E2D">
        <w:rPr>
          <w:lang w:val="de-CH"/>
        </w:rPr>
        <w:t>:</w:t>
      </w:r>
      <w:r w:rsidRPr="00FF5E2D">
        <w:rPr>
          <w:lang w:val="de-CH"/>
        </w:rPr>
        <w:tab/>
        <w:t>interferer density in interferer/km²</w:t>
      </w:r>
      <w:r w:rsidR="00395811">
        <w:rPr>
          <w:lang w:val="de-CH"/>
        </w:rPr>
        <w:t>;</w:t>
      </w:r>
    </w:p>
    <w:p w:rsidR="00BF14E0" w:rsidRPr="006A444B" w:rsidRDefault="00BF14E0" w:rsidP="00BF14E0">
      <w:pPr>
        <w:pStyle w:val="Equationlegend"/>
        <w:rPr>
          <w:lang w:val="en-US"/>
        </w:rPr>
      </w:pPr>
      <w:r w:rsidRPr="00FF5E2D">
        <w:rPr>
          <w:lang w:val="de-CH"/>
        </w:rPr>
        <w:tab/>
      </w:r>
      <w:r w:rsidRPr="006A444B">
        <w:rPr>
          <w:i/>
          <w:iCs/>
          <w:lang w:val="en-US"/>
        </w:rPr>
        <w:t>PFD</w:t>
      </w:r>
      <w:r w:rsidRPr="006A444B">
        <w:rPr>
          <w:lang w:val="en-US"/>
        </w:rPr>
        <w:t>:</w:t>
      </w:r>
      <w:r w:rsidRPr="006A444B">
        <w:rPr>
          <w:lang w:val="en-US"/>
        </w:rPr>
        <w:tab/>
        <w:t>power flux-density in W/m²</w:t>
      </w:r>
      <w:r w:rsidR="00395811">
        <w:rPr>
          <w:lang w:val="en-US"/>
        </w:rPr>
        <w:t>.</w:t>
      </w:r>
    </w:p>
    <w:p w:rsidR="00BF14E0" w:rsidRPr="006A444B" w:rsidRDefault="00BF14E0" w:rsidP="00BF14E0">
      <w:pPr>
        <w:rPr>
          <w:lang w:val="en-US"/>
        </w:rPr>
      </w:pPr>
      <w:r w:rsidRPr="006A444B">
        <w:rPr>
          <w:lang w:val="en-US"/>
        </w:rPr>
        <w:t>The calculations also were made for the flight altitudes 300 m, 1 000 m and 10 km. The difference between 300 m and 10 km is only 2 dB which means the flight altitude is irrelevant for the consideration.</w:t>
      </w:r>
    </w:p>
    <w:p w:rsidR="00395811" w:rsidRDefault="00395811">
      <w:pPr>
        <w:tabs>
          <w:tab w:val="clear" w:pos="794"/>
          <w:tab w:val="clear" w:pos="1191"/>
          <w:tab w:val="clear" w:pos="1588"/>
          <w:tab w:val="clear" w:pos="1985"/>
        </w:tabs>
        <w:overflowPunct/>
        <w:autoSpaceDE/>
        <w:autoSpaceDN/>
        <w:adjustRightInd/>
        <w:spacing w:before="0"/>
        <w:textAlignment w:val="auto"/>
        <w:rPr>
          <w:lang w:val="en-US"/>
        </w:rPr>
      </w:pPr>
      <w:r>
        <w:rPr>
          <w:lang w:val="en-US"/>
        </w:rPr>
        <w:br w:type="page"/>
      </w:r>
    </w:p>
    <w:p w:rsidR="00BF14E0" w:rsidRPr="006A444B" w:rsidRDefault="00BF14E0" w:rsidP="00BF14E0">
      <w:pPr>
        <w:rPr>
          <w:lang w:val="en-US"/>
        </w:rPr>
      </w:pPr>
      <w:r w:rsidRPr="006A444B">
        <w:rPr>
          <w:lang w:val="en-US"/>
        </w:rPr>
        <w:t>The results for the altitude of 1 km and interferer density of 250 interferer/km² are summarized in the following Table 2. This table contains the maximum permissible interference field strength from Table 1, the calculated maximum PFD determined at the airborne receiver and the resulting maximum permissible radiating power of one PLT noise source at the ground.</w:t>
      </w:r>
    </w:p>
    <w:p w:rsidR="00BF14E0" w:rsidRPr="00395811" w:rsidRDefault="00BF14E0" w:rsidP="00395811">
      <w:pPr>
        <w:pStyle w:val="TableNo"/>
        <w:rPr>
          <w:sz w:val="20"/>
          <w:lang w:val="en-US"/>
        </w:rPr>
      </w:pPr>
      <w:r w:rsidRPr="00395811">
        <w:rPr>
          <w:sz w:val="20"/>
          <w:lang w:val="en-US"/>
        </w:rPr>
        <w:t>Table 2</w:t>
      </w:r>
    </w:p>
    <w:p w:rsidR="00BF14E0" w:rsidRPr="00395811" w:rsidRDefault="00BF14E0" w:rsidP="00395811">
      <w:pPr>
        <w:pStyle w:val="Tabletitle"/>
        <w:rPr>
          <w:sz w:val="20"/>
          <w:lang w:val="en-US"/>
        </w:rPr>
      </w:pPr>
      <w:r w:rsidRPr="00395811">
        <w:rPr>
          <w:sz w:val="20"/>
          <w:lang w:val="en-US"/>
        </w:rPr>
        <w:t>Maximum permissible radiating power of one PLT noise source measured by a quasi-peak (QP)</w:t>
      </w:r>
      <w:r w:rsidR="00395811" w:rsidRPr="00395811">
        <w:rPr>
          <w:sz w:val="20"/>
          <w:lang w:val="en-US"/>
        </w:rPr>
        <w:t xml:space="preserve"> </w:t>
      </w:r>
      <w:r w:rsidR="00395811">
        <w:rPr>
          <w:sz w:val="20"/>
          <w:lang w:val="en-US"/>
        </w:rPr>
        <w:t>detector</w:t>
      </w:r>
      <w:r w:rsidR="00395811">
        <w:rPr>
          <w:sz w:val="20"/>
          <w:lang w:val="en-US"/>
        </w:rPr>
        <w:br/>
      </w:r>
      <w:r w:rsidRPr="00395811">
        <w:rPr>
          <w:sz w:val="20"/>
          <w:lang w:val="en-US"/>
        </w:rPr>
        <w:t>having a bandwidth of 120 kHz</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2520"/>
        <w:gridCol w:w="2160"/>
        <w:gridCol w:w="2700"/>
      </w:tblGrid>
      <w:tr w:rsidR="00BF14E0" w:rsidRPr="00395811" w:rsidTr="00BF14E0">
        <w:trPr>
          <w:jc w:val="center"/>
        </w:trPr>
        <w:tc>
          <w:tcPr>
            <w:tcW w:w="1908" w:type="dxa"/>
            <w:vAlign w:val="center"/>
          </w:tcPr>
          <w:p w:rsidR="00BF14E0" w:rsidRPr="00395811" w:rsidRDefault="00BF14E0" w:rsidP="00395811">
            <w:pPr>
              <w:pStyle w:val="Tablehead"/>
              <w:rPr>
                <w:sz w:val="20"/>
                <w:lang w:val="en-US"/>
              </w:rPr>
            </w:pPr>
          </w:p>
        </w:tc>
        <w:tc>
          <w:tcPr>
            <w:tcW w:w="2520" w:type="dxa"/>
            <w:vAlign w:val="center"/>
          </w:tcPr>
          <w:p w:rsidR="00BF14E0" w:rsidRPr="00395811" w:rsidRDefault="00BF14E0" w:rsidP="00395811">
            <w:pPr>
              <w:pStyle w:val="Tablehead"/>
              <w:rPr>
                <w:sz w:val="20"/>
                <w:lang w:val="en-US"/>
              </w:rPr>
            </w:pPr>
            <w:r w:rsidRPr="00395811">
              <w:rPr>
                <w:sz w:val="20"/>
                <w:lang w:val="en-US"/>
              </w:rPr>
              <w:t>Maximum permissible interference field strength at the airborne receiver</w:t>
            </w:r>
            <w:r w:rsidR="00395811">
              <w:rPr>
                <w:sz w:val="20"/>
                <w:lang w:val="en-US"/>
              </w:rPr>
              <w:br/>
            </w:r>
          </w:p>
        </w:tc>
        <w:tc>
          <w:tcPr>
            <w:tcW w:w="2160" w:type="dxa"/>
            <w:vAlign w:val="center"/>
          </w:tcPr>
          <w:p w:rsidR="00BF14E0" w:rsidRPr="00395811" w:rsidRDefault="00BF14E0" w:rsidP="00395811">
            <w:pPr>
              <w:pStyle w:val="Tablehead"/>
              <w:rPr>
                <w:sz w:val="20"/>
                <w:lang w:val="en-US"/>
              </w:rPr>
            </w:pPr>
            <w:r w:rsidRPr="00395811">
              <w:rPr>
                <w:sz w:val="20"/>
                <w:lang w:val="en-US"/>
              </w:rPr>
              <w:t>PFD</w:t>
            </w:r>
          </w:p>
          <w:p w:rsidR="00BF14E0" w:rsidRPr="00395811" w:rsidRDefault="00BF14E0" w:rsidP="00395811">
            <w:pPr>
              <w:pStyle w:val="Tablehead"/>
              <w:rPr>
                <w:sz w:val="20"/>
                <w:lang w:val="en-US"/>
              </w:rPr>
            </w:pPr>
            <w:r w:rsidRPr="00395811">
              <w:rPr>
                <w:sz w:val="20"/>
                <w:lang w:val="en-US"/>
              </w:rPr>
              <w:t>Maximum permissible power flux-density at the airborne receiver</w:t>
            </w:r>
          </w:p>
        </w:tc>
        <w:tc>
          <w:tcPr>
            <w:tcW w:w="2700" w:type="dxa"/>
            <w:vAlign w:val="center"/>
          </w:tcPr>
          <w:p w:rsidR="00BF14E0" w:rsidRPr="00395811" w:rsidRDefault="00BF14E0" w:rsidP="00395811">
            <w:pPr>
              <w:pStyle w:val="Tablehead"/>
              <w:rPr>
                <w:sz w:val="20"/>
                <w:lang w:val="en-US"/>
              </w:rPr>
            </w:pPr>
            <w:r w:rsidRPr="00395811">
              <w:rPr>
                <w:sz w:val="20"/>
                <w:lang w:val="en-US"/>
              </w:rPr>
              <w:t>PTX</w:t>
            </w:r>
          </w:p>
          <w:p w:rsidR="00BF14E0" w:rsidRPr="00395811" w:rsidRDefault="00BF14E0" w:rsidP="00395811">
            <w:pPr>
              <w:pStyle w:val="Tablehead"/>
              <w:rPr>
                <w:sz w:val="20"/>
                <w:lang w:val="en-US"/>
              </w:rPr>
            </w:pPr>
            <w:r w:rsidRPr="00395811">
              <w:rPr>
                <w:sz w:val="20"/>
                <w:lang w:val="en-US"/>
              </w:rPr>
              <w:t>Maximum permissible radiating power of one PLT noise source</w:t>
            </w:r>
          </w:p>
        </w:tc>
      </w:tr>
      <w:tr w:rsidR="00BF14E0" w:rsidRPr="006A444B" w:rsidTr="00BF14E0">
        <w:trPr>
          <w:jc w:val="center"/>
        </w:trPr>
        <w:tc>
          <w:tcPr>
            <w:tcW w:w="1908" w:type="dxa"/>
          </w:tcPr>
          <w:p w:rsidR="00BF14E0" w:rsidRPr="00395811" w:rsidRDefault="00BF14E0" w:rsidP="00395811">
            <w:pPr>
              <w:pStyle w:val="Tabletext"/>
              <w:rPr>
                <w:sz w:val="20"/>
                <w:lang w:val="de-CH"/>
              </w:rPr>
            </w:pPr>
            <w:r w:rsidRPr="00395811">
              <w:rPr>
                <w:sz w:val="20"/>
                <w:lang w:val="de-CH"/>
              </w:rPr>
              <w:t>VHF COM</w:t>
            </w:r>
          </w:p>
          <w:p w:rsidR="00BF14E0" w:rsidRPr="00395811" w:rsidRDefault="00BF14E0" w:rsidP="00395811">
            <w:pPr>
              <w:pStyle w:val="Tabletext"/>
              <w:rPr>
                <w:sz w:val="20"/>
                <w:lang w:val="de-CH"/>
              </w:rPr>
            </w:pPr>
            <w:r w:rsidRPr="00395811">
              <w:rPr>
                <w:sz w:val="20"/>
                <w:lang w:val="de-CH"/>
              </w:rPr>
              <w:t>8.3 kHz raster</w:t>
            </w:r>
          </w:p>
          <w:p w:rsidR="00BF14E0" w:rsidRPr="00395811" w:rsidRDefault="00BF14E0" w:rsidP="00395811">
            <w:pPr>
              <w:pStyle w:val="Tabletext"/>
              <w:rPr>
                <w:sz w:val="20"/>
                <w:lang w:val="de-CH"/>
              </w:rPr>
            </w:pPr>
            <w:r w:rsidRPr="00395811">
              <w:rPr>
                <w:sz w:val="20"/>
                <w:lang w:val="de-CH"/>
              </w:rPr>
              <w:t>117.975-137 MHz</w:t>
            </w:r>
          </w:p>
        </w:tc>
        <w:tc>
          <w:tcPr>
            <w:tcW w:w="2520" w:type="dxa"/>
            <w:vAlign w:val="center"/>
          </w:tcPr>
          <w:p w:rsidR="00BF14E0" w:rsidRPr="00395811" w:rsidRDefault="00BF14E0" w:rsidP="00395811">
            <w:pPr>
              <w:pStyle w:val="Tabletext"/>
              <w:jc w:val="center"/>
              <w:rPr>
                <w:sz w:val="20"/>
                <w:lang w:val="en-US"/>
              </w:rPr>
            </w:pPr>
            <w:r w:rsidRPr="00395811">
              <w:rPr>
                <w:sz w:val="20"/>
                <w:lang w:val="en-US"/>
              </w:rPr>
              <w:t>6 dB(µV/m)</w:t>
            </w:r>
          </w:p>
        </w:tc>
        <w:tc>
          <w:tcPr>
            <w:tcW w:w="2160" w:type="dxa"/>
            <w:vAlign w:val="center"/>
          </w:tcPr>
          <w:p w:rsidR="00BF14E0" w:rsidRPr="00395811" w:rsidRDefault="00BF14E0" w:rsidP="00395811">
            <w:pPr>
              <w:pStyle w:val="Tabletext"/>
              <w:jc w:val="center"/>
              <w:rPr>
                <w:sz w:val="20"/>
                <w:lang w:val="en-US"/>
              </w:rPr>
            </w:pPr>
            <w:r w:rsidRPr="00395811">
              <w:rPr>
                <w:sz w:val="20"/>
                <w:lang w:val="en-US"/>
              </w:rPr>
              <w:t>0.0106 pW/m²</w:t>
            </w:r>
          </w:p>
        </w:tc>
        <w:tc>
          <w:tcPr>
            <w:tcW w:w="2700" w:type="dxa"/>
            <w:vAlign w:val="center"/>
          </w:tcPr>
          <w:p w:rsidR="00BF14E0" w:rsidRPr="00395811" w:rsidRDefault="00BF14E0" w:rsidP="00395811">
            <w:pPr>
              <w:pStyle w:val="Tabletext"/>
              <w:jc w:val="center"/>
              <w:rPr>
                <w:sz w:val="20"/>
                <w:lang w:val="en-US"/>
              </w:rPr>
            </w:pPr>
            <w:r w:rsidRPr="00395811">
              <w:rPr>
                <w:sz w:val="20"/>
                <w:lang w:val="en-US"/>
              </w:rPr>
              <w:t>−80 dBm / 10 dB(pW)</w:t>
            </w:r>
          </w:p>
        </w:tc>
      </w:tr>
      <w:tr w:rsidR="00BF14E0" w:rsidRPr="006A444B" w:rsidTr="00BF14E0">
        <w:trPr>
          <w:jc w:val="center"/>
        </w:trPr>
        <w:tc>
          <w:tcPr>
            <w:tcW w:w="1908" w:type="dxa"/>
          </w:tcPr>
          <w:p w:rsidR="00BF14E0" w:rsidRPr="00395811" w:rsidRDefault="00BF14E0" w:rsidP="00395811">
            <w:pPr>
              <w:pStyle w:val="Tabletext"/>
              <w:rPr>
                <w:sz w:val="20"/>
                <w:lang w:val="de-CH"/>
              </w:rPr>
            </w:pPr>
            <w:r w:rsidRPr="00395811">
              <w:rPr>
                <w:sz w:val="20"/>
                <w:lang w:val="de-CH"/>
              </w:rPr>
              <w:t>VHF COM</w:t>
            </w:r>
          </w:p>
          <w:p w:rsidR="00BF14E0" w:rsidRPr="00395811" w:rsidRDefault="00BF14E0" w:rsidP="00395811">
            <w:pPr>
              <w:pStyle w:val="Tabletext"/>
              <w:rPr>
                <w:sz w:val="20"/>
                <w:lang w:val="de-CH"/>
              </w:rPr>
            </w:pPr>
            <w:r w:rsidRPr="00395811">
              <w:rPr>
                <w:sz w:val="20"/>
                <w:lang w:val="de-CH"/>
              </w:rPr>
              <w:t>25 kHz raster</w:t>
            </w:r>
          </w:p>
          <w:p w:rsidR="00BF14E0" w:rsidRPr="00395811" w:rsidRDefault="00BF14E0" w:rsidP="00395811">
            <w:pPr>
              <w:pStyle w:val="Tabletext"/>
              <w:rPr>
                <w:sz w:val="20"/>
                <w:lang w:val="de-CH"/>
              </w:rPr>
            </w:pPr>
            <w:r w:rsidRPr="00395811">
              <w:rPr>
                <w:sz w:val="20"/>
                <w:lang w:val="de-CH"/>
              </w:rPr>
              <w:t>117.975-137 MHz</w:t>
            </w:r>
          </w:p>
        </w:tc>
        <w:tc>
          <w:tcPr>
            <w:tcW w:w="2520" w:type="dxa"/>
            <w:vAlign w:val="center"/>
          </w:tcPr>
          <w:p w:rsidR="00BF14E0" w:rsidRPr="00395811" w:rsidRDefault="00BF14E0" w:rsidP="00395811">
            <w:pPr>
              <w:pStyle w:val="Tabletext"/>
              <w:jc w:val="center"/>
              <w:rPr>
                <w:sz w:val="20"/>
                <w:lang w:val="en-US"/>
              </w:rPr>
            </w:pPr>
            <w:r w:rsidRPr="00395811">
              <w:rPr>
                <w:sz w:val="20"/>
                <w:lang w:val="en-US"/>
              </w:rPr>
              <w:t>6 dB(µV/m)</w:t>
            </w:r>
          </w:p>
        </w:tc>
        <w:tc>
          <w:tcPr>
            <w:tcW w:w="2160" w:type="dxa"/>
            <w:vAlign w:val="center"/>
          </w:tcPr>
          <w:p w:rsidR="00BF14E0" w:rsidRPr="00395811" w:rsidRDefault="00BF14E0" w:rsidP="00395811">
            <w:pPr>
              <w:pStyle w:val="Tabletext"/>
              <w:jc w:val="center"/>
              <w:rPr>
                <w:sz w:val="20"/>
                <w:lang w:val="en-US"/>
              </w:rPr>
            </w:pPr>
            <w:r w:rsidRPr="00395811">
              <w:rPr>
                <w:sz w:val="20"/>
                <w:lang w:val="en-US"/>
              </w:rPr>
              <w:t>0.0106 pW/m²</w:t>
            </w:r>
          </w:p>
        </w:tc>
        <w:tc>
          <w:tcPr>
            <w:tcW w:w="2700" w:type="dxa"/>
            <w:vAlign w:val="center"/>
          </w:tcPr>
          <w:p w:rsidR="00BF14E0" w:rsidRPr="00395811" w:rsidRDefault="00BF14E0" w:rsidP="00395811">
            <w:pPr>
              <w:pStyle w:val="Tabletext"/>
              <w:jc w:val="center"/>
              <w:rPr>
                <w:sz w:val="20"/>
                <w:lang w:val="en-US"/>
              </w:rPr>
            </w:pPr>
            <w:r w:rsidRPr="00395811">
              <w:rPr>
                <w:sz w:val="20"/>
                <w:lang w:val="en-US"/>
              </w:rPr>
              <w:t>−80 dBm / 10 dB(pW)</w:t>
            </w:r>
          </w:p>
        </w:tc>
      </w:tr>
      <w:tr w:rsidR="00BF14E0" w:rsidRPr="006A444B" w:rsidTr="00BF14E0">
        <w:trPr>
          <w:jc w:val="center"/>
        </w:trPr>
        <w:tc>
          <w:tcPr>
            <w:tcW w:w="1908" w:type="dxa"/>
          </w:tcPr>
          <w:p w:rsidR="00BF14E0" w:rsidRPr="00395811" w:rsidRDefault="00BF14E0" w:rsidP="00395811">
            <w:pPr>
              <w:pStyle w:val="Tabletext"/>
              <w:rPr>
                <w:sz w:val="20"/>
                <w:lang w:val="de-CH"/>
              </w:rPr>
            </w:pPr>
            <w:r w:rsidRPr="00395811">
              <w:rPr>
                <w:sz w:val="20"/>
                <w:lang w:val="de-CH"/>
              </w:rPr>
              <w:t>UHF COM</w:t>
            </w:r>
          </w:p>
          <w:p w:rsidR="00BF14E0" w:rsidRPr="00395811" w:rsidRDefault="00BF14E0" w:rsidP="00395811">
            <w:pPr>
              <w:pStyle w:val="Tabletext"/>
              <w:rPr>
                <w:sz w:val="20"/>
                <w:lang w:val="de-CH"/>
              </w:rPr>
            </w:pPr>
            <w:r w:rsidRPr="00395811">
              <w:rPr>
                <w:sz w:val="20"/>
                <w:lang w:val="de-CH"/>
              </w:rPr>
              <w:t>25 kHz raster</w:t>
            </w:r>
          </w:p>
          <w:p w:rsidR="00BF14E0" w:rsidRPr="00395811" w:rsidRDefault="00BF14E0" w:rsidP="00395811">
            <w:pPr>
              <w:pStyle w:val="Tabletext"/>
              <w:rPr>
                <w:sz w:val="20"/>
                <w:lang w:val="de-CH"/>
              </w:rPr>
            </w:pPr>
            <w:r w:rsidRPr="00395811">
              <w:rPr>
                <w:sz w:val="20"/>
                <w:lang w:val="de-CH"/>
              </w:rPr>
              <w:t>230-380 MHz</w:t>
            </w:r>
          </w:p>
        </w:tc>
        <w:tc>
          <w:tcPr>
            <w:tcW w:w="2520" w:type="dxa"/>
            <w:vAlign w:val="center"/>
          </w:tcPr>
          <w:p w:rsidR="00BF14E0" w:rsidRPr="00395811" w:rsidRDefault="00BF14E0" w:rsidP="00395811">
            <w:pPr>
              <w:pStyle w:val="Tabletext"/>
              <w:jc w:val="center"/>
              <w:rPr>
                <w:sz w:val="20"/>
                <w:lang w:val="en-US"/>
              </w:rPr>
            </w:pPr>
            <w:r w:rsidRPr="00395811">
              <w:rPr>
                <w:sz w:val="20"/>
                <w:lang w:val="en-US"/>
              </w:rPr>
              <w:t>21 dB(µV/m)</w:t>
            </w:r>
          </w:p>
        </w:tc>
        <w:tc>
          <w:tcPr>
            <w:tcW w:w="2160" w:type="dxa"/>
            <w:vAlign w:val="center"/>
          </w:tcPr>
          <w:p w:rsidR="00BF14E0" w:rsidRPr="00395811" w:rsidRDefault="00BF14E0" w:rsidP="00395811">
            <w:pPr>
              <w:pStyle w:val="Tabletext"/>
              <w:jc w:val="center"/>
              <w:rPr>
                <w:sz w:val="20"/>
                <w:lang w:val="en-US"/>
              </w:rPr>
            </w:pPr>
            <w:r w:rsidRPr="00395811">
              <w:rPr>
                <w:sz w:val="20"/>
                <w:lang w:val="en-US"/>
              </w:rPr>
              <w:t>0.334 pW/m²</w:t>
            </w:r>
          </w:p>
        </w:tc>
        <w:tc>
          <w:tcPr>
            <w:tcW w:w="2700" w:type="dxa"/>
            <w:vAlign w:val="center"/>
          </w:tcPr>
          <w:p w:rsidR="00BF14E0" w:rsidRPr="00395811" w:rsidRDefault="00BF14E0" w:rsidP="00395811">
            <w:pPr>
              <w:pStyle w:val="Tabletext"/>
              <w:jc w:val="center"/>
              <w:rPr>
                <w:sz w:val="20"/>
                <w:lang w:val="en-US"/>
              </w:rPr>
            </w:pPr>
            <w:r w:rsidRPr="00395811">
              <w:rPr>
                <w:sz w:val="20"/>
                <w:lang w:val="en-US"/>
              </w:rPr>
              <w:t>−65 dBm / 25 dB(pW)</w:t>
            </w:r>
          </w:p>
        </w:tc>
      </w:tr>
      <w:tr w:rsidR="00BF14E0" w:rsidRPr="006A444B" w:rsidTr="00BF14E0">
        <w:trPr>
          <w:jc w:val="center"/>
        </w:trPr>
        <w:tc>
          <w:tcPr>
            <w:tcW w:w="1908" w:type="dxa"/>
          </w:tcPr>
          <w:p w:rsidR="00BF14E0" w:rsidRPr="00395811" w:rsidRDefault="00BF14E0" w:rsidP="00395811">
            <w:pPr>
              <w:pStyle w:val="Tabletext"/>
              <w:rPr>
                <w:sz w:val="20"/>
                <w:lang w:val="en-US"/>
              </w:rPr>
            </w:pPr>
            <w:r w:rsidRPr="00395811">
              <w:rPr>
                <w:sz w:val="20"/>
                <w:lang w:val="en-US"/>
              </w:rPr>
              <w:t>VOR</w:t>
            </w:r>
          </w:p>
          <w:p w:rsidR="00BF14E0" w:rsidRPr="00395811" w:rsidRDefault="00BF14E0" w:rsidP="00395811">
            <w:pPr>
              <w:pStyle w:val="Tabletext"/>
              <w:rPr>
                <w:sz w:val="20"/>
                <w:lang w:val="en-US"/>
              </w:rPr>
            </w:pPr>
            <w:r w:rsidRPr="00395811">
              <w:rPr>
                <w:sz w:val="20"/>
                <w:lang w:val="en-US"/>
              </w:rPr>
              <w:t>40 kHz Raster</w:t>
            </w:r>
          </w:p>
          <w:p w:rsidR="00BF14E0" w:rsidRPr="00395811" w:rsidRDefault="00BF14E0" w:rsidP="00395811">
            <w:pPr>
              <w:pStyle w:val="Tabletext"/>
              <w:rPr>
                <w:sz w:val="20"/>
                <w:lang w:val="en-US"/>
              </w:rPr>
            </w:pPr>
            <w:r w:rsidRPr="00395811">
              <w:rPr>
                <w:sz w:val="20"/>
                <w:lang w:val="en-US"/>
              </w:rPr>
              <w:t>108-117.975 MHz</w:t>
            </w:r>
          </w:p>
        </w:tc>
        <w:tc>
          <w:tcPr>
            <w:tcW w:w="2520" w:type="dxa"/>
            <w:vAlign w:val="center"/>
          </w:tcPr>
          <w:p w:rsidR="00BF14E0" w:rsidRPr="00395811" w:rsidRDefault="00BF14E0" w:rsidP="00395811">
            <w:pPr>
              <w:pStyle w:val="Tabletext"/>
              <w:jc w:val="center"/>
              <w:rPr>
                <w:sz w:val="20"/>
                <w:lang w:val="en-US"/>
              </w:rPr>
            </w:pPr>
            <w:r w:rsidRPr="00395811">
              <w:rPr>
                <w:sz w:val="20"/>
                <w:lang w:val="en-US"/>
              </w:rPr>
              <w:t>26 dB(µV/m)</w:t>
            </w:r>
          </w:p>
        </w:tc>
        <w:tc>
          <w:tcPr>
            <w:tcW w:w="2160" w:type="dxa"/>
            <w:vAlign w:val="center"/>
          </w:tcPr>
          <w:p w:rsidR="00BF14E0" w:rsidRPr="00395811" w:rsidRDefault="00BF14E0" w:rsidP="00395811">
            <w:pPr>
              <w:pStyle w:val="Tabletext"/>
              <w:jc w:val="center"/>
              <w:rPr>
                <w:sz w:val="20"/>
                <w:lang w:val="en-US"/>
              </w:rPr>
            </w:pPr>
            <w:r w:rsidRPr="00395811">
              <w:rPr>
                <w:sz w:val="20"/>
                <w:lang w:val="en-US"/>
              </w:rPr>
              <w:t>1.056 pW/m²</w:t>
            </w:r>
          </w:p>
        </w:tc>
        <w:tc>
          <w:tcPr>
            <w:tcW w:w="2700" w:type="dxa"/>
            <w:vAlign w:val="center"/>
          </w:tcPr>
          <w:p w:rsidR="00BF14E0" w:rsidRPr="00395811" w:rsidRDefault="00BF14E0" w:rsidP="00395811">
            <w:pPr>
              <w:pStyle w:val="Tabletext"/>
              <w:jc w:val="center"/>
              <w:rPr>
                <w:sz w:val="20"/>
                <w:lang w:val="en-US"/>
              </w:rPr>
            </w:pPr>
            <w:r w:rsidRPr="00395811">
              <w:rPr>
                <w:sz w:val="20"/>
                <w:lang w:val="en-US"/>
              </w:rPr>
              <w:t>−60 dBm / 30 dB(pW)</w:t>
            </w:r>
          </w:p>
        </w:tc>
      </w:tr>
      <w:tr w:rsidR="00BF14E0" w:rsidRPr="006A444B" w:rsidTr="00BF14E0">
        <w:trPr>
          <w:jc w:val="center"/>
        </w:trPr>
        <w:tc>
          <w:tcPr>
            <w:tcW w:w="1908" w:type="dxa"/>
          </w:tcPr>
          <w:p w:rsidR="00BF14E0" w:rsidRPr="00395811" w:rsidRDefault="00BF14E0" w:rsidP="00395811">
            <w:pPr>
              <w:pStyle w:val="Tabletext"/>
              <w:rPr>
                <w:sz w:val="20"/>
                <w:lang w:val="en-US"/>
              </w:rPr>
            </w:pPr>
            <w:r w:rsidRPr="00395811">
              <w:rPr>
                <w:sz w:val="20"/>
                <w:lang w:val="en-US"/>
              </w:rPr>
              <w:t>ILS-LOC</w:t>
            </w:r>
          </w:p>
          <w:p w:rsidR="00BF14E0" w:rsidRPr="00395811" w:rsidRDefault="00BF14E0" w:rsidP="00395811">
            <w:pPr>
              <w:pStyle w:val="Tabletext"/>
              <w:rPr>
                <w:sz w:val="20"/>
                <w:lang w:val="en-US"/>
              </w:rPr>
            </w:pPr>
            <w:r w:rsidRPr="00395811">
              <w:rPr>
                <w:sz w:val="20"/>
                <w:lang w:val="en-US"/>
              </w:rPr>
              <w:t>108.1-111.95 MHz</w:t>
            </w:r>
          </w:p>
        </w:tc>
        <w:tc>
          <w:tcPr>
            <w:tcW w:w="2520" w:type="dxa"/>
            <w:vAlign w:val="center"/>
          </w:tcPr>
          <w:p w:rsidR="00BF14E0" w:rsidRPr="00395811" w:rsidRDefault="00BF14E0" w:rsidP="00395811">
            <w:pPr>
              <w:pStyle w:val="Tabletext"/>
              <w:jc w:val="center"/>
              <w:rPr>
                <w:sz w:val="20"/>
                <w:lang w:val="en-US"/>
              </w:rPr>
            </w:pPr>
            <w:r w:rsidRPr="00395811">
              <w:rPr>
                <w:sz w:val="20"/>
                <w:lang w:val="en-US"/>
              </w:rPr>
              <w:t>23 dB(µV/m)</w:t>
            </w:r>
          </w:p>
        </w:tc>
        <w:tc>
          <w:tcPr>
            <w:tcW w:w="2160" w:type="dxa"/>
            <w:vAlign w:val="center"/>
          </w:tcPr>
          <w:p w:rsidR="00BF14E0" w:rsidRPr="00395811" w:rsidRDefault="00BF14E0" w:rsidP="00395811">
            <w:pPr>
              <w:pStyle w:val="Tabletext"/>
              <w:jc w:val="center"/>
              <w:rPr>
                <w:sz w:val="20"/>
                <w:lang w:val="en-US"/>
              </w:rPr>
            </w:pPr>
            <w:r w:rsidRPr="00395811">
              <w:rPr>
                <w:sz w:val="20"/>
                <w:lang w:val="en-US"/>
              </w:rPr>
              <w:t>0.529 pW/m²</w:t>
            </w:r>
          </w:p>
        </w:tc>
        <w:tc>
          <w:tcPr>
            <w:tcW w:w="2700" w:type="dxa"/>
            <w:vAlign w:val="center"/>
          </w:tcPr>
          <w:p w:rsidR="00BF14E0" w:rsidRPr="00395811" w:rsidRDefault="00BF14E0" w:rsidP="00395811">
            <w:pPr>
              <w:pStyle w:val="Tabletext"/>
              <w:jc w:val="center"/>
              <w:rPr>
                <w:sz w:val="20"/>
                <w:lang w:val="en-US"/>
              </w:rPr>
            </w:pPr>
            <w:r w:rsidRPr="00395811">
              <w:rPr>
                <w:sz w:val="20"/>
                <w:lang w:val="en-US"/>
              </w:rPr>
              <w:t>−63 dBm / 27 dB(pW)</w:t>
            </w:r>
          </w:p>
        </w:tc>
      </w:tr>
      <w:tr w:rsidR="00BF14E0" w:rsidRPr="006A444B" w:rsidTr="00BF14E0">
        <w:trPr>
          <w:jc w:val="center"/>
        </w:trPr>
        <w:tc>
          <w:tcPr>
            <w:tcW w:w="1908" w:type="dxa"/>
          </w:tcPr>
          <w:p w:rsidR="00BF14E0" w:rsidRPr="00395811" w:rsidRDefault="00BF14E0" w:rsidP="00395811">
            <w:pPr>
              <w:pStyle w:val="Tabletext"/>
              <w:rPr>
                <w:sz w:val="20"/>
                <w:lang w:val="en-US"/>
              </w:rPr>
            </w:pPr>
            <w:r w:rsidRPr="00395811">
              <w:rPr>
                <w:sz w:val="20"/>
                <w:lang w:val="en-US"/>
              </w:rPr>
              <w:t>VDL Mode 2</w:t>
            </w:r>
          </w:p>
          <w:p w:rsidR="00BF14E0" w:rsidRPr="00395811" w:rsidRDefault="00BF14E0" w:rsidP="00395811">
            <w:pPr>
              <w:pStyle w:val="Tabletext"/>
              <w:rPr>
                <w:sz w:val="20"/>
                <w:lang w:val="en-US"/>
              </w:rPr>
            </w:pPr>
            <w:r w:rsidRPr="00395811">
              <w:rPr>
                <w:sz w:val="20"/>
                <w:lang w:val="en-US"/>
              </w:rPr>
              <w:t>118-138 MHz</w:t>
            </w:r>
          </w:p>
        </w:tc>
        <w:tc>
          <w:tcPr>
            <w:tcW w:w="2520" w:type="dxa"/>
            <w:vAlign w:val="center"/>
          </w:tcPr>
          <w:p w:rsidR="00BF14E0" w:rsidRPr="00395811" w:rsidRDefault="00BF14E0" w:rsidP="00395811">
            <w:pPr>
              <w:pStyle w:val="Tabletext"/>
              <w:jc w:val="center"/>
              <w:rPr>
                <w:sz w:val="20"/>
                <w:lang w:val="en-US"/>
              </w:rPr>
            </w:pPr>
            <w:r w:rsidRPr="00395811">
              <w:rPr>
                <w:sz w:val="20"/>
                <w:lang w:val="en-US"/>
              </w:rPr>
              <w:t>30 dB(µV/m)</w:t>
            </w:r>
          </w:p>
        </w:tc>
        <w:tc>
          <w:tcPr>
            <w:tcW w:w="2160" w:type="dxa"/>
            <w:vAlign w:val="center"/>
          </w:tcPr>
          <w:p w:rsidR="00BF14E0" w:rsidRPr="00395811" w:rsidRDefault="00BF14E0" w:rsidP="00395811">
            <w:pPr>
              <w:pStyle w:val="Tabletext"/>
              <w:jc w:val="center"/>
              <w:rPr>
                <w:sz w:val="20"/>
                <w:lang w:val="en-US"/>
              </w:rPr>
            </w:pPr>
            <w:r w:rsidRPr="00395811">
              <w:rPr>
                <w:sz w:val="20"/>
                <w:lang w:val="en-US"/>
              </w:rPr>
              <w:t>2.653 pW/m²</w:t>
            </w:r>
          </w:p>
        </w:tc>
        <w:tc>
          <w:tcPr>
            <w:tcW w:w="2700" w:type="dxa"/>
            <w:vAlign w:val="center"/>
          </w:tcPr>
          <w:p w:rsidR="00BF14E0" w:rsidRPr="00395811" w:rsidRDefault="00BF14E0" w:rsidP="00395811">
            <w:pPr>
              <w:pStyle w:val="Tabletext"/>
              <w:jc w:val="center"/>
              <w:rPr>
                <w:sz w:val="20"/>
                <w:lang w:val="en-US"/>
              </w:rPr>
            </w:pPr>
            <w:r w:rsidRPr="00395811">
              <w:rPr>
                <w:sz w:val="20"/>
                <w:lang w:val="en-US"/>
              </w:rPr>
              <w:t>−56 dBm / 34 dB(pW)</w:t>
            </w:r>
          </w:p>
        </w:tc>
      </w:tr>
    </w:tbl>
    <w:p w:rsidR="00BF14E0" w:rsidRPr="006A444B" w:rsidRDefault="00BF14E0" w:rsidP="00BF14E0">
      <w:pPr>
        <w:spacing w:before="0"/>
        <w:rPr>
          <w:lang w:val="en-US"/>
        </w:rPr>
      </w:pPr>
    </w:p>
    <w:p w:rsidR="00BF14E0" w:rsidRPr="006A444B" w:rsidRDefault="00BF14E0" w:rsidP="00BF14E0">
      <w:pPr>
        <w:rPr>
          <w:lang w:val="en-US"/>
        </w:rPr>
      </w:pPr>
      <w:r w:rsidRPr="006A444B">
        <w:rPr>
          <w:lang w:val="en-US"/>
        </w:rPr>
        <w:t xml:space="preserve">The values for the maximum permissible radiating power of one PLT noise source vary for the different services between 10 and 34 dBpW. </w:t>
      </w:r>
    </w:p>
    <w:p w:rsidR="00BF14E0" w:rsidRPr="006A444B" w:rsidRDefault="00BF14E0" w:rsidP="00BF14E0">
      <w:pPr>
        <w:pStyle w:val="Heading3"/>
        <w:rPr>
          <w:lang w:val="en-US"/>
        </w:rPr>
      </w:pPr>
      <w:bookmarkStart w:id="46" w:name="_Toc265129570"/>
      <w:r w:rsidRPr="006A444B">
        <w:rPr>
          <w:lang w:val="en-US"/>
        </w:rPr>
        <w:t>A2.2.3</w:t>
      </w:r>
      <w:r w:rsidRPr="006A444B">
        <w:rPr>
          <w:lang w:val="en-US"/>
        </w:rPr>
        <w:tab/>
        <w:t>Calculation of power flux-density caused by limits provided by PLT system standards</w:t>
      </w:r>
      <w:bookmarkEnd w:id="46"/>
    </w:p>
    <w:p w:rsidR="00BF14E0" w:rsidRPr="006A444B" w:rsidRDefault="00BF14E0" w:rsidP="00BF14E0">
      <w:pPr>
        <w:rPr>
          <w:lang w:val="en-US"/>
        </w:rPr>
      </w:pPr>
      <w:r w:rsidRPr="006A444B">
        <w:rPr>
          <w:lang w:val="en-US"/>
        </w:rPr>
        <w:t xml:space="preserve">The maximum power spectral density is standardized for PLT devices for in-house communications, e.g. by ITU-T and IEEE. </w:t>
      </w:r>
    </w:p>
    <w:p w:rsidR="00BF14E0" w:rsidRPr="00395811" w:rsidRDefault="00395811" w:rsidP="00395811">
      <w:pPr>
        <w:pStyle w:val="TableNo"/>
        <w:rPr>
          <w:sz w:val="20"/>
          <w:lang w:val="en-US"/>
        </w:rPr>
      </w:pPr>
      <w:r>
        <w:rPr>
          <w:sz w:val="20"/>
          <w:lang w:val="en-US"/>
        </w:rPr>
        <w:t>Table 3</w:t>
      </w:r>
    </w:p>
    <w:p w:rsidR="00BF14E0" w:rsidRPr="00395811" w:rsidRDefault="00BF14E0" w:rsidP="00395811">
      <w:pPr>
        <w:pStyle w:val="Tabletitle"/>
        <w:rPr>
          <w:sz w:val="20"/>
        </w:rPr>
      </w:pPr>
      <w:r w:rsidRPr="00395811">
        <w:rPr>
          <w:sz w:val="20"/>
        </w:rPr>
        <w:t>Maximum power spectral density by different organizations</w:t>
      </w:r>
    </w:p>
    <w:tbl>
      <w:tblPr>
        <w:tblW w:w="32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0"/>
        <w:gridCol w:w="2757"/>
      </w:tblGrid>
      <w:tr w:rsidR="00BF14E0" w:rsidRPr="00395811" w:rsidTr="00BF14E0">
        <w:trPr>
          <w:trHeight w:val="455"/>
          <w:jc w:val="center"/>
        </w:trPr>
        <w:tc>
          <w:tcPr>
            <w:tcW w:w="2821" w:type="pct"/>
          </w:tcPr>
          <w:p w:rsidR="00BF14E0" w:rsidRPr="00395811" w:rsidRDefault="00BF14E0" w:rsidP="00395811">
            <w:pPr>
              <w:pStyle w:val="Tablehead"/>
              <w:rPr>
                <w:sz w:val="20"/>
                <w:lang w:val="en-US"/>
              </w:rPr>
            </w:pPr>
          </w:p>
        </w:tc>
        <w:tc>
          <w:tcPr>
            <w:tcW w:w="2179" w:type="pct"/>
          </w:tcPr>
          <w:p w:rsidR="00BF14E0" w:rsidRPr="00395811" w:rsidRDefault="00BF14E0" w:rsidP="00395811">
            <w:pPr>
              <w:pStyle w:val="Tablehead"/>
              <w:rPr>
                <w:sz w:val="20"/>
                <w:lang w:val="en-US"/>
              </w:rPr>
            </w:pPr>
            <w:r w:rsidRPr="00395811">
              <w:rPr>
                <w:sz w:val="20"/>
                <w:lang w:val="en-US"/>
              </w:rPr>
              <w:t>maximum power spectral density for PLT devices above 30 MHz</w:t>
            </w:r>
          </w:p>
        </w:tc>
      </w:tr>
      <w:tr w:rsidR="00BF14E0" w:rsidRPr="00395811" w:rsidTr="00BF14E0">
        <w:trPr>
          <w:trHeight w:val="455"/>
          <w:jc w:val="center"/>
        </w:trPr>
        <w:tc>
          <w:tcPr>
            <w:tcW w:w="2821" w:type="pct"/>
          </w:tcPr>
          <w:p w:rsidR="00BF14E0" w:rsidRPr="00395811" w:rsidRDefault="00BF14E0" w:rsidP="00395811">
            <w:pPr>
              <w:pStyle w:val="Tabletext"/>
              <w:rPr>
                <w:sz w:val="20"/>
                <w:lang w:val="en-US"/>
              </w:rPr>
            </w:pPr>
            <w:r w:rsidRPr="00395811">
              <w:rPr>
                <w:sz w:val="20"/>
                <w:lang w:val="en-US"/>
              </w:rPr>
              <w:t>Amendment 1 to ITU-T Rec. G.9960</w:t>
            </w:r>
          </w:p>
        </w:tc>
        <w:tc>
          <w:tcPr>
            <w:tcW w:w="2179" w:type="pct"/>
          </w:tcPr>
          <w:p w:rsidR="00BF14E0" w:rsidRPr="00395811" w:rsidRDefault="00BF14E0" w:rsidP="00395811">
            <w:pPr>
              <w:pStyle w:val="Tabletext"/>
              <w:jc w:val="center"/>
              <w:rPr>
                <w:sz w:val="20"/>
                <w:lang w:val="en-US"/>
              </w:rPr>
            </w:pPr>
            <w:r w:rsidRPr="00395811">
              <w:rPr>
                <w:sz w:val="20"/>
                <w:lang w:val="en-US"/>
              </w:rPr>
              <w:t>−85 dBm/Hz (RMS)</w:t>
            </w:r>
          </w:p>
        </w:tc>
      </w:tr>
      <w:tr w:rsidR="00BF14E0" w:rsidRPr="00395811" w:rsidTr="00BF14E0">
        <w:trPr>
          <w:trHeight w:val="455"/>
          <w:jc w:val="center"/>
        </w:trPr>
        <w:tc>
          <w:tcPr>
            <w:tcW w:w="2821" w:type="pct"/>
            <w:vAlign w:val="center"/>
          </w:tcPr>
          <w:p w:rsidR="00BF14E0" w:rsidRPr="00395811" w:rsidRDefault="00BF14E0" w:rsidP="00395811">
            <w:pPr>
              <w:pStyle w:val="Tabletext"/>
              <w:rPr>
                <w:sz w:val="20"/>
                <w:lang w:val="en-US"/>
              </w:rPr>
            </w:pPr>
            <w:r w:rsidRPr="00395811">
              <w:rPr>
                <w:sz w:val="20"/>
                <w:lang w:val="en-US"/>
              </w:rPr>
              <w:t>Draft standard IEEE P1901</w:t>
            </w:r>
          </w:p>
        </w:tc>
        <w:tc>
          <w:tcPr>
            <w:tcW w:w="2179" w:type="pct"/>
            <w:vAlign w:val="center"/>
          </w:tcPr>
          <w:p w:rsidR="00BF14E0" w:rsidRPr="00395811" w:rsidRDefault="00BF14E0" w:rsidP="00395811">
            <w:pPr>
              <w:pStyle w:val="Tabletext"/>
              <w:jc w:val="center"/>
              <w:rPr>
                <w:sz w:val="20"/>
                <w:lang w:val="en-US"/>
              </w:rPr>
            </w:pPr>
            <w:r w:rsidRPr="00395811">
              <w:rPr>
                <w:sz w:val="20"/>
                <w:lang w:val="en-US"/>
              </w:rPr>
              <w:t>−85 dBm/Hz (AV)</w:t>
            </w:r>
          </w:p>
        </w:tc>
      </w:tr>
    </w:tbl>
    <w:p w:rsidR="00BF14E0" w:rsidRPr="006A444B" w:rsidRDefault="00BF14E0" w:rsidP="00BF14E0">
      <w:pPr>
        <w:rPr>
          <w:lang w:val="en-US"/>
        </w:rPr>
      </w:pPr>
      <w:r w:rsidRPr="006A444B">
        <w:rPr>
          <w:lang w:val="en-US"/>
        </w:rPr>
        <w:t>For noise-like communication signals, the relation between the readings of the measurement receiver obtained from different detectors is the following:</w:t>
      </w:r>
    </w:p>
    <w:p w:rsidR="00BF14E0" w:rsidRPr="006A444B" w:rsidRDefault="00BF14E0" w:rsidP="00BF14E0">
      <w:pPr>
        <w:pStyle w:val="enumlev1"/>
        <w:rPr>
          <w:lang w:val="en-US"/>
        </w:rPr>
      </w:pPr>
      <w:r w:rsidRPr="006A444B">
        <w:rPr>
          <w:lang w:val="en-US"/>
        </w:rPr>
        <w:t>a)</w:t>
      </w:r>
      <w:r w:rsidRPr="006A444B">
        <w:rPr>
          <w:lang w:val="en-US"/>
        </w:rPr>
        <w:tab/>
        <w:t>peak (PK)</w:t>
      </w:r>
      <w:r w:rsidRPr="006A444B">
        <w:rPr>
          <w:lang w:val="en-US"/>
        </w:rPr>
        <w:tab/>
      </w:r>
      <w:r w:rsidRPr="006A444B">
        <w:rPr>
          <w:lang w:val="en-US"/>
        </w:rPr>
        <w:tab/>
      </w:r>
      <w:r w:rsidRPr="006A444B">
        <w:rPr>
          <w:lang w:val="en-US"/>
        </w:rPr>
        <w:tab/>
      </w:r>
      <w:r w:rsidRPr="006A444B">
        <w:rPr>
          <w:lang w:val="en-US"/>
        </w:rPr>
        <w:tab/>
      </w:r>
      <w:r w:rsidR="00395811">
        <w:rPr>
          <w:lang w:val="en-US"/>
        </w:rPr>
        <w:tab/>
      </w:r>
      <w:r w:rsidRPr="006A444B">
        <w:rPr>
          <w:lang w:val="en-US"/>
        </w:rPr>
        <w:t>0 dB</w:t>
      </w:r>
      <w:r w:rsidRPr="006A444B">
        <w:rPr>
          <w:lang w:val="en-US"/>
        </w:rPr>
        <w:tab/>
        <w:t>reference value</w:t>
      </w:r>
    </w:p>
    <w:p w:rsidR="00BF14E0" w:rsidRPr="006A444B" w:rsidRDefault="00BF14E0" w:rsidP="00BF14E0">
      <w:pPr>
        <w:pStyle w:val="enumlev1"/>
        <w:rPr>
          <w:lang w:val="en-US"/>
        </w:rPr>
      </w:pPr>
      <w:r w:rsidRPr="006A444B">
        <w:rPr>
          <w:lang w:val="en-US"/>
        </w:rPr>
        <w:t>b)</w:t>
      </w:r>
      <w:r w:rsidRPr="006A444B">
        <w:rPr>
          <w:lang w:val="en-US"/>
        </w:rPr>
        <w:tab/>
        <w:t>quasi peak (QP)</w:t>
      </w:r>
      <w:r w:rsidRPr="006A444B">
        <w:rPr>
          <w:lang w:val="en-US"/>
        </w:rPr>
        <w:tab/>
      </w:r>
      <w:r w:rsidRPr="006A444B">
        <w:rPr>
          <w:lang w:val="en-US"/>
        </w:rPr>
        <w:tab/>
      </w:r>
      <w:r w:rsidRPr="006A444B">
        <w:rPr>
          <w:lang w:val="en-US"/>
        </w:rPr>
        <w:tab/>
        <w:t>−2 dB</w:t>
      </w:r>
    </w:p>
    <w:p w:rsidR="00BF14E0" w:rsidRPr="006A444B" w:rsidRDefault="00BF14E0" w:rsidP="00BF14E0">
      <w:pPr>
        <w:pStyle w:val="enumlev1"/>
        <w:rPr>
          <w:lang w:val="en-US"/>
        </w:rPr>
      </w:pPr>
      <w:r w:rsidRPr="006A444B">
        <w:rPr>
          <w:lang w:val="en-US"/>
        </w:rPr>
        <w:t>c)</w:t>
      </w:r>
      <w:r w:rsidRPr="006A444B">
        <w:rPr>
          <w:lang w:val="en-US"/>
        </w:rPr>
        <w:tab/>
        <w:t>root mean square (RMS)</w:t>
      </w:r>
      <w:r w:rsidRPr="006A444B">
        <w:rPr>
          <w:lang w:val="en-US"/>
        </w:rPr>
        <w:tab/>
      </w:r>
      <w:r w:rsidRPr="006A444B">
        <w:rPr>
          <w:lang w:val="en-US"/>
        </w:rPr>
        <w:tab/>
        <w:t>−10 dB</w:t>
      </w:r>
    </w:p>
    <w:p w:rsidR="00BF14E0" w:rsidRPr="006A444B" w:rsidRDefault="00BF14E0" w:rsidP="00BF14E0">
      <w:pPr>
        <w:pStyle w:val="enumlev1"/>
        <w:rPr>
          <w:lang w:val="en-US"/>
        </w:rPr>
      </w:pPr>
      <w:r w:rsidRPr="006A444B">
        <w:rPr>
          <w:lang w:val="en-US"/>
        </w:rPr>
        <w:t>d)</w:t>
      </w:r>
      <w:r w:rsidRPr="006A444B">
        <w:rPr>
          <w:lang w:val="en-US"/>
        </w:rPr>
        <w:tab/>
        <w:t>average (AV)</w:t>
      </w:r>
      <w:r w:rsidRPr="006A444B">
        <w:rPr>
          <w:lang w:val="en-US"/>
        </w:rPr>
        <w:tab/>
      </w:r>
      <w:r w:rsidRPr="006A444B">
        <w:rPr>
          <w:lang w:val="en-US"/>
        </w:rPr>
        <w:tab/>
      </w:r>
      <w:r w:rsidRPr="006A444B">
        <w:rPr>
          <w:lang w:val="en-US"/>
        </w:rPr>
        <w:tab/>
      </w:r>
      <w:r w:rsidRPr="006A444B">
        <w:rPr>
          <w:lang w:val="en-US"/>
        </w:rPr>
        <w:tab/>
        <w:t>−12 dB</w:t>
      </w:r>
    </w:p>
    <w:p w:rsidR="00BF14E0" w:rsidRPr="006A444B" w:rsidRDefault="00BF14E0" w:rsidP="00BF14E0">
      <w:pPr>
        <w:rPr>
          <w:lang w:val="en-US"/>
        </w:rPr>
      </w:pPr>
      <w:r w:rsidRPr="006A444B">
        <w:rPr>
          <w:lang w:val="en-US"/>
        </w:rPr>
        <w:t xml:space="preserve">In the following calculation a maximum transmit PSD level </w:t>
      </w:r>
      <w:r w:rsidR="00395811">
        <w:rPr>
          <w:lang w:val="en-US"/>
        </w:rPr>
        <w:t>of −85 dB/Hz (RMS) is used. The </w:t>
      </w:r>
      <w:r w:rsidRPr="006A444B">
        <w:rPr>
          <w:lang w:val="en-US"/>
        </w:rPr>
        <w:t>maximum power spectral density is assumed to be constant for frequencies above 30 MHz</w:t>
      </w:r>
      <w:r w:rsidR="00395811">
        <w:rPr>
          <w:lang w:val="en-US"/>
        </w:rPr>
        <w:t>. The </w:t>
      </w:r>
      <w:r w:rsidRPr="006A444B">
        <w:rPr>
          <w:lang w:val="en-US"/>
        </w:rPr>
        <w:t>conversion into the aggregated radiated field strength at 10 m from the building (</w:t>
      </w:r>
      <w:r w:rsidRPr="006A444B">
        <w:rPr>
          <w:u w:val="single"/>
          <w:lang w:val="en-US"/>
        </w:rPr>
        <w:t>measured with a peak detector</w:t>
      </w:r>
      <w:r w:rsidRPr="006A444B">
        <w:rPr>
          <w:lang w:val="en-US"/>
        </w:rPr>
        <w:t xml:space="preserve">) was performed by the same method (finite-element modelling) as already described in a previous contribution on the compatibility between HF aeronautical </w:t>
      </w:r>
      <w:smartTag w:uri="urn:schemas-microsoft-com:office:smarttags" w:element="place">
        <w:r w:rsidRPr="006A444B">
          <w:rPr>
            <w:lang w:val="en-US"/>
          </w:rPr>
          <w:t>Mobile</w:t>
        </w:r>
      </w:smartTag>
      <w:r w:rsidRPr="006A444B">
        <w:rPr>
          <w:lang w:val="en-US"/>
        </w:rPr>
        <w:t xml:space="preserve"> radio and PLT</w:t>
      </w:r>
      <w:r w:rsidRPr="006A444B">
        <w:rPr>
          <w:rStyle w:val="FootnoteReference"/>
          <w:i/>
          <w:lang w:val="en-US"/>
        </w:rPr>
        <w:footnoteReference w:id="4"/>
      </w:r>
      <w:r w:rsidRPr="006A444B">
        <w:rPr>
          <w:lang w:val="en-US"/>
        </w:rPr>
        <w:t>.</w:t>
      </w:r>
    </w:p>
    <w:p w:rsidR="00BF14E0" w:rsidRPr="006A444B" w:rsidRDefault="00BF14E0" w:rsidP="00BF14E0">
      <w:pPr>
        <w:rPr>
          <w:lang w:val="en-US"/>
        </w:rPr>
      </w:pPr>
      <w:r w:rsidRPr="006A444B">
        <w:rPr>
          <w:lang w:val="en-US"/>
        </w:rPr>
        <w:t>Assuming an isotropic antenna, the field strength can be converted into power by:</w:t>
      </w:r>
    </w:p>
    <w:p w:rsidR="00BF14E0" w:rsidRPr="006A444B" w:rsidRDefault="00BF14E0" w:rsidP="00BF14E0">
      <w:pPr>
        <w:pStyle w:val="Equation"/>
        <w:jc w:val="center"/>
        <w:rPr>
          <w:lang w:val="en-US"/>
        </w:rPr>
      </w:pPr>
      <w:r w:rsidRPr="006A444B">
        <w:rPr>
          <w:position w:val="-12"/>
          <w:lang w:val="en-US"/>
        </w:rPr>
        <w:object w:dxaOrig="2320" w:dyaOrig="360">
          <v:shape id="_x0000_i1088" type="#_x0000_t75" style="width:116.25pt;height:17.25pt" o:ole="">
            <v:imagedata r:id="rId76" o:title=""/>
          </v:shape>
          <o:OLEObject Type="Embed" ProgID="Equation.3" ShapeID="_x0000_i1088" DrawAspect="Content" ObjectID="_1340453066" r:id="rId77"/>
        </w:object>
      </w:r>
    </w:p>
    <w:p w:rsidR="00BF14E0" w:rsidRPr="006A444B" w:rsidRDefault="00BF14E0" w:rsidP="00BF14E0">
      <w:pPr>
        <w:jc w:val="both"/>
        <w:rPr>
          <w:lang w:val="en-US"/>
        </w:rPr>
      </w:pPr>
      <w:r w:rsidRPr="006A444B">
        <w:rPr>
          <w:lang w:val="en-US"/>
        </w:rPr>
        <w:t>where:</w:t>
      </w:r>
    </w:p>
    <w:p w:rsidR="00BF14E0" w:rsidRPr="006A444B" w:rsidRDefault="00BF14E0" w:rsidP="00BF14E0">
      <w:pPr>
        <w:pStyle w:val="Equationlegend"/>
        <w:rPr>
          <w:lang w:val="en-US"/>
        </w:rPr>
      </w:pPr>
      <w:r w:rsidRPr="006A444B">
        <w:rPr>
          <w:lang w:val="en-US"/>
        </w:rPr>
        <w:tab/>
      </w:r>
      <w:r w:rsidRPr="006A444B">
        <w:rPr>
          <w:i/>
          <w:iCs/>
          <w:lang w:val="en-US"/>
        </w:rPr>
        <w:t>E</w:t>
      </w:r>
      <w:r w:rsidRPr="006A444B">
        <w:rPr>
          <w:lang w:val="en-US"/>
        </w:rPr>
        <w:t>:</w:t>
      </w:r>
      <w:r w:rsidRPr="006A444B">
        <w:rPr>
          <w:lang w:val="en-US"/>
        </w:rPr>
        <w:tab/>
        <w:t>field strength in dBµV/m</w:t>
      </w:r>
      <w:r w:rsidR="00395811">
        <w:rPr>
          <w:lang w:val="en-US"/>
        </w:rPr>
        <w:t>;</w:t>
      </w:r>
    </w:p>
    <w:p w:rsidR="00BF14E0" w:rsidRPr="006A444B" w:rsidRDefault="00BF14E0" w:rsidP="00BF14E0">
      <w:pPr>
        <w:pStyle w:val="Equationlegend"/>
        <w:rPr>
          <w:lang w:val="en-US"/>
        </w:rPr>
      </w:pPr>
      <w:r w:rsidRPr="006A444B">
        <w:rPr>
          <w:lang w:val="en-US"/>
        </w:rPr>
        <w:tab/>
      </w:r>
      <w:r w:rsidRPr="006A444B">
        <w:rPr>
          <w:i/>
          <w:iCs/>
          <w:lang w:val="en-US"/>
        </w:rPr>
        <w:t>P</w:t>
      </w:r>
      <w:r w:rsidRPr="006A444B">
        <w:rPr>
          <w:i/>
          <w:iCs/>
          <w:vertAlign w:val="subscript"/>
          <w:lang w:val="en-US"/>
        </w:rPr>
        <w:t>t</w:t>
      </w:r>
      <w:r w:rsidRPr="006A444B">
        <w:rPr>
          <w:lang w:val="en-US"/>
        </w:rPr>
        <w:t>:</w:t>
      </w:r>
      <w:r w:rsidRPr="006A444B">
        <w:rPr>
          <w:vertAlign w:val="subscript"/>
          <w:lang w:val="en-US"/>
        </w:rPr>
        <w:tab/>
      </w:r>
      <w:r w:rsidRPr="006A444B">
        <w:rPr>
          <w:lang w:val="en-US"/>
        </w:rPr>
        <w:t>power in dBm</w:t>
      </w:r>
      <w:r w:rsidR="00395811">
        <w:rPr>
          <w:lang w:val="en-US"/>
        </w:rPr>
        <w:t>;</w:t>
      </w:r>
    </w:p>
    <w:p w:rsidR="00BF14E0" w:rsidRPr="006A444B" w:rsidRDefault="00BF14E0" w:rsidP="00BF14E0">
      <w:pPr>
        <w:pStyle w:val="Equationlegend"/>
        <w:rPr>
          <w:lang w:val="en-US"/>
        </w:rPr>
      </w:pPr>
      <w:r w:rsidRPr="006A444B">
        <w:rPr>
          <w:lang w:val="en-US"/>
        </w:rPr>
        <w:tab/>
      </w:r>
      <w:r w:rsidRPr="006A444B">
        <w:rPr>
          <w:i/>
          <w:iCs/>
          <w:lang w:val="en-US"/>
        </w:rPr>
        <w:t>d</w:t>
      </w:r>
      <w:r w:rsidRPr="006A444B">
        <w:rPr>
          <w:lang w:val="en-US"/>
        </w:rPr>
        <w:t>:</w:t>
      </w:r>
      <w:r w:rsidRPr="006A444B">
        <w:rPr>
          <w:lang w:val="en-US"/>
        </w:rPr>
        <w:tab/>
        <w:t>distance in km</w:t>
      </w:r>
      <w:r w:rsidR="00395811">
        <w:rPr>
          <w:lang w:val="en-US"/>
        </w:rPr>
        <w:t>.</w:t>
      </w:r>
    </w:p>
    <w:p w:rsidR="00BF14E0" w:rsidRPr="006A444B" w:rsidRDefault="00BF14E0" w:rsidP="00395811">
      <w:pPr>
        <w:spacing w:before="240"/>
        <w:rPr>
          <w:lang w:val="en-US"/>
        </w:rPr>
      </w:pPr>
      <w:r w:rsidRPr="006A444B">
        <w:rPr>
          <w:lang w:val="en-US"/>
        </w:rPr>
        <w:t>The same assumptions as in section 3 were used: an interferer dens</w:t>
      </w:r>
      <w:r w:rsidR="00395811">
        <w:rPr>
          <w:lang w:val="en-US"/>
        </w:rPr>
        <w:t>ity of 250 interferer/km² and a </w:t>
      </w:r>
      <w:r w:rsidRPr="006A444B">
        <w:rPr>
          <w:lang w:val="en-US"/>
        </w:rPr>
        <w:t xml:space="preserve">flight altitude of 1 km. </w:t>
      </w:r>
    </w:p>
    <w:p w:rsidR="00BF14E0" w:rsidRPr="00395811" w:rsidRDefault="00BF14E0" w:rsidP="00395811">
      <w:pPr>
        <w:pStyle w:val="TableNo"/>
        <w:rPr>
          <w:sz w:val="20"/>
          <w:lang w:val="en-US"/>
        </w:rPr>
      </w:pPr>
      <w:r w:rsidRPr="00395811">
        <w:rPr>
          <w:sz w:val="20"/>
          <w:lang w:val="en-US"/>
        </w:rPr>
        <w:t xml:space="preserve">Table 4 </w:t>
      </w:r>
    </w:p>
    <w:p w:rsidR="00BF14E0" w:rsidRPr="00395811" w:rsidRDefault="00BF14E0" w:rsidP="00395811">
      <w:pPr>
        <w:pStyle w:val="Tabletitle"/>
        <w:rPr>
          <w:sz w:val="20"/>
          <w:lang w:val="en-US"/>
        </w:rPr>
      </w:pPr>
      <w:r w:rsidRPr="00395811">
        <w:rPr>
          <w:sz w:val="20"/>
          <w:lang w:val="en-US"/>
        </w:rPr>
        <w:t>Maximum power flux-density at the airborne receiver</w:t>
      </w:r>
    </w:p>
    <w:tbl>
      <w:tblPr>
        <w:tblW w:w="4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2"/>
        <w:gridCol w:w="1972"/>
        <w:gridCol w:w="1972"/>
        <w:gridCol w:w="1970"/>
      </w:tblGrid>
      <w:tr w:rsidR="00BF14E0" w:rsidRPr="00395811" w:rsidTr="00BF14E0">
        <w:trPr>
          <w:trHeight w:val="455"/>
          <w:jc w:val="center"/>
        </w:trPr>
        <w:tc>
          <w:tcPr>
            <w:tcW w:w="1250" w:type="pct"/>
          </w:tcPr>
          <w:p w:rsidR="00BF14E0" w:rsidRPr="00395811" w:rsidRDefault="00BF14E0" w:rsidP="00395811">
            <w:pPr>
              <w:pStyle w:val="Tablehead"/>
              <w:rPr>
                <w:sz w:val="20"/>
                <w:lang w:val="en-US"/>
              </w:rPr>
            </w:pPr>
            <w:r w:rsidRPr="00395811">
              <w:rPr>
                <w:sz w:val="20"/>
                <w:lang w:val="en-US"/>
              </w:rPr>
              <w:t>Maximum power spectral density for PLT devices above 30 MHz</w:t>
            </w:r>
          </w:p>
        </w:tc>
        <w:tc>
          <w:tcPr>
            <w:tcW w:w="1250" w:type="pct"/>
          </w:tcPr>
          <w:p w:rsidR="00BF14E0" w:rsidRPr="00395811" w:rsidRDefault="00BF14E0" w:rsidP="00395811">
            <w:pPr>
              <w:pStyle w:val="Tablehead"/>
              <w:rPr>
                <w:sz w:val="20"/>
                <w:lang w:val="en-US"/>
              </w:rPr>
            </w:pPr>
            <w:r w:rsidRPr="00395811">
              <w:rPr>
                <w:sz w:val="20"/>
                <w:lang w:val="en-US"/>
              </w:rPr>
              <w:t>Aggregated radiated field strength at 10 m distance from the building</w:t>
            </w:r>
          </w:p>
        </w:tc>
        <w:tc>
          <w:tcPr>
            <w:tcW w:w="1250" w:type="pct"/>
          </w:tcPr>
          <w:p w:rsidR="00BF14E0" w:rsidRPr="00395811" w:rsidRDefault="00BF14E0" w:rsidP="00395811">
            <w:pPr>
              <w:pStyle w:val="Tablehead"/>
              <w:rPr>
                <w:sz w:val="20"/>
                <w:lang w:val="en-US"/>
              </w:rPr>
            </w:pPr>
            <w:r w:rsidRPr="00395811">
              <w:rPr>
                <w:sz w:val="20"/>
                <w:lang w:val="en-US"/>
              </w:rPr>
              <w:t>Aggregated power corresponding to the field strength</w:t>
            </w:r>
          </w:p>
        </w:tc>
        <w:tc>
          <w:tcPr>
            <w:tcW w:w="1249" w:type="pct"/>
          </w:tcPr>
          <w:p w:rsidR="00BF14E0" w:rsidRPr="00395811" w:rsidRDefault="00BF14E0" w:rsidP="00395811">
            <w:pPr>
              <w:pStyle w:val="Tablehead"/>
              <w:rPr>
                <w:sz w:val="20"/>
                <w:lang w:val="en-US"/>
              </w:rPr>
            </w:pPr>
            <w:r w:rsidRPr="00395811">
              <w:rPr>
                <w:sz w:val="20"/>
                <w:lang w:val="en-US"/>
              </w:rPr>
              <w:t>PFD</w:t>
            </w:r>
          </w:p>
          <w:p w:rsidR="00BF14E0" w:rsidRPr="00395811" w:rsidRDefault="00BF14E0" w:rsidP="00395811">
            <w:pPr>
              <w:pStyle w:val="Tablehead"/>
              <w:rPr>
                <w:sz w:val="20"/>
                <w:lang w:val="en-US"/>
              </w:rPr>
            </w:pPr>
            <w:r w:rsidRPr="00395811">
              <w:rPr>
                <w:sz w:val="20"/>
                <w:lang w:val="en-US"/>
              </w:rPr>
              <w:t>Aggregated power flux-density at the airborne receiver</w:t>
            </w:r>
          </w:p>
        </w:tc>
      </w:tr>
      <w:tr w:rsidR="00BF14E0" w:rsidRPr="004F110A" w:rsidTr="00BF14E0">
        <w:trPr>
          <w:trHeight w:val="456"/>
          <w:jc w:val="center"/>
        </w:trPr>
        <w:tc>
          <w:tcPr>
            <w:tcW w:w="1250" w:type="pct"/>
            <w:vAlign w:val="center"/>
          </w:tcPr>
          <w:p w:rsidR="00BF14E0" w:rsidRPr="004F110A" w:rsidRDefault="00BF14E0" w:rsidP="004F110A">
            <w:pPr>
              <w:pStyle w:val="Tabletext"/>
              <w:jc w:val="center"/>
              <w:rPr>
                <w:sz w:val="20"/>
                <w:lang w:val="en-US"/>
              </w:rPr>
            </w:pPr>
            <w:r w:rsidRPr="004F110A">
              <w:rPr>
                <w:sz w:val="20"/>
                <w:lang w:val="en-US"/>
              </w:rPr>
              <w:t>−85 dBm/Hz (RMS)</w:t>
            </w:r>
          </w:p>
        </w:tc>
        <w:tc>
          <w:tcPr>
            <w:tcW w:w="1250" w:type="pct"/>
            <w:vAlign w:val="center"/>
          </w:tcPr>
          <w:p w:rsidR="00BF14E0" w:rsidRPr="004F110A" w:rsidRDefault="00BF14E0" w:rsidP="004F110A">
            <w:pPr>
              <w:pStyle w:val="Tabletext"/>
              <w:jc w:val="center"/>
              <w:rPr>
                <w:sz w:val="20"/>
                <w:lang w:val="en-US"/>
              </w:rPr>
            </w:pPr>
            <w:r w:rsidRPr="004F110A">
              <w:rPr>
                <w:sz w:val="20"/>
                <w:lang w:val="en-US"/>
              </w:rPr>
              <w:t>33 dBµV/m (PK)</w:t>
            </w:r>
          </w:p>
        </w:tc>
        <w:tc>
          <w:tcPr>
            <w:tcW w:w="1250" w:type="pct"/>
            <w:vAlign w:val="center"/>
          </w:tcPr>
          <w:p w:rsidR="00BF14E0" w:rsidRPr="004F110A" w:rsidRDefault="00BF14E0" w:rsidP="004F110A">
            <w:pPr>
              <w:pStyle w:val="Tabletext"/>
              <w:jc w:val="center"/>
              <w:rPr>
                <w:sz w:val="20"/>
                <w:lang w:val="en-US"/>
              </w:rPr>
            </w:pPr>
            <w:r w:rsidRPr="004F110A">
              <w:rPr>
                <w:sz w:val="20"/>
                <w:lang w:val="en-US"/>
              </w:rPr>
              <w:t>4 nW (PK)</w:t>
            </w:r>
          </w:p>
        </w:tc>
        <w:tc>
          <w:tcPr>
            <w:tcW w:w="1249" w:type="pct"/>
            <w:vAlign w:val="center"/>
          </w:tcPr>
          <w:p w:rsidR="00BF14E0" w:rsidRPr="004F110A" w:rsidRDefault="00BF14E0" w:rsidP="004F110A">
            <w:pPr>
              <w:pStyle w:val="Tabletext"/>
              <w:jc w:val="center"/>
              <w:rPr>
                <w:sz w:val="20"/>
                <w:lang w:val="en-US"/>
              </w:rPr>
            </w:pPr>
            <w:r w:rsidRPr="004F110A">
              <w:rPr>
                <w:sz w:val="20"/>
                <w:lang w:val="en-US"/>
              </w:rPr>
              <w:t>3.903 pW/m² (PK)</w:t>
            </w:r>
          </w:p>
        </w:tc>
      </w:tr>
    </w:tbl>
    <w:p w:rsidR="00BF14E0" w:rsidRPr="006A444B" w:rsidRDefault="00BF14E0" w:rsidP="00BF14E0">
      <w:pPr>
        <w:spacing w:before="0"/>
        <w:rPr>
          <w:b/>
          <w:sz w:val="20"/>
          <w:lang w:val="en-US"/>
        </w:rPr>
      </w:pPr>
    </w:p>
    <w:p w:rsidR="00BF14E0" w:rsidRPr="006A444B" w:rsidRDefault="00BF14E0" w:rsidP="00BF14E0">
      <w:pPr>
        <w:rPr>
          <w:lang w:val="en-US"/>
        </w:rPr>
      </w:pPr>
      <w:r w:rsidRPr="006A444B">
        <w:rPr>
          <w:lang w:val="en-US"/>
        </w:rPr>
        <w:t xml:space="preserve">In </w:t>
      </w:r>
      <w:r w:rsidRPr="006A444B">
        <w:rPr>
          <w:bCs/>
          <w:lang w:val="en-US"/>
        </w:rPr>
        <w:t>Table 4</w:t>
      </w:r>
      <w:r w:rsidRPr="006A444B">
        <w:rPr>
          <w:lang w:val="en-US"/>
        </w:rPr>
        <w:t xml:space="preserve"> it can be seen that a PLT device, with a maximum power spectral density of </w:t>
      </w:r>
      <w:r w:rsidRPr="006A444B">
        <w:rPr>
          <w:lang w:val="en-US"/>
        </w:rPr>
        <w:br/>
        <w:t>−85 dBm/Hz (RMS), causes a radiation of a field strength of 33 dBµV/m measured with a peak detector.</w:t>
      </w:r>
    </w:p>
    <w:p w:rsidR="00BF14E0" w:rsidRPr="006A444B" w:rsidRDefault="00BF14E0" w:rsidP="00BF14E0">
      <w:pPr>
        <w:pStyle w:val="Heading3"/>
        <w:rPr>
          <w:lang w:val="en-US"/>
        </w:rPr>
      </w:pPr>
      <w:bookmarkStart w:id="47" w:name="_Toc265129571"/>
      <w:r w:rsidRPr="006A444B">
        <w:rPr>
          <w:lang w:val="en-US"/>
        </w:rPr>
        <w:t>A2.2.4</w:t>
      </w:r>
      <w:r w:rsidRPr="006A444B">
        <w:rPr>
          <w:lang w:val="en-US"/>
        </w:rPr>
        <w:tab/>
        <w:t>Comparison of interference threshold required for airborne receiver and interference caused by PLT systems</w:t>
      </w:r>
      <w:bookmarkEnd w:id="47"/>
    </w:p>
    <w:p w:rsidR="00BF14E0" w:rsidRPr="006A444B" w:rsidRDefault="00BF14E0" w:rsidP="00BF14E0">
      <w:pPr>
        <w:rPr>
          <w:lang w:val="en-US"/>
        </w:rPr>
      </w:pPr>
      <w:r w:rsidRPr="006A444B">
        <w:rPr>
          <w:lang w:val="en-US"/>
        </w:rPr>
        <w:t>The maximum permissible interference field strength and power flux-density at the airborne receiver are listed in Table 2. The corresponding aggregated power flux-density at the airborne receiver radiated by PLT is contained in Table 4. This value is converted into the maximum radiated field strength at the airborne receiver.</w:t>
      </w:r>
    </w:p>
    <w:p w:rsidR="00BF14E0" w:rsidRPr="006A444B" w:rsidRDefault="00BF14E0" w:rsidP="00BF14E0">
      <w:pPr>
        <w:rPr>
          <w:lang w:val="en-US"/>
        </w:rPr>
      </w:pPr>
      <w:r w:rsidRPr="006A444B">
        <w:rPr>
          <w:lang w:val="en-US"/>
        </w:rPr>
        <w:t xml:space="preserve">The permissible field strength and PFD (see section 2) are compared with the radiated values (see section 4) in the following Table 5. For better comparison the </w:t>
      </w:r>
      <w:r w:rsidRPr="006A444B">
        <w:rPr>
          <w:u w:val="single"/>
          <w:lang w:val="en-US"/>
        </w:rPr>
        <w:t>peak</w:t>
      </w:r>
      <w:r w:rsidRPr="006A444B">
        <w:rPr>
          <w:lang w:val="en-US"/>
        </w:rPr>
        <w:t xml:space="preserve"> values used for the PLT interference in Table 4 are referred to </w:t>
      </w:r>
      <w:r w:rsidRPr="006A444B">
        <w:rPr>
          <w:u w:val="single"/>
          <w:lang w:val="en-US"/>
        </w:rPr>
        <w:t>quasi peak</w:t>
      </w:r>
      <w:r w:rsidRPr="006A444B">
        <w:rPr>
          <w:lang w:val="en-US"/>
        </w:rPr>
        <w:t xml:space="preserve"> in following considerations, i.e. reduction of 2 dB.</w:t>
      </w:r>
    </w:p>
    <w:p w:rsidR="00BF14E0" w:rsidRPr="004F110A" w:rsidRDefault="004F110A" w:rsidP="004F110A">
      <w:pPr>
        <w:pStyle w:val="TableNo"/>
        <w:rPr>
          <w:sz w:val="20"/>
          <w:lang w:val="en-US"/>
        </w:rPr>
      </w:pPr>
      <w:r>
        <w:rPr>
          <w:sz w:val="20"/>
          <w:lang w:val="en-US"/>
        </w:rPr>
        <w:t>Table 5</w:t>
      </w:r>
    </w:p>
    <w:p w:rsidR="00BF14E0" w:rsidRPr="004F110A" w:rsidRDefault="00BF14E0" w:rsidP="004F110A">
      <w:pPr>
        <w:pStyle w:val="Tabletitle"/>
        <w:rPr>
          <w:sz w:val="20"/>
          <w:lang w:val="en-US"/>
        </w:rPr>
      </w:pPr>
      <w:r w:rsidRPr="004F110A">
        <w:rPr>
          <w:sz w:val="20"/>
          <w:lang w:val="en-US"/>
        </w:rPr>
        <w:t>Comparison of maximum permissible and aggregated radiated field strength at the airborne receiver</w:t>
      </w:r>
      <w:r w:rsidR="004F110A">
        <w:rPr>
          <w:sz w:val="20"/>
          <w:lang w:val="en-US"/>
        </w:rPr>
        <w:br/>
      </w:r>
      <w:r w:rsidRPr="004F110A">
        <w:rPr>
          <w:sz w:val="20"/>
          <w:lang w:val="en-US"/>
        </w:rPr>
        <w:t>and margin required for protection (all values given in terms of QP)</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1512"/>
        <w:gridCol w:w="1647"/>
        <w:gridCol w:w="1701"/>
        <w:gridCol w:w="1800"/>
        <w:gridCol w:w="1440"/>
      </w:tblGrid>
      <w:tr w:rsidR="00BF14E0" w:rsidRPr="004F110A" w:rsidTr="00BF14E0">
        <w:trPr>
          <w:jc w:val="center"/>
        </w:trPr>
        <w:tc>
          <w:tcPr>
            <w:tcW w:w="2160" w:type="dxa"/>
          </w:tcPr>
          <w:p w:rsidR="00BF14E0" w:rsidRPr="004F110A" w:rsidRDefault="00BF14E0" w:rsidP="004F110A">
            <w:pPr>
              <w:pStyle w:val="Tablehead"/>
              <w:rPr>
                <w:sz w:val="20"/>
                <w:lang w:val="en-US"/>
              </w:rPr>
            </w:pPr>
          </w:p>
        </w:tc>
        <w:tc>
          <w:tcPr>
            <w:tcW w:w="1512" w:type="dxa"/>
          </w:tcPr>
          <w:p w:rsidR="00BF14E0" w:rsidRPr="004F110A" w:rsidRDefault="00BF14E0" w:rsidP="004F110A">
            <w:pPr>
              <w:pStyle w:val="Tablehead"/>
              <w:rPr>
                <w:sz w:val="20"/>
                <w:lang w:val="en-US"/>
              </w:rPr>
            </w:pPr>
            <w:r w:rsidRPr="004F110A">
              <w:rPr>
                <w:sz w:val="20"/>
                <w:lang w:val="en-US"/>
              </w:rPr>
              <w:t xml:space="preserve">Maximum permissible interference field strength </w:t>
            </w:r>
          </w:p>
        </w:tc>
        <w:tc>
          <w:tcPr>
            <w:tcW w:w="1647" w:type="dxa"/>
          </w:tcPr>
          <w:p w:rsidR="00BF14E0" w:rsidRPr="004F110A" w:rsidRDefault="00BF14E0" w:rsidP="004F110A">
            <w:pPr>
              <w:pStyle w:val="Tablehead"/>
              <w:rPr>
                <w:sz w:val="20"/>
                <w:lang w:val="en-US"/>
              </w:rPr>
            </w:pPr>
            <w:r w:rsidRPr="004F110A">
              <w:rPr>
                <w:sz w:val="20"/>
                <w:lang w:val="en-US"/>
              </w:rPr>
              <w:t xml:space="preserve">Maximum permissible power flux-density </w:t>
            </w:r>
          </w:p>
        </w:tc>
        <w:tc>
          <w:tcPr>
            <w:tcW w:w="1701" w:type="dxa"/>
          </w:tcPr>
          <w:p w:rsidR="00BF14E0" w:rsidRPr="004F110A" w:rsidRDefault="00BF14E0" w:rsidP="004F110A">
            <w:pPr>
              <w:pStyle w:val="Tablehead"/>
              <w:rPr>
                <w:sz w:val="20"/>
                <w:lang w:val="en-US"/>
              </w:rPr>
            </w:pPr>
            <w:r w:rsidRPr="004F110A">
              <w:rPr>
                <w:sz w:val="20"/>
                <w:lang w:val="en-US"/>
              </w:rPr>
              <w:t xml:space="preserve">Aggregated radiated field strength </w:t>
            </w:r>
          </w:p>
        </w:tc>
        <w:tc>
          <w:tcPr>
            <w:tcW w:w="1800" w:type="dxa"/>
          </w:tcPr>
          <w:p w:rsidR="00BF14E0" w:rsidRPr="004F110A" w:rsidRDefault="00BF14E0" w:rsidP="004F110A">
            <w:pPr>
              <w:pStyle w:val="Tablehead"/>
              <w:rPr>
                <w:sz w:val="20"/>
                <w:lang w:val="en-US"/>
              </w:rPr>
            </w:pPr>
            <w:r w:rsidRPr="004F110A">
              <w:rPr>
                <w:sz w:val="20"/>
                <w:lang w:val="en-US"/>
              </w:rPr>
              <w:t xml:space="preserve">Aggregated radiated power flux-density </w:t>
            </w:r>
          </w:p>
        </w:tc>
        <w:tc>
          <w:tcPr>
            <w:tcW w:w="1440" w:type="dxa"/>
          </w:tcPr>
          <w:p w:rsidR="00BF14E0" w:rsidRPr="004F110A" w:rsidRDefault="00BF14E0" w:rsidP="004F110A">
            <w:pPr>
              <w:pStyle w:val="Tablehead"/>
              <w:rPr>
                <w:sz w:val="20"/>
                <w:lang w:val="en-US"/>
              </w:rPr>
            </w:pPr>
            <w:r w:rsidRPr="004F110A">
              <w:rPr>
                <w:sz w:val="20"/>
                <w:lang w:val="en-US"/>
              </w:rPr>
              <w:t xml:space="preserve">Margin required for protection </w:t>
            </w:r>
          </w:p>
        </w:tc>
      </w:tr>
      <w:tr w:rsidR="00BF14E0" w:rsidRPr="004F110A" w:rsidTr="00BF14E0">
        <w:trPr>
          <w:jc w:val="center"/>
        </w:trPr>
        <w:tc>
          <w:tcPr>
            <w:tcW w:w="2160" w:type="dxa"/>
            <w:vAlign w:val="center"/>
          </w:tcPr>
          <w:p w:rsidR="00BF14E0" w:rsidRPr="004F110A" w:rsidRDefault="00BF14E0" w:rsidP="004F110A">
            <w:pPr>
              <w:pStyle w:val="Tabletext"/>
              <w:rPr>
                <w:sz w:val="20"/>
                <w:lang w:val="de-CH"/>
              </w:rPr>
            </w:pPr>
            <w:r w:rsidRPr="004F110A">
              <w:rPr>
                <w:sz w:val="20"/>
                <w:lang w:val="de-CH"/>
              </w:rPr>
              <w:t>VHF COM</w:t>
            </w:r>
          </w:p>
          <w:p w:rsidR="00BF14E0" w:rsidRPr="004F110A" w:rsidRDefault="00BF14E0" w:rsidP="004F110A">
            <w:pPr>
              <w:pStyle w:val="Tabletext"/>
              <w:rPr>
                <w:sz w:val="20"/>
                <w:lang w:val="de-CH"/>
              </w:rPr>
            </w:pPr>
            <w:r w:rsidRPr="004F110A">
              <w:rPr>
                <w:sz w:val="20"/>
                <w:lang w:val="de-CH"/>
              </w:rPr>
              <w:t>8.3 kHz raster</w:t>
            </w:r>
          </w:p>
          <w:p w:rsidR="00BF14E0" w:rsidRPr="004F110A" w:rsidRDefault="00BF14E0" w:rsidP="004F110A">
            <w:pPr>
              <w:pStyle w:val="Tabletext"/>
              <w:rPr>
                <w:sz w:val="20"/>
                <w:lang w:val="de-CH"/>
              </w:rPr>
            </w:pPr>
            <w:r w:rsidRPr="004F110A">
              <w:rPr>
                <w:sz w:val="20"/>
                <w:lang w:val="de-CH"/>
              </w:rPr>
              <w:t>117.975-137 MHz</w:t>
            </w:r>
          </w:p>
        </w:tc>
        <w:tc>
          <w:tcPr>
            <w:tcW w:w="1512" w:type="dxa"/>
            <w:vAlign w:val="center"/>
          </w:tcPr>
          <w:p w:rsidR="00BF14E0" w:rsidRPr="004F110A" w:rsidRDefault="00BF14E0" w:rsidP="004F110A">
            <w:pPr>
              <w:pStyle w:val="Tabletext"/>
              <w:jc w:val="center"/>
              <w:rPr>
                <w:sz w:val="20"/>
                <w:lang w:val="en-US"/>
              </w:rPr>
            </w:pPr>
            <w:r w:rsidRPr="004F110A">
              <w:rPr>
                <w:sz w:val="20"/>
                <w:lang w:val="en-US"/>
              </w:rPr>
              <w:t>6 dB(µV/m)</w:t>
            </w:r>
          </w:p>
        </w:tc>
        <w:tc>
          <w:tcPr>
            <w:tcW w:w="1647" w:type="dxa"/>
            <w:vAlign w:val="center"/>
          </w:tcPr>
          <w:p w:rsidR="00BF14E0" w:rsidRPr="004F110A" w:rsidRDefault="00BF14E0" w:rsidP="004F110A">
            <w:pPr>
              <w:pStyle w:val="Tabletext"/>
              <w:jc w:val="center"/>
              <w:rPr>
                <w:sz w:val="20"/>
                <w:lang w:val="en-US"/>
              </w:rPr>
            </w:pPr>
            <w:r w:rsidRPr="004F110A">
              <w:rPr>
                <w:sz w:val="20"/>
                <w:lang w:val="en-US"/>
              </w:rPr>
              <w:t>0.0106 pW/m²</w:t>
            </w:r>
          </w:p>
        </w:tc>
        <w:tc>
          <w:tcPr>
            <w:tcW w:w="1701" w:type="dxa"/>
            <w:vAlign w:val="center"/>
          </w:tcPr>
          <w:p w:rsidR="00BF14E0" w:rsidRPr="004F110A" w:rsidRDefault="00BF14E0" w:rsidP="004F110A">
            <w:pPr>
              <w:pStyle w:val="Tabletext"/>
              <w:jc w:val="center"/>
              <w:rPr>
                <w:sz w:val="20"/>
                <w:lang w:val="en-US"/>
              </w:rPr>
            </w:pPr>
            <w:r w:rsidRPr="004F110A">
              <w:rPr>
                <w:sz w:val="20"/>
                <w:lang w:val="en-US"/>
              </w:rPr>
              <w:t>30 dBµV/m</w:t>
            </w:r>
          </w:p>
        </w:tc>
        <w:tc>
          <w:tcPr>
            <w:tcW w:w="1800" w:type="dxa"/>
            <w:vAlign w:val="center"/>
          </w:tcPr>
          <w:p w:rsidR="00BF14E0" w:rsidRPr="004F110A" w:rsidRDefault="00BF14E0" w:rsidP="004F110A">
            <w:pPr>
              <w:pStyle w:val="Tabletext"/>
              <w:jc w:val="center"/>
              <w:rPr>
                <w:sz w:val="20"/>
                <w:lang w:val="en-US"/>
              </w:rPr>
            </w:pPr>
            <w:r w:rsidRPr="004F110A">
              <w:rPr>
                <w:sz w:val="20"/>
                <w:lang w:val="en-US"/>
              </w:rPr>
              <w:t>2.512 pW/m²</w:t>
            </w:r>
          </w:p>
        </w:tc>
        <w:tc>
          <w:tcPr>
            <w:tcW w:w="1440" w:type="dxa"/>
            <w:vAlign w:val="center"/>
          </w:tcPr>
          <w:p w:rsidR="00BF14E0" w:rsidRPr="004F110A" w:rsidRDefault="00BF14E0" w:rsidP="004F110A">
            <w:pPr>
              <w:pStyle w:val="Tabletext"/>
              <w:jc w:val="center"/>
              <w:rPr>
                <w:sz w:val="20"/>
                <w:lang w:val="en-US"/>
              </w:rPr>
            </w:pPr>
            <w:r w:rsidRPr="004F110A">
              <w:rPr>
                <w:sz w:val="20"/>
                <w:lang w:val="en-US"/>
              </w:rPr>
              <w:t>−24 dB</w:t>
            </w:r>
          </w:p>
        </w:tc>
      </w:tr>
      <w:tr w:rsidR="00BF14E0" w:rsidRPr="004F110A" w:rsidTr="00BF14E0">
        <w:trPr>
          <w:jc w:val="center"/>
        </w:trPr>
        <w:tc>
          <w:tcPr>
            <w:tcW w:w="2160" w:type="dxa"/>
            <w:vAlign w:val="center"/>
          </w:tcPr>
          <w:p w:rsidR="00BF14E0" w:rsidRPr="004F110A" w:rsidRDefault="00BF14E0" w:rsidP="004F110A">
            <w:pPr>
              <w:pStyle w:val="Tabletext"/>
              <w:rPr>
                <w:sz w:val="20"/>
                <w:lang w:val="de-CH"/>
              </w:rPr>
            </w:pPr>
            <w:r w:rsidRPr="004F110A">
              <w:rPr>
                <w:sz w:val="20"/>
                <w:lang w:val="de-CH"/>
              </w:rPr>
              <w:t>VHF COM</w:t>
            </w:r>
          </w:p>
          <w:p w:rsidR="00BF14E0" w:rsidRPr="004F110A" w:rsidRDefault="00BF14E0" w:rsidP="004F110A">
            <w:pPr>
              <w:pStyle w:val="Tabletext"/>
              <w:rPr>
                <w:sz w:val="20"/>
                <w:lang w:val="de-CH"/>
              </w:rPr>
            </w:pPr>
            <w:r w:rsidRPr="004F110A">
              <w:rPr>
                <w:sz w:val="20"/>
                <w:lang w:val="de-CH"/>
              </w:rPr>
              <w:t>25 kHz raster</w:t>
            </w:r>
          </w:p>
          <w:p w:rsidR="00BF14E0" w:rsidRPr="004F110A" w:rsidRDefault="00BF14E0" w:rsidP="004F110A">
            <w:pPr>
              <w:pStyle w:val="Tabletext"/>
              <w:rPr>
                <w:sz w:val="20"/>
                <w:lang w:val="de-CH"/>
              </w:rPr>
            </w:pPr>
            <w:r w:rsidRPr="004F110A">
              <w:rPr>
                <w:sz w:val="20"/>
                <w:lang w:val="de-CH"/>
              </w:rPr>
              <w:t>117.975-137 MHz</w:t>
            </w:r>
          </w:p>
        </w:tc>
        <w:tc>
          <w:tcPr>
            <w:tcW w:w="1512" w:type="dxa"/>
            <w:vAlign w:val="center"/>
          </w:tcPr>
          <w:p w:rsidR="00BF14E0" w:rsidRPr="004F110A" w:rsidRDefault="00BF14E0" w:rsidP="004F110A">
            <w:pPr>
              <w:pStyle w:val="Tabletext"/>
              <w:jc w:val="center"/>
              <w:rPr>
                <w:sz w:val="20"/>
                <w:lang w:val="en-US"/>
              </w:rPr>
            </w:pPr>
            <w:r w:rsidRPr="004F110A">
              <w:rPr>
                <w:sz w:val="20"/>
                <w:lang w:val="en-US"/>
              </w:rPr>
              <w:t>6 dB(µV/m)</w:t>
            </w:r>
          </w:p>
        </w:tc>
        <w:tc>
          <w:tcPr>
            <w:tcW w:w="1647" w:type="dxa"/>
            <w:vAlign w:val="center"/>
          </w:tcPr>
          <w:p w:rsidR="00BF14E0" w:rsidRPr="004F110A" w:rsidRDefault="00BF14E0" w:rsidP="004F110A">
            <w:pPr>
              <w:pStyle w:val="Tabletext"/>
              <w:jc w:val="center"/>
              <w:rPr>
                <w:sz w:val="20"/>
                <w:lang w:val="en-US"/>
              </w:rPr>
            </w:pPr>
            <w:r w:rsidRPr="004F110A">
              <w:rPr>
                <w:sz w:val="20"/>
                <w:lang w:val="en-US"/>
              </w:rPr>
              <w:t>0.0106 pW/m²</w:t>
            </w:r>
          </w:p>
        </w:tc>
        <w:tc>
          <w:tcPr>
            <w:tcW w:w="1701" w:type="dxa"/>
            <w:vAlign w:val="center"/>
          </w:tcPr>
          <w:p w:rsidR="00BF14E0" w:rsidRPr="004F110A" w:rsidRDefault="00BF14E0" w:rsidP="004F110A">
            <w:pPr>
              <w:pStyle w:val="Tabletext"/>
              <w:jc w:val="center"/>
              <w:rPr>
                <w:sz w:val="20"/>
                <w:lang w:val="en-US"/>
              </w:rPr>
            </w:pPr>
            <w:r w:rsidRPr="004F110A">
              <w:rPr>
                <w:sz w:val="20"/>
                <w:lang w:val="en-US"/>
              </w:rPr>
              <w:t>30 dBµV/m</w:t>
            </w:r>
          </w:p>
        </w:tc>
        <w:tc>
          <w:tcPr>
            <w:tcW w:w="1800" w:type="dxa"/>
            <w:vAlign w:val="center"/>
          </w:tcPr>
          <w:p w:rsidR="00BF14E0" w:rsidRPr="004F110A" w:rsidRDefault="00BF14E0" w:rsidP="004F110A">
            <w:pPr>
              <w:pStyle w:val="Tabletext"/>
              <w:jc w:val="center"/>
              <w:rPr>
                <w:sz w:val="20"/>
                <w:lang w:val="en-US"/>
              </w:rPr>
            </w:pPr>
            <w:r w:rsidRPr="004F110A">
              <w:rPr>
                <w:sz w:val="20"/>
                <w:lang w:val="en-US"/>
              </w:rPr>
              <w:t>2.512 pW/m²</w:t>
            </w:r>
          </w:p>
        </w:tc>
        <w:tc>
          <w:tcPr>
            <w:tcW w:w="1440" w:type="dxa"/>
            <w:vAlign w:val="center"/>
          </w:tcPr>
          <w:p w:rsidR="00BF14E0" w:rsidRPr="004F110A" w:rsidRDefault="00BF14E0" w:rsidP="004F110A">
            <w:pPr>
              <w:pStyle w:val="Tabletext"/>
              <w:jc w:val="center"/>
              <w:rPr>
                <w:sz w:val="20"/>
                <w:lang w:val="en-US"/>
              </w:rPr>
            </w:pPr>
            <w:r w:rsidRPr="004F110A">
              <w:rPr>
                <w:sz w:val="20"/>
                <w:lang w:val="en-US"/>
              </w:rPr>
              <w:t>−24 dB</w:t>
            </w:r>
          </w:p>
        </w:tc>
      </w:tr>
      <w:tr w:rsidR="00BF14E0" w:rsidRPr="004F110A" w:rsidTr="00BF14E0">
        <w:trPr>
          <w:jc w:val="center"/>
        </w:trPr>
        <w:tc>
          <w:tcPr>
            <w:tcW w:w="2160" w:type="dxa"/>
            <w:vAlign w:val="center"/>
          </w:tcPr>
          <w:p w:rsidR="00BF14E0" w:rsidRPr="004F110A" w:rsidRDefault="00BF14E0" w:rsidP="004F110A">
            <w:pPr>
              <w:pStyle w:val="Tabletext"/>
              <w:rPr>
                <w:sz w:val="20"/>
                <w:lang w:val="de-CH"/>
              </w:rPr>
            </w:pPr>
            <w:r w:rsidRPr="004F110A">
              <w:rPr>
                <w:sz w:val="20"/>
                <w:lang w:val="de-CH"/>
              </w:rPr>
              <w:t>UHF COM</w:t>
            </w:r>
          </w:p>
          <w:p w:rsidR="00BF14E0" w:rsidRPr="004F110A" w:rsidRDefault="00BF14E0" w:rsidP="004F110A">
            <w:pPr>
              <w:pStyle w:val="Tabletext"/>
              <w:rPr>
                <w:sz w:val="20"/>
                <w:lang w:val="de-CH"/>
              </w:rPr>
            </w:pPr>
            <w:r w:rsidRPr="004F110A">
              <w:rPr>
                <w:sz w:val="20"/>
                <w:lang w:val="de-CH"/>
              </w:rPr>
              <w:t>25 kHz raster</w:t>
            </w:r>
          </w:p>
          <w:p w:rsidR="00BF14E0" w:rsidRPr="004F110A" w:rsidRDefault="00BF14E0" w:rsidP="004F110A">
            <w:pPr>
              <w:pStyle w:val="Tabletext"/>
              <w:rPr>
                <w:sz w:val="20"/>
                <w:lang w:val="de-CH"/>
              </w:rPr>
            </w:pPr>
            <w:r w:rsidRPr="004F110A">
              <w:rPr>
                <w:sz w:val="20"/>
                <w:lang w:val="de-CH"/>
              </w:rPr>
              <w:t>230-380 MHz</w:t>
            </w:r>
          </w:p>
        </w:tc>
        <w:tc>
          <w:tcPr>
            <w:tcW w:w="1512" w:type="dxa"/>
            <w:vAlign w:val="center"/>
          </w:tcPr>
          <w:p w:rsidR="00BF14E0" w:rsidRPr="004F110A" w:rsidRDefault="00BF14E0" w:rsidP="004F110A">
            <w:pPr>
              <w:pStyle w:val="Tabletext"/>
              <w:jc w:val="center"/>
              <w:rPr>
                <w:sz w:val="20"/>
                <w:lang w:val="en-US"/>
              </w:rPr>
            </w:pPr>
            <w:r w:rsidRPr="004F110A">
              <w:rPr>
                <w:sz w:val="20"/>
                <w:lang w:val="en-US"/>
              </w:rPr>
              <w:t>21 dB(µV/m)</w:t>
            </w:r>
          </w:p>
        </w:tc>
        <w:tc>
          <w:tcPr>
            <w:tcW w:w="1647" w:type="dxa"/>
            <w:vAlign w:val="center"/>
          </w:tcPr>
          <w:p w:rsidR="00BF14E0" w:rsidRPr="004F110A" w:rsidRDefault="00BF14E0" w:rsidP="004F110A">
            <w:pPr>
              <w:pStyle w:val="Tabletext"/>
              <w:jc w:val="center"/>
              <w:rPr>
                <w:sz w:val="20"/>
                <w:lang w:val="en-US"/>
              </w:rPr>
            </w:pPr>
            <w:r w:rsidRPr="004F110A">
              <w:rPr>
                <w:sz w:val="20"/>
                <w:lang w:val="en-US"/>
              </w:rPr>
              <w:t>0.334 pW/m²</w:t>
            </w:r>
          </w:p>
        </w:tc>
        <w:tc>
          <w:tcPr>
            <w:tcW w:w="1701" w:type="dxa"/>
            <w:vAlign w:val="center"/>
          </w:tcPr>
          <w:p w:rsidR="00BF14E0" w:rsidRPr="004F110A" w:rsidRDefault="00BF14E0" w:rsidP="004F110A">
            <w:pPr>
              <w:pStyle w:val="Tabletext"/>
              <w:jc w:val="center"/>
              <w:rPr>
                <w:sz w:val="20"/>
                <w:lang w:val="en-US"/>
              </w:rPr>
            </w:pPr>
            <w:r w:rsidRPr="004F110A">
              <w:rPr>
                <w:sz w:val="20"/>
                <w:lang w:val="en-US"/>
              </w:rPr>
              <w:t>30 dBµV/m</w:t>
            </w:r>
          </w:p>
        </w:tc>
        <w:tc>
          <w:tcPr>
            <w:tcW w:w="1800" w:type="dxa"/>
            <w:vAlign w:val="center"/>
          </w:tcPr>
          <w:p w:rsidR="00BF14E0" w:rsidRPr="004F110A" w:rsidRDefault="00BF14E0" w:rsidP="004F110A">
            <w:pPr>
              <w:pStyle w:val="Tabletext"/>
              <w:jc w:val="center"/>
              <w:rPr>
                <w:sz w:val="20"/>
                <w:lang w:val="en-US"/>
              </w:rPr>
            </w:pPr>
            <w:r w:rsidRPr="004F110A">
              <w:rPr>
                <w:sz w:val="20"/>
                <w:lang w:val="en-US"/>
              </w:rPr>
              <w:t>2.512 pW/m²</w:t>
            </w:r>
          </w:p>
        </w:tc>
        <w:tc>
          <w:tcPr>
            <w:tcW w:w="1440" w:type="dxa"/>
            <w:vAlign w:val="center"/>
          </w:tcPr>
          <w:p w:rsidR="00BF14E0" w:rsidRPr="004F110A" w:rsidRDefault="00BF14E0" w:rsidP="004F110A">
            <w:pPr>
              <w:pStyle w:val="Tabletext"/>
              <w:jc w:val="center"/>
              <w:rPr>
                <w:sz w:val="20"/>
                <w:lang w:val="en-US"/>
              </w:rPr>
            </w:pPr>
            <w:r w:rsidRPr="004F110A">
              <w:rPr>
                <w:sz w:val="20"/>
                <w:lang w:val="en-US"/>
              </w:rPr>
              <w:t>−9 dB</w:t>
            </w:r>
          </w:p>
        </w:tc>
      </w:tr>
      <w:tr w:rsidR="00BF14E0" w:rsidRPr="004F110A" w:rsidTr="00BF14E0">
        <w:trPr>
          <w:jc w:val="center"/>
        </w:trPr>
        <w:tc>
          <w:tcPr>
            <w:tcW w:w="2160" w:type="dxa"/>
            <w:vAlign w:val="center"/>
          </w:tcPr>
          <w:p w:rsidR="00BF14E0" w:rsidRPr="004F110A" w:rsidRDefault="00BF14E0" w:rsidP="004F110A">
            <w:pPr>
              <w:pStyle w:val="Tabletext"/>
              <w:rPr>
                <w:sz w:val="20"/>
                <w:lang w:val="en-US"/>
              </w:rPr>
            </w:pPr>
            <w:r w:rsidRPr="004F110A">
              <w:rPr>
                <w:sz w:val="20"/>
                <w:lang w:val="en-US"/>
              </w:rPr>
              <w:t>VOR</w:t>
            </w:r>
          </w:p>
          <w:p w:rsidR="00BF14E0" w:rsidRPr="004F110A" w:rsidRDefault="00BF14E0" w:rsidP="004F110A">
            <w:pPr>
              <w:pStyle w:val="Tabletext"/>
              <w:rPr>
                <w:sz w:val="20"/>
                <w:lang w:val="en-US"/>
              </w:rPr>
            </w:pPr>
            <w:r w:rsidRPr="004F110A">
              <w:rPr>
                <w:sz w:val="20"/>
                <w:lang w:val="en-US"/>
              </w:rPr>
              <w:t>40 kHz Raster</w:t>
            </w:r>
          </w:p>
          <w:p w:rsidR="00BF14E0" w:rsidRPr="004F110A" w:rsidRDefault="00BF14E0" w:rsidP="004F110A">
            <w:pPr>
              <w:pStyle w:val="Tabletext"/>
              <w:rPr>
                <w:sz w:val="20"/>
                <w:lang w:val="en-US"/>
              </w:rPr>
            </w:pPr>
            <w:r w:rsidRPr="004F110A">
              <w:rPr>
                <w:sz w:val="20"/>
                <w:lang w:val="en-US"/>
              </w:rPr>
              <w:t>108-117.975 MHz</w:t>
            </w:r>
          </w:p>
        </w:tc>
        <w:tc>
          <w:tcPr>
            <w:tcW w:w="1512" w:type="dxa"/>
            <w:vAlign w:val="center"/>
          </w:tcPr>
          <w:p w:rsidR="00BF14E0" w:rsidRPr="004F110A" w:rsidRDefault="00BF14E0" w:rsidP="004F110A">
            <w:pPr>
              <w:pStyle w:val="Tabletext"/>
              <w:jc w:val="center"/>
              <w:rPr>
                <w:sz w:val="20"/>
                <w:lang w:val="en-US"/>
              </w:rPr>
            </w:pPr>
            <w:r w:rsidRPr="004F110A">
              <w:rPr>
                <w:sz w:val="20"/>
                <w:lang w:val="en-US"/>
              </w:rPr>
              <w:t>26 dB(µV/m)</w:t>
            </w:r>
          </w:p>
        </w:tc>
        <w:tc>
          <w:tcPr>
            <w:tcW w:w="1647" w:type="dxa"/>
            <w:vAlign w:val="center"/>
          </w:tcPr>
          <w:p w:rsidR="00BF14E0" w:rsidRPr="004F110A" w:rsidRDefault="00BF14E0" w:rsidP="004F110A">
            <w:pPr>
              <w:pStyle w:val="Tabletext"/>
              <w:jc w:val="center"/>
              <w:rPr>
                <w:sz w:val="20"/>
                <w:lang w:val="en-US"/>
              </w:rPr>
            </w:pPr>
            <w:r w:rsidRPr="004F110A">
              <w:rPr>
                <w:sz w:val="20"/>
                <w:lang w:val="en-US"/>
              </w:rPr>
              <w:t>1.056 pW/m²</w:t>
            </w:r>
          </w:p>
        </w:tc>
        <w:tc>
          <w:tcPr>
            <w:tcW w:w="1701" w:type="dxa"/>
            <w:vAlign w:val="center"/>
          </w:tcPr>
          <w:p w:rsidR="00BF14E0" w:rsidRPr="004F110A" w:rsidRDefault="00BF14E0" w:rsidP="004F110A">
            <w:pPr>
              <w:pStyle w:val="Tabletext"/>
              <w:jc w:val="center"/>
              <w:rPr>
                <w:sz w:val="20"/>
                <w:lang w:val="en-US"/>
              </w:rPr>
            </w:pPr>
            <w:r w:rsidRPr="004F110A">
              <w:rPr>
                <w:sz w:val="20"/>
                <w:lang w:val="en-US"/>
              </w:rPr>
              <w:t>30 dBµV/m</w:t>
            </w:r>
          </w:p>
        </w:tc>
        <w:tc>
          <w:tcPr>
            <w:tcW w:w="1800" w:type="dxa"/>
            <w:vAlign w:val="center"/>
          </w:tcPr>
          <w:p w:rsidR="00BF14E0" w:rsidRPr="004F110A" w:rsidRDefault="00BF14E0" w:rsidP="004F110A">
            <w:pPr>
              <w:pStyle w:val="Tabletext"/>
              <w:jc w:val="center"/>
              <w:rPr>
                <w:sz w:val="20"/>
                <w:lang w:val="en-US"/>
              </w:rPr>
            </w:pPr>
            <w:r w:rsidRPr="004F110A">
              <w:rPr>
                <w:sz w:val="20"/>
                <w:lang w:val="en-US"/>
              </w:rPr>
              <w:t>2.512 pW/m ²</w:t>
            </w:r>
          </w:p>
        </w:tc>
        <w:tc>
          <w:tcPr>
            <w:tcW w:w="1440" w:type="dxa"/>
            <w:vAlign w:val="center"/>
          </w:tcPr>
          <w:p w:rsidR="00BF14E0" w:rsidRPr="004F110A" w:rsidRDefault="00BF14E0" w:rsidP="004F110A">
            <w:pPr>
              <w:pStyle w:val="Tabletext"/>
              <w:jc w:val="center"/>
              <w:rPr>
                <w:sz w:val="20"/>
                <w:lang w:val="en-US"/>
              </w:rPr>
            </w:pPr>
            <w:r w:rsidRPr="004F110A">
              <w:rPr>
                <w:sz w:val="20"/>
                <w:lang w:val="en-US"/>
              </w:rPr>
              <w:t>−4 dB</w:t>
            </w:r>
          </w:p>
        </w:tc>
      </w:tr>
      <w:tr w:rsidR="00BF14E0" w:rsidRPr="004F110A" w:rsidTr="00BF14E0">
        <w:trPr>
          <w:jc w:val="center"/>
        </w:trPr>
        <w:tc>
          <w:tcPr>
            <w:tcW w:w="2160" w:type="dxa"/>
            <w:vAlign w:val="center"/>
          </w:tcPr>
          <w:p w:rsidR="00BF14E0" w:rsidRPr="004F110A" w:rsidRDefault="00BF14E0" w:rsidP="004F110A">
            <w:pPr>
              <w:pStyle w:val="Tabletext"/>
              <w:rPr>
                <w:sz w:val="20"/>
                <w:lang w:val="en-US"/>
              </w:rPr>
            </w:pPr>
            <w:r w:rsidRPr="004F110A">
              <w:rPr>
                <w:sz w:val="20"/>
                <w:lang w:val="en-US"/>
              </w:rPr>
              <w:t>ILS-LOC</w:t>
            </w:r>
          </w:p>
          <w:p w:rsidR="00BF14E0" w:rsidRPr="004F110A" w:rsidRDefault="00BF14E0" w:rsidP="004F110A">
            <w:pPr>
              <w:pStyle w:val="Tabletext"/>
              <w:rPr>
                <w:sz w:val="20"/>
                <w:lang w:val="en-US"/>
              </w:rPr>
            </w:pPr>
            <w:r w:rsidRPr="004F110A">
              <w:rPr>
                <w:sz w:val="20"/>
                <w:lang w:val="en-US"/>
              </w:rPr>
              <w:t>108.1-111.95 MHz</w:t>
            </w:r>
          </w:p>
        </w:tc>
        <w:tc>
          <w:tcPr>
            <w:tcW w:w="1512" w:type="dxa"/>
            <w:vAlign w:val="center"/>
          </w:tcPr>
          <w:p w:rsidR="00BF14E0" w:rsidRPr="004F110A" w:rsidRDefault="00BF14E0" w:rsidP="004F110A">
            <w:pPr>
              <w:pStyle w:val="Tabletext"/>
              <w:jc w:val="center"/>
              <w:rPr>
                <w:sz w:val="20"/>
                <w:lang w:val="en-US"/>
              </w:rPr>
            </w:pPr>
            <w:r w:rsidRPr="004F110A">
              <w:rPr>
                <w:sz w:val="20"/>
                <w:lang w:val="en-US"/>
              </w:rPr>
              <w:t>23 dB(µV/m)</w:t>
            </w:r>
          </w:p>
        </w:tc>
        <w:tc>
          <w:tcPr>
            <w:tcW w:w="1647" w:type="dxa"/>
            <w:vAlign w:val="center"/>
          </w:tcPr>
          <w:p w:rsidR="00BF14E0" w:rsidRPr="004F110A" w:rsidRDefault="00BF14E0" w:rsidP="004F110A">
            <w:pPr>
              <w:pStyle w:val="Tabletext"/>
              <w:jc w:val="center"/>
              <w:rPr>
                <w:sz w:val="20"/>
                <w:lang w:val="en-US"/>
              </w:rPr>
            </w:pPr>
            <w:r w:rsidRPr="004F110A">
              <w:rPr>
                <w:sz w:val="20"/>
                <w:lang w:val="en-US"/>
              </w:rPr>
              <w:t>0.529 pW/m²</w:t>
            </w:r>
          </w:p>
        </w:tc>
        <w:tc>
          <w:tcPr>
            <w:tcW w:w="1701" w:type="dxa"/>
            <w:vAlign w:val="center"/>
          </w:tcPr>
          <w:p w:rsidR="00BF14E0" w:rsidRPr="004F110A" w:rsidRDefault="00BF14E0" w:rsidP="004F110A">
            <w:pPr>
              <w:pStyle w:val="Tabletext"/>
              <w:jc w:val="center"/>
              <w:rPr>
                <w:sz w:val="20"/>
                <w:lang w:val="en-US"/>
              </w:rPr>
            </w:pPr>
            <w:r w:rsidRPr="004F110A">
              <w:rPr>
                <w:sz w:val="20"/>
                <w:lang w:val="en-US"/>
              </w:rPr>
              <w:t>30 dBµV/m</w:t>
            </w:r>
          </w:p>
        </w:tc>
        <w:tc>
          <w:tcPr>
            <w:tcW w:w="1800" w:type="dxa"/>
            <w:vAlign w:val="center"/>
          </w:tcPr>
          <w:p w:rsidR="00BF14E0" w:rsidRPr="004F110A" w:rsidRDefault="00BF14E0" w:rsidP="004F110A">
            <w:pPr>
              <w:pStyle w:val="Tabletext"/>
              <w:jc w:val="center"/>
              <w:rPr>
                <w:sz w:val="20"/>
                <w:lang w:val="en-US"/>
              </w:rPr>
            </w:pPr>
            <w:r w:rsidRPr="004F110A">
              <w:rPr>
                <w:sz w:val="20"/>
                <w:lang w:val="en-US"/>
              </w:rPr>
              <w:t>2.512 pW/m²</w:t>
            </w:r>
          </w:p>
        </w:tc>
        <w:tc>
          <w:tcPr>
            <w:tcW w:w="1440" w:type="dxa"/>
            <w:vAlign w:val="center"/>
          </w:tcPr>
          <w:p w:rsidR="00BF14E0" w:rsidRPr="004F110A" w:rsidRDefault="00BF14E0" w:rsidP="004F110A">
            <w:pPr>
              <w:pStyle w:val="Tabletext"/>
              <w:jc w:val="center"/>
              <w:rPr>
                <w:sz w:val="20"/>
                <w:lang w:val="en-US"/>
              </w:rPr>
            </w:pPr>
            <w:r w:rsidRPr="004F110A">
              <w:rPr>
                <w:sz w:val="20"/>
                <w:lang w:val="en-US"/>
              </w:rPr>
              <w:t>−7 dB</w:t>
            </w:r>
          </w:p>
        </w:tc>
      </w:tr>
      <w:tr w:rsidR="00BF14E0" w:rsidRPr="004F110A" w:rsidTr="00BF14E0">
        <w:trPr>
          <w:jc w:val="center"/>
        </w:trPr>
        <w:tc>
          <w:tcPr>
            <w:tcW w:w="2160" w:type="dxa"/>
            <w:vAlign w:val="center"/>
          </w:tcPr>
          <w:p w:rsidR="00BF14E0" w:rsidRPr="004F110A" w:rsidRDefault="00BF14E0" w:rsidP="004F110A">
            <w:pPr>
              <w:pStyle w:val="Tabletext"/>
              <w:rPr>
                <w:sz w:val="20"/>
                <w:lang w:val="en-US"/>
              </w:rPr>
            </w:pPr>
            <w:r w:rsidRPr="004F110A">
              <w:rPr>
                <w:sz w:val="20"/>
                <w:lang w:val="en-US"/>
              </w:rPr>
              <w:t>VDL Mode 2</w:t>
            </w:r>
          </w:p>
          <w:p w:rsidR="00BF14E0" w:rsidRPr="004F110A" w:rsidRDefault="00BF14E0" w:rsidP="004F110A">
            <w:pPr>
              <w:pStyle w:val="Tabletext"/>
              <w:rPr>
                <w:sz w:val="20"/>
                <w:lang w:val="en-US"/>
              </w:rPr>
            </w:pPr>
            <w:r w:rsidRPr="004F110A">
              <w:rPr>
                <w:sz w:val="20"/>
                <w:lang w:val="en-US"/>
              </w:rPr>
              <w:t>118-138 MHz</w:t>
            </w:r>
          </w:p>
        </w:tc>
        <w:tc>
          <w:tcPr>
            <w:tcW w:w="1512" w:type="dxa"/>
            <w:vAlign w:val="center"/>
          </w:tcPr>
          <w:p w:rsidR="00BF14E0" w:rsidRPr="004F110A" w:rsidRDefault="00BF14E0" w:rsidP="004F110A">
            <w:pPr>
              <w:pStyle w:val="Tabletext"/>
              <w:jc w:val="center"/>
              <w:rPr>
                <w:sz w:val="20"/>
                <w:lang w:val="en-US"/>
              </w:rPr>
            </w:pPr>
            <w:r w:rsidRPr="004F110A">
              <w:rPr>
                <w:sz w:val="20"/>
                <w:lang w:val="en-US"/>
              </w:rPr>
              <w:t>30 dB(µV/m)</w:t>
            </w:r>
          </w:p>
        </w:tc>
        <w:tc>
          <w:tcPr>
            <w:tcW w:w="1647" w:type="dxa"/>
            <w:vAlign w:val="center"/>
          </w:tcPr>
          <w:p w:rsidR="00BF14E0" w:rsidRPr="004F110A" w:rsidRDefault="00BF14E0" w:rsidP="004F110A">
            <w:pPr>
              <w:pStyle w:val="Tabletext"/>
              <w:jc w:val="center"/>
              <w:rPr>
                <w:sz w:val="20"/>
                <w:lang w:val="en-US"/>
              </w:rPr>
            </w:pPr>
            <w:r w:rsidRPr="004F110A">
              <w:rPr>
                <w:sz w:val="20"/>
                <w:lang w:val="en-US"/>
              </w:rPr>
              <w:t>2.653 pW/m²</w:t>
            </w:r>
          </w:p>
        </w:tc>
        <w:tc>
          <w:tcPr>
            <w:tcW w:w="1701" w:type="dxa"/>
            <w:vAlign w:val="center"/>
          </w:tcPr>
          <w:p w:rsidR="00BF14E0" w:rsidRPr="004F110A" w:rsidRDefault="00BF14E0" w:rsidP="004F110A">
            <w:pPr>
              <w:pStyle w:val="Tabletext"/>
              <w:jc w:val="center"/>
              <w:rPr>
                <w:sz w:val="20"/>
                <w:lang w:val="en-US"/>
              </w:rPr>
            </w:pPr>
            <w:r w:rsidRPr="004F110A">
              <w:rPr>
                <w:sz w:val="20"/>
                <w:lang w:val="en-US"/>
              </w:rPr>
              <w:t>30 dBµV/m</w:t>
            </w:r>
          </w:p>
        </w:tc>
        <w:tc>
          <w:tcPr>
            <w:tcW w:w="1800" w:type="dxa"/>
            <w:vAlign w:val="center"/>
          </w:tcPr>
          <w:p w:rsidR="00BF14E0" w:rsidRPr="004F110A" w:rsidRDefault="00BF14E0" w:rsidP="004F110A">
            <w:pPr>
              <w:pStyle w:val="Tabletext"/>
              <w:jc w:val="center"/>
              <w:rPr>
                <w:sz w:val="20"/>
                <w:lang w:val="en-US"/>
              </w:rPr>
            </w:pPr>
            <w:r w:rsidRPr="004F110A">
              <w:rPr>
                <w:sz w:val="20"/>
                <w:lang w:val="en-US"/>
              </w:rPr>
              <w:t>2.512 pW/m²</w:t>
            </w:r>
          </w:p>
        </w:tc>
        <w:tc>
          <w:tcPr>
            <w:tcW w:w="1440" w:type="dxa"/>
            <w:vAlign w:val="center"/>
          </w:tcPr>
          <w:p w:rsidR="00BF14E0" w:rsidRPr="004F110A" w:rsidRDefault="00BF14E0" w:rsidP="004F110A">
            <w:pPr>
              <w:pStyle w:val="Tabletext"/>
              <w:jc w:val="center"/>
              <w:rPr>
                <w:sz w:val="20"/>
                <w:lang w:val="en-US"/>
              </w:rPr>
            </w:pPr>
            <w:r w:rsidRPr="004F110A">
              <w:rPr>
                <w:sz w:val="20"/>
                <w:lang w:val="en-US"/>
              </w:rPr>
              <w:t>0 dB</w:t>
            </w:r>
          </w:p>
        </w:tc>
      </w:tr>
    </w:tbl>
    <w:p w:rsidR="00BF14E0" w:rsidRPr="006A444B" w:rsidRDefault="00BF14E0" w:rsidP="00BF14E0">
      <w:pPr>
        <w:spacing w:before="0"/>
        <w:rPr>
          <w:lang w:val="en-US"/>
        </w:rPr>
      </w:pPr>
    </w:p>
    <w:p w:rsidR="00BF14E0" w:rsidRPr="006A444B" w:rsidRDefault="00BF14E0" w:rsidP="00BF14E0">
      <w:pPr>
        <w:rPr>
          <w:lang w:val="en-US"/>
        </w:rPr>
      </w:pPr>
      <w:r w:rsidRPr="006A444B">
        <w:rPr>
          <w:lang w:val="en-US"/>
        </w:rPr>
        <w:t>The last column in Table 5 shows the margin which is needed to reduce the interference caused by PLT devices. Assuming a maximum power spectral density for PLT devices of −85 dBm/Hz (RMS), a reduction of 24 dB would be necessary for the VHF syst</w:t>
      </w:r>
      <w:r w:rsidR="004F110A">
        <w:rPr>
          <w:lang w:val="en-US"/>
        </w:rPr>
        <w:t>ems. The margins vary between 0 </w:t>
      </w:r>
      <w:r w:rsidRPr="006A444B">
        <w:rPr>
          <w:lang w:val="en-US"/>
        </w:rPr>
        <w:t>and −24 dB depending on the system.</w:t>
      </w:r>
    </w:p>
    <w:p w:rsidR="00BF14E0" w:rsidRPr="006A444B" w:rsidRDefault="00BF14E0" w:rsidP="004F110A">
      <w:pPr>
        <w:rPr>
          <w:lang w:val="en-US"/>
        </w:rPr>
      </w:pPr>
      <w:r w:rsidRPr="006A444B">
        <w:rPr>
          <w:lang w:val="en-US"/>
        </w:rPr>
        <w:t xml:space="preserve">These calculations were made for an interferer density of 250 interferer/km². The correction depends linearly on the interferer density (see also Document </w:t>
      </w:r>
      <w:r w:rsidR="004F110A" w:rsidRPr="004F110A">
        <w:rPr>
          <w:iCs/>
          <w:lang w:val="en-US"/>
        </w:rPr>
        <w:t>1A/</w:t>
      </w:r>
      <w:r w:rsidRPr="004F110A">
        <w:rPr>
          <w:iCs/>
          <w:lang w:val="en-US"/>
        </w:rPr>
        <w:t>157</w:t>
      </w:r>
      <w:r w:rsidRPr="006A444B">
        <w:rPr>
          <w:i/>
          <w:lang w:val="en-US"/>
        </w:rPr>
        <w:t>)</w:t>
      </w:r>
      <w:r w:rsidRPr="006A444B">
        <w:rPr>
          <w:lang w:val="en-US"/>
        </w:rPr>
        <w:t>.</w:t>
      </w:r>
    </w:p>
    <w:p w:rsidR="00BF14E0" w:rsidRPr="004F110A" w:rsidRDefault="00BF14E0" w:rsidP="004F110A">
      <w:pPr>
        <w:pStyle w:val="TableNo"/>
        <w:spacing w:before="360"/>
        <w:rPr>
          <w:sz w:val="20"/>
          <w:lang w:val="en-US"/>
        </w:rPr>
      </w:pPr>
      <w:r w:rsidRPr="004F110A">
        <w:rPr>
          <w:sz w:val="20"/>
          <w:lang w:val="en-US"/>
        </w:rPr>
        <w:t>Table 6</w:t>
      </w:r>
    </w:p>
    <w:p w:rsidR="00BF14E0" w:rsidRPr="004F110A" w:rsidRDefault="00BF14E0" w:rsidP="004F110A">
      <w:pPr>
        <w:pStyle w:val="Tabletitle"/>
        <w:rPr>
          <w:sz w:val="20"/>
          <w:lang w:val="en-US"/>
        </w:rPr>
      </w:pPr>
      <w:r w:rsidRPr="004F110A">
        <w:rPr>
          <w:sz w:val="20"/>
          <w:lang w:val="en-US"/>
        </w:rPr>
        <w:t>Interferer density correction values</w:t>
      </w:r>
    </w:p>
    <w:tbl>
      <w:tblPr>
        <w:tblW w:w="4680" w:type="dxa"/>
        <w:tblInd w:w="2367" w:type="dxa"/>
        <w:tblCellMar>
          <w:left w:w="70" w:type="dxa"/>
          <w:right w:w="70" w:type="dxa"/>
        </w:tblCellMar>
        <w:tblLook w:val="0000"/>
      </w:tblPr>
      <w:tblGrid>
        <w:gridCol w:w="2340"/>
        <w:gridCol w:w="2340"/>
      </w:tblGrid>
      <w:tr w:rsidR="00BF14E0" w:rsidRPr="004F110A" w:rsidTr="00BF14E0">
        <w:trPr>
          <w:trHeight w:val="307"/>
        </w:trPr>
        <w:tc>
          <w:tcPr>
            <w:tcW w:w="2340" w:type="dxa"/>
            <w:tcBorders>
              <w:top w:val="single" w:sz="4" w:space="0" w:color="auto"/>
              <w:left w:val="single" w:sz="4" w:space="0" w:color="auto"/>
              <w:bottom w:val="single" w:sz="4" w:space="0" w:color="auto"/>
              <w:right w:val="single" w:sz="4" w:space="0" w:color="auto"/>
            </w:tcBorders>
            <w:noWrap/>
            <w:vAlign w:val="center"/>
          </w:tcPr>
          <w:p w:rsidR="00BF14E0" w:rsidRPr="004F110A" w:rsidRDefault="00BF14E0" w:rsidP="004F110A">
            <w:pPr>
              <w:pStyle w:val="Tablehead"/>
              <w:rPr>
                <w:sz w:val="20"/>
                <w:lang w:val="en-US"/>
              </w:rPr>
            </w:pPr>
            <w:r w:rsidRPr="004F110A">
              <w:rPr>
                <w:sz w:val="20"/>
                <w:lang w:val="en-US"/>
              </w:rPr>
              <w:t>Interferer density (interferer/km²)</w:t>
            </w:r>
          </w:p>
        </w:tc>
        <w:tc>
          <w:tcPr>
            <w:tcW w:w="2340" w:type="dxa"/>
            <w:tcBorders>
              <w:top w:val="single" w:sz="4" w:space="0" w:color="auto"/>
              <w:left w:val="nil"/>
              <w:bottom w:val="single" w:sz="4" w:space="0" w:color="auto"/>
              <w:right w:val="single" w:sz="4" w:space="0" w:color="auto"/>
            </w:tcBorders>
            <w:noWrap/>
            <w:vAlign w:val="center"/>
          </w:tcPr>
          <w:p w:rsidR="00BF14E0" w:rsidRPr="004F110A" w:rsidRDefault="00BF14E0" w:rsidP="004F110A">
            <w:pPr>
              <w:pStyle w:val="Tablehead"/>
              <w:rPr>
                <w:sz w:val="20"/>
                <w:lang w:val="en-US"/>
              </w:rPr>
            </w:pPr>
            <w:r w:rsidRPr="004F110A">
              <w:rPr>
                <w:sz w:val="20"/>
                <w:lang w:val="en-US"/>
              </w:rPr>
              <w:t>Correction value</w:t>
            </w:r>
          </w:p>
        </w:tc>
      </w:tr>
      <w:tr w:rsidR="00BF14E0" w:rsidRPr="006A444B" w:rsidTr="00BF14E0">
        <w:trPr>
          <w:trHeight w:val="307"/>
        </w:trPr>
        <w:tc>
          <w:tcPr>
            <w:tcW w:w="2340" w:type="dxa"/>
            <w:tcBorders>
              <w:top w:val="nil"/>
              <w:left w:val="single" w:sz="4" w:space="0" w:color="auto"/>
              <w:bottom w:val="single" w:sz="4" w:space="0" w:color="auto"/>
              <w:right w:val="single" w:sz="4" w:space="0" w:color="auto"/>
            </w:tcBorders>
            <w:noWrap/>
            <w:vAlign w:val="bottom"/>
          </w:tcPr>
          <w:p w:rsidR="00BF14E0" w:rsidRPr="004F110A" w:rsidRDefault="00BF14E0" w:rsidP="004F110A">
            <w:pPr>
              <w:pStyle w:val="Tabletext"/>
              <w:jc w:val="center"/>
              <w:rPr>
                <w:sz w:val="20"/>
                <w:lang w:val="en-US"/>
              </w:rPr>
            </w:pPr>
            <w:r w:rsidRPr="004F110A">
              <w:rPr>
                <w:sz w:val="20"/>
                <w:lang w:val="en-US"/>
              </w:rPr>
              <w:t>50</w:t>
            </w:r>
          </w:p>
        </w:tc>
        <w:tc>
          <w:tcPr>
            <w:tcW w:w="2340" w:type="dxa"/>
            <w:tcBorders>
              <w:top w:val="nil"/>
              <w:left w:val="nil"/>
              <w:bottom w:val="single" w:sz="4" w:space="0" w:color="auto"/>
              <w:right w:val="single" w:sz="4" w:space="0" w:color="auto"/>
            </w:tcBorders>
            <w:noWrap/>
            <w:vAlign w:val="bottom"/>
          </w:tcPr>
          <w:p w:rsidR="00BF14E0" w:rsidRPr="004F110A" w:rsidRDefault="00BF14E0" w:rsidP="004F110A">
            <w:pPr>
              <w:pStyle w:val="Tabletext"/>
              <w:jc w:val="center"/>
              <w:rPr>
                <w:sz w:val="20"/>
                <w:lang w:val="en-US"/>
              </w:rPr>
            </w:pPr>
            <w:r w:rsidRPr="004F110A">
              <w:rPr>
                <w:sz w:val="20"/>
                <w:lang w:val="en-US"/>
              </w:rPr>
              <w:t>7 dB</w:t>
            </w:r>
          </w:p>
        </w:tc>
      </w:tr>
      <w:tr w:rsidR="00BF14E0" w:rsidRPr="006A444B" w:rsidTr="00BF14E0">
        <w:trPr>
          <w:trHeight w:val="307"/>
        </w:trPr>
        <w:tc>
          <w:tcPr>
            <w:tcW w:w="2340" w:type="dxa"/>
            <w:tcBorders>
              <w:top w:val="nil"/>
              <w:left w:val="single" w:sz="4" w:space="0" w:color="auto"/>
              <w:bottom w:val="single" w:sz="4" w:space="0" w:color="auto"/>
              <w:right w:val="single" w:sz="4" w:space="0" w:color="auto"/>
            </w:tcBorders>
            <w:noWrap/>
            <w:vAlign w:val="bottom"/>
          </w:tcPr>
          <w:p w:rsidR="00BF14E0" w:rsidRPr="004F110A" w:rsidRDefault="00BF14E0" w:rsidP="004F110A">
            <w:pPr>
              <w:pStyle w:val="Tabletext"/>
              <w:jc w:val="center"/>
              <w:rPr>
                <w:sz w:val="20"/>
                <w:lang w:val="en-US"/>
              </w:rPr>
            </w:pPr>
            <w:r w:rsidRPr="004F110A">
              <w:rPr>
                <w:sz w:val="20"/>
                <w:lang w:val="en-US"/>
              </w:rPr>
              <w:t>100</w:t>
            </w:r>
          </w:p>
        </w:tc>
        <w:tc>
          <w:tcPr>
            <w:tcW w:w="2340" w:type="dxa"/>
            <w:tcBorders>
              <w:top w:val="nil"/>
              <w:left w:val="nil"/>
              <w:bottom w:val="single" w:sz="4" w:space="0" w:color="auto"/>
              <w:right w:val="single" w:sz="4" w:space="0" w:color="auto"/>
            </w:tcBorders>
            <w:noWrap/>
            <w:vAlign w:val="bottom"/>
          </w:tcPr>
          <w:p w:rsidR="00BF14E0" w:rsidRPr="004F110A" w:rsidRDefault="00BF14E0" w:rsidP="004F110A">
            <w:pPr>
              <w:pStyle w:val="Tabletext"/>
              <w:jc w:val="center"/>
              <w:rPr>
                <w:sz w:val="20"/>
                <w:lang w:val="en-US"/>
              </w:rPr>
            </w:pPr>
            <w:r w:rsidRPr="004F110A">
              <w:rPr>
                <w:sz w:val="20"/>
                <w:lang w:val="en-US"/>
              </w:rPr>
              <w:t>4 dB</w:t>
            </w:r>
          </w:p>
        </w:tc>
      </w:tr>
      <w:tr w:rsidR="00BF14E0" w:rsidRPr="006A444B" w:rsidTr="00BF14E0">
        <w:trPr>
          <w:trHeight w:val="307"/>
        </w:trPr>
        <w:tc>
          <w:tcPr>
            <w:tcW w:w="2340" w:type="dxa"/>
            <w:tcBorders>
              <w:top w:val="nil"/>
              <w:left w:val="single" w:sz="4" w:space="0" w:color="auto"/>
              <w:bottom w:val="single" w:sz="4" w:space="0" w:color="auto"/>
              <w:right w:val="single" w:sz="4" w:space="0" w:color="auto"/>
            </w:tcBorders>
            <w:noWrap/>
            <w:vAlign w:val="bottom"/>
          </w:tcPr>
          <w:p w:rsidR="00BF14E0" w:rsidRPr="004F110A" w:rsidRDefault="00BF14E0" w:rsidP="004F110A">
            <w:pPr>
              <w:pStyle w:val="Tabletext"/>
              <w:jc w:val="center"/>
              <w:rPr>
                <w:sz w:val="20"/>
                <w:lang w:val="en-US"/>
              </w:rPr>
            </w:pPr>
            <w:r w:rsidRPr="004F110A">
              <w:rPr>
                <w:sz w:val="20"/>
                <w:lang w:val="en-US"/>
              </w:rPr>
              <w:t>150</w:t>
            </w:r>
          </w:p>
        </w:tc>
        <w:tc>
          <w:tcPr>
            <w:tcW w:w="2340" w:type="dxa"/>
            <w:tcBorders>
              <w:top w:val="nil"/>
              <w:left w:val="nil"/>
              <w:bottom w:val="single" w:sz="4" w:space="0" w:color="auto"/>
              <w:right w:val="single" w:sz="4" w:space="0" w:color="auto"/>
            </w:tcBorders>
            <w:noWrap/>
            <w:vAlign w:val="bottom"/>
          </w:tcPr>
          <w:p w:rsidR="00BF14E0" w:rsidRPr="004F110A" w:rsidRDefault="00BF14E0" w:rsidP="004F110A">
            <w:pPr>
              <w:pStyle w:val="Tabletext"/>
              <w:jc w:val="center"/>
              <w:rPr>
                <w:sz w:val="20"/>
                <w:lang w:val="en-US"/>
              </w:rPr>
            </w:pPr>
            <w:r w:rsidRPr="004F110A">
              <w:rPr>
                <w:sz w:val="20"/>
                <w:lang w:val="en-US"/>
              </w:rPr>
              <w:t>2 dB</w:t>
            </w:r>
          </w:p>
        </w:tc>
      </w:tr>
      <w:tr w:rsidR="00BF14E0" w:rsidRPr="006A444B" w:rsidTr="00BF14E0">
        <w:trPr>
          <w:trHeight w:val="307"/>
        </w:trPr>
        <w:tc>
          <w:tcPr>
            <w:tcW w:w="2340" w:type="dxa"/>
            <w:tcBorders>
              <w:top w:val="nil"/>
              <w:left w:val="single" w:sz="4" w:space="0" w:color="auto"/>
              <w:bottom w:val="single" w:sz="4" w:space="0" w:color="auto"/>
              <w:right w:val="single" w:sz="4" w:space="0" w:color="auto"/>
            </w:tcBorders>
            <w:noWrap/>
            <w:vAlign w:val="bottom"/>
          </w:tcPr>
          <w:p w:rsidR="00BF14E0" w:rsidRPr="004F110A" w:rsidRDefault="00BF14E0" w:rsidP="004F110A">
            <w:pPr>
              <w:pStyle w:val="Tabletext"/>
              <w:jc w:val="center"/>
              <w:rPr>
                <w:sz w:val="20"/>
                <w:lang w:val="en-US"/>
              </w:rPr>
            </w:pPr>
            <w:r w:rsidRPr="004F110A">
              <w:rPr>
                <w:sz w:val="20"/>
                <w:lang w:val="en-US"/>
              </w:rPr>
              <w:t>200</w:t>
            </w:r>
          </w:p>
        </w:tc>
        <w:tc>
          <w:tcPr>
            <w:tcW w:w="2340" w:type="dxa"/>
            <w:tcBorders>
              <w:top w:val="nil"/>
              <w:left w:val="nil"/>
              <w:bottom w:val="single" w:sz="4" w:space="0" w:color="auto"/>
              <w:right w:val="single" w:sz="4" w:space="0" w:color="auto"/>
            </w:tcBorders>
            <w:noWrap/>
            <w:vAlign w:val="bottom"/>
          </w:tcPr>
          <w:p w:rsidR="00BF14E0" w:rsidRPr="004F110A" w:rsidRDefault="00BF14E0" w:rsidP="004F110A">
            <w:pPr>
              <w:pStyle w:val="Tabletext"/>
              <w:jc w:val="center"/>
              <w:rPr>
                <w:sz w:val="20"/>
                <w:lang w:val="en-US"/>
              </w:rPr>
            </w:pPr>
            <w:r w:rsidRPr="004F110A">
              <w:rPr>
                <w:sz w:val="20"/>
                <w:lang w:val="en-US"/>
              </w:rPr>
              <w:t>1 dB</w:t>
            </w:r>
          </w:p>
        </w:tc>
      </w:tr>
      <w:tr w:rsidR="00BF14E0" w:rsidRPr="006A444B" w:rsidTr="00BF14E0">
        <w:trPr>
          <w:trHeight w:val="307"/>
        </w:trPr>
        <w:tc>
          <w:tcPr>
            <w:tcW w:w="2340" w:type="dxa"/>
            <w:tcBorders>
              <w:top w:val="nil"/>
              <w:left w:val="single" w:sz="4" w:space="0" w:color="auto"/>
              <w:bottom w:val="single" w:sz="4" w:space="0" w:color="auto"/>
              <w:right w:val="single" w:sz="4" w:space="0" w:color="auto"/>
            </w:tcBorders>
            <w:noWrap/>
            <w:vAlign w:val="bottom"/>
          </w:tcPr>
          <w:p w:rsidR="00BF14E0" w:rsidRPr="004F110A" w:rsidRDefault="00BF14E0" w:rsidP="004F110A">
            <w:pPr>
              <w:pStyle w:val="Tabletext"/>
              <w:jc w:val="center"/>
              <w:rPr>
                <w:sz w:val="20"/>
                <w:lang w:val="en-US"/>
              </w:rPr>
            </w:pPr>
            <w:r w:rsidRPr="004F110A">
              <w:rPr>
                <w:sz w:val="20"/>
                <w:lang w:val="en-US"/>
              </w:rPr>
              <w:t>250</w:t>
            </w:r>
          </w:p>
        </w:tc>
        <w:tc>
          <w:tcPr>
            <w:tcW w:w="2340" w:type="dxa"/>
            <w:tcBorders>
              <w:top w:val="nil"/>
              <w:left w:val="nil"/>
              <w:bottom w:val="single" w:sz="4" w:space="0" w:color="auto"/>
              <w:right w:val="single" w:sz="4" w:space="0" w:color="auto"/>
            </w:tcBorders>
            <w:noWrap/>
            <w:vAlign w:val="bottom"/>
          </w:tcPr>
          <w:p w:rsidR="00BF14E0" w:rsidRPr="004F110A" w:rsidRDefault="00BF14E0" w:rsidP="004F110A">
            <w:pPr>
              <w:pStyle w:val="Tabletext"/>
              <w:jc w:val="center"/>
              <w:rPr>
                <w:sz w:val="20"/>
                <w:lang w:val="en-US"/>
              </w:rPr>
            </w:pPr>
            <w:r w:rsidRPr="004F110A">
              <w:rPr>
                <w:sz w:val="20"/>
                <w:lang w:val="en-US"/>
              </w:rPr>
              <w:t>0 dB</w:t>
            </w:r>
          </w:p>
        </w:tc>
      </w:tr>
      <w:tr w:rsidR="00BF14E0" w:rsidRPr="006A444B" w:rsidTr="00BF14E0">
        <w:trPr>
          <w:trHeight w:val="261"/>
        </w:trPr>
        <w:tc>
          <w:tcPr>
            <w:tcW w:w="2340" w:type="dxa"/>
            <w:tcBorders>
              <w:top w:val="nil"/>
              <w:left w:val="single" w:sz="4" w:space="0" w:color="auto"/>
              <w:bottom w:val="single" w:sz="4" w:space="0" w:color="auto"/>
              <w:right w:val="single" w:sz="4" w:space="0" w:color="auto"/>
            </w:tcBorders>
            <w:noWrap/>
            <w:vAlign w:val="bottom"/>
          </w:tcPr>
          <w:p w:rsidR="00BF14E0" w:rsidRPr="006A444B" w:rsidRDefault="00BF14E0" w:rsidP="00BF14E0">
            <w:pPr>
              <w:pStyle w:val="Tabletext"/>
              <w:jc w:val="center"/>
              <w:rPr>
                <w:lang w:val="en-US"/>
              </w:rPr>
            </w:pPr>
            <w:r w:rsidRPr="006A444B">
              <w:rPr>
                <w:lang w:val="en-US"/>
              </w:rPr>
              <w:t>300</w:t>
            </w:r>
          </w:p>
        </w:tc>
        <w:tc>
          <w:tcPr>
            <w:tcW w:w="2340" w:type="dxa"/>
            <w:tcBorders>
              <w:top w:val="nil"/>
              <w:left w:val="nil"/>
              <w:bottom w:val="single" w:sz="4" w:space="0" w:color="auto"/>
              <w:right w:val="single" w:sz="4" w:space="0" w:color="auto"/>
            </w:tcBorders>
            <w:noWrap/>
            <w:vAlign w:val="bottom"/>
          </w:tcPr>
          <w:p w:rsidR="00BF14E0" w:rsidRPr="006A444B" w:rsidRDefault="00BF14E0" w:rsidP="00BF14E0">
            <w:pPr>
              <w:pStyle w:val="Tabletext"/>
              <w:jc w:val="center"/>
              <w:rPr>
                <w:lang w:val="en-US"/>
              </w:rPr>
            </w:pPr>
            <w:r w:rsidRPr="006A444B">
              <w:rPr>
                <w:lang w:val="en-US"/>
              </w:rPr>
              <w:t>−1 dB</w:t>
            </w:r>
          </w:p>
        </w:tc>
      </w:tr>
    </w:tbl>
    <w:p w:rsidR="00BF14E0" w:rsidRPr="006A444B" w:rsidRDefault="00BF14E0" w:rsidP="00BF14E0">
      <w:pPr>
        <w:pStyle w:val="Heading3"/>
        <w:rPr>
          <w:lang w:val="en-US"/>
        </w:rPr>
      </w:pPr>
      <w:bookmarkStart w:id="48" w:name="_Toc265129572"/>
      <w:r w:rsidRPr="006A444B">
        <w:rPr>
          <w:lang w:val="en-US"/>
        </w:rPr>
        <w:t>A2.2.5</w:t>
      </w:r>
      <w:r w:rsidRPr="006A444B">
        <w:rPr>
          <w:lang w:val="en-US"/>
        </w:rPr>
        <w:tab/>
        <w:t>Conclusions</w:t>
      </w:r>
      <w:bookmarkEnd w:id="48"/>
    </w:p>
    <w:p w:rsidR="00BF14E0" w:rsidRPr="006A444B" w:rsidRDefault="00BF14E0" w:rsidP="004F110A">
      <w:pPr>
        <w:rPr>
          <w:lang w:val="en-US"/>
        </w:rPr>
      </w:pPr>
      <w:r w:rsidRPr="006A444B">
        <w:rPr>
          <w:lang w:val="en-US"/>
        </w:rPr>
        <w:t>Assuming a maximum power spectral density for PLT devices of −85 dBm/Hz (RMS) as currently defined e.g. in amendment 1 to ITU-T Rec</w:t>
      </w:r>
      <w:r w:rsidR="004F110A">
        <w:rPr>
          <w:lang w:val="en-US"/>
        </w:rPr>
        <w:t>ommendation</w:t>
      </w:r>
      <w:r w:rsidRPr="006A444B">
        <w:rPr>
          <w:lang w:val="en-US"/>
        </w:rPr>
        <w:t xml:space="preserve"> G.9960, all investigated aeronautical radio systems in the frequency range above 80 MHz, except VDL Mode 2, would be interfered at the airborne receiver by PLT. The concerned systems are VHF COM, UHF COM, VOR and ILS LOC.</w:t>
      </w:r>
    </w:p>
    <w:p w:rsidR="00BF14E0" w:rsidRPr="006A444B" w:rsidRDefault="00BF14E0" w:rsidP="00BF14E0">
      <w:pPr>
        <w:rPr>
          <w:lang w:val="en-US"/>
        </w:rPr>
      </w:pPr>
      <w:r w:rsidRPr="006A444B">
        <w:rPr>
          <w:lang w:val="en-US"/>
        </w:rPr>
        <w:t>The margin required for protection of the aeronautical systems reaches up to 24 dB for the VHF systems. Or with other words, the maximum power spectral density for PLT has to be reduced by this margin.</w:t>
      </w:r>
    </w:p>
    <w:p w:rsidR="00BF14E0" w:rsidRPr="006A444B" w:rsidRDefault="00BF14E0" w:rsidP="004F110A">
      <w:pPr>
        <w:pStyle w:val="Heading2"/>
        <w:ind w:right="-284"/>
        <w:rPr>
          <w:lang w:val="en-US"/>
        </w:rPr>
      </w:pPr>
      <w:bookmarkStart w:id="49" w:name="_Toc265129573"/>
      <w:r w:rsidRPr="006A444B">
        <w:rPr>
          <w:lang w:val="en-US"/>
        </w:rPr>
        <w:t>A2.3</w:t>
      </w:r>
      <w:r w:rsidRPr="006A444B">
        <w:rPr>
          <w:lang w:val="en-US"/>
        </w:rPr>
        <w:tab/>
        <w:t>PLT aggregation model applicable for aircraft radiocommunication</w:t>
      </w:r>
      <w:r w:rsidR="004F110A">
        <w:rPr>
          <w:lang w:val="en-US"/>
        </w:rPr>
        <w:t xml:space="preserve"> </w:t>
      </w:r>
      <w:r w:rsidRPr="006A444B">
        <w:rPr>
          <w:lang w:val="en-US"/>
        </w:rPr>
        <w:t>and radionavigation systems</w:t>
      </w:r>
      <w:bookmarkEnd w:id="49"/>
    </w:p>
    <w:p w:rsidR="00BF14E0" w:rsidRPr="006A444B" w:rsidRDefault="00BF14E0" w:rsidP="00BF14E0">
      <w:pPr>
        <w:rPr>
          <w:lang w:val="en-US"/>
        </w:rPr>
      </w:pPr>
      <w:r w:rsidRPr="006A444B">
        <w:rPr>
          <w:lang w:val="en-US"/>
        </w:rPr>
        <w:t>Assuming free-space path loss the minimum coupling loss can be translated into a minimum separation distance for a single source using the following formula:</w:t>
      </w:r>
    </w:p>
    <w:p w:rsidR="00BF14E0" w:rsidRPr="006A444B" w:rsidRDefault="00BF14E0" w:rsidP="00BF14E0">
      <w:pPr>
        <w:pStyle w:val="Equation"/>
        <w:rPr>
          <w:lang w:val="en-US"/>
        </w:rPr>
      </w:pPr>
      <w:r w:rsidRPr="006A444B">
        <w:rPr>
          <w:lang w:val="en-US"/>
        </w:rPr>
        <w:tab/>
      </w:r>
      <w:r w:rsidRPr="006A444B">
        <w:rPr>
          <w:lang w:val="en-US"/>
        </w:rPr>
        <w:tab/>
      </w:r>
      <w:r w:rsidRPr="006A444B">
        <w:rPr>
          <w:lang w:val="en-US"/>
        </w:rPr>
        <w:object w:dxaOrig="3300" w:dyaOrig="380">
          <v:shape id="_x0000_i1089" type="#_x0000_t75" style="width:165pt;height:18.75pt" o:ole="">
            <v:imagedata r:id="rId78" o:title=""/>
          </v:shape>
          <o:OLEObject Type="Embed" ProgID="Equation.3" ShapeID="_x0000_i1089" DrawAspect="Content" ObjectID="_1340453067" r:id="rId79"/>
        </w:object>
      </w:r>
    </w:p>
    <w:p w:rsidR="00BF14E0" w:rsidRPr="006A444B" w:rsidRDefault="00BF14E0" w:rsidP="00BF14E0">
      <w:pPr>
        <w:rPr>
          <w:lang w:val="en-US"/>
        </w:rPr>
      </w:pPr>
      <w:r w:rsidRPr="006A444B">
        <w:rPr>
          <w:lang w:val="en-US"/>
        </w:rPr>
        <w:t>where:</w:t>
      </w:r>
    </w:p>
    <w:p w:rsidR="00BF14E0" w:rsidRPr="006A444B" w:rsidRDefault="00BF14E0" w:rsidP="00BF14E0">
      <w:pPr>
        <w:pStyle w:val="Equationlegend"/>
        <w:rPr>
          <w:lang w:val="en-US"/>
        </w:rPr>
      </w:pPr>
      <w:r w:rsidRPr="006A444B">
        <w:rPr>
          <w:lang w:val="en-US"/>
        </w:rPr>
        <w:tab/>
        <w:t xml:space="preserve"> </w:t>
      </w:r>
      <w:r w:rsidRPr="006A444B">
        <w:rPr>
          <w:i/>
          <w:iCs/>
          <w:lang w:val="en-US"/>
        </w:rPr>
        <w:t>L</w:t>
      </w:r>
      <w:r w:rsidRPr="006A444B">
        <w:rPr>
          <w:i/>
          <w:iCs/>
          <w:vertAlign w:val="subscript"/>
          <w:lang w:val="en-US"/>
        </w:rPr>
        <w:t>bf</w:t>
      </w:r>
      <w:r w:rsidRPr="006A444B">
        <w:rPr>
          <w:lang w:val="en-US"/>
        </w:rPr>
        <w:t xml:space="preserve"> </w:t>
      </w:r>
      <w:r w:rsidRPr="006A444B">
        <w:rPr>
          <w:lang w:val="en-US"/>
        </w:rPr>
        <w:tab/>
        <w:t>= Free-space basic transmission loss (dB);</w:t>
      </w:r>
    </w:p>
    <w:p w:rsidR="00BF14E0" w:rsidRPr="006A444B" w:rsidRDefault="00BF14E0" w:rsidP="00BF14E0">
      <w:pPr>
        <w:pStyle w:val="Equationlegend"/>
        <w:rPr>
          <w:lang w:val="en-US"/>
        </w:rPr>
      </w:pPr>
      <w:r w:rsidRPr="006A444B">
        <w:rPr>
          <w:lang w:val="en-US"/>
        </w:rPr>
        <w:tab/>
      </w:r>
      <w:r w:rsidRPr="006A444B">
        <w:rPr>
          <w:i/>
          <w:iCs/>
          <w:lang w:val="en-US"/>
        </w:rPr>
        <w:t>f</w:t>
      </w:r>
      <w:r w:rsidRPr="006A444B">
        <w:rPr>
          <w:lang w:val="en-US"/>
        </w:rPr>
        <w:tab/>
        <w:t>= Frequency in MHz;</w:t>
      </w:r>
    </w:p>
    <w:p w:rsidR="00BF14E0" w:rsidRPr="006A444B" w:rsidRDefault="00BF14E0" w:rsidP="00BF14E0">
      <w:pPr>
        <w:pStyle w:val="Equationlegend"/>
        <w:rPr>
          <w:lang w:val="en-US"/>
        </w:rPr>
      </w:pPr>
      <w:r w:rsidRPr="006A444B">
        <w:rPr>
          <w:lang w:val="en-US"/>
        </w:rPr>
        <w:tab/>
      </w:r>
      <w:r w:rsidRPr="006A444B">
        <w:rPr>
          <w:i/>
          <w:iCs/>
          <w:lang w:val="en-US"/>
        </w:rPr>
        <w:t>d</w:t>
      </w:r>
      <w:r w:rsidRPr="006A444B">
        <w:rPr>
          <w:lang w:val="en-US"/>
        </w:rPr>
        <w:tab/>
        <w:t>= distance in km.</w:t>
      </w:r>
    </w:p>
    <w:p w:rsidR="00BF14E0" w:rsidRPr="006A444B" w:rsidRDefault="00BF14E0" w:rsidP="00BF14E0">
      <w:pPr>
        <w:rPr>
          <w:lang w:val="en-US"/>
        </w:rPr>
      </w:pPr>
      <w:r w:rsidRPr="006A444B">
        <w:rPr>
          <w:lang w:val="en-US"/>
        </w:rPr>
        <w:t>Aggregating all of the single point source can be achieved using the following formula</w:t>
      </w:r>
    </w:p>
    <w:p w:rsidR="00BF14E0" w:rsidRPr="006A444B" w:rsidRDefault="00BF14E0" w:rsidP="00BF14E0">
      <w:pPr>
        <w:pStyle w:val="Equation"/>
        <w:rPr>
          <w:lang w:val="en-US"/>
        </w:rPr>
      </w:pPr>
      <w:r w:rsidRPr="006A444B">
        <w:rPr>
          <w:lang w:val="en-US"/>
        </w:rPr>
        <w:tab/>
      </w:r>
      <w:r w:rsidRPr="006A444B">
        <w:rPr>
          <w:lang w:val="en-US"/>
        </w:rPr>
        <w:tab/>
      </w:r>
      <w:r w:rsidRPr="006A444B">
        <w:rPr>
          <w:lang w:val="en-US"/>
        </w:rPr>
        <w:object w:dxaOrig="4160" w:dyaOrig="780">
          <v:shape id="_x0000_i1090" type="#_x0000_t75" style="width:206.25pt;height:39pt" o:ole="">
            <v:imagedata r:id="rId80" o:title=""/>
          </v:shape>
          <o:OLEObject Type="Embed" ProgID="Equation.3" ShapeID="_x0000_i1090" DrawAspect="Content" ObjectID="_1340453068" r:id="rId81"/>
        </w:object>
      </w:r>
    </w:p>
    <w:p w:rsidR="00BF14E0" w:rsidRPr="006A444B" w:rsidRDefault="00BF14E0" w:rsidP="00BF14E0">
      <w:pPr>
        <w:rPr>
          <w:lang w:val="en-US"/>
        </w:rPr>
      </w:pPr>
      <w:r w:rsidRPr="006A444B">
        <w:rPr>
          <w:lang w:val="en-US"/>
        </w:rPr>
        <w:t>where:</w:t>
      </w:r>
    </w:p>
    <w:p w:rsidR="00BF14E0" w:rsidRPr="006A444B" w:rsidRDefault="00BF14E0" w:rsidP="00BF14E0">
      <w:pPr>
        <w:pStyle w:val="Equationlegend"/>
        <w:rPr>
          <w:lang w:val="en-US"/>
        </w:rPr>
      </w:pPr>
      <w:r w:rsidRPr="006A444B">
        <w:rPr>
          <w:lang w:val="en-US"/>
        </w:rPr>
        <w:tab/>
      </w:r>
      <w:r w:rsidRPr="006A444B">
        <w:rPr>
          <w:i/>
          <w:iCs/>
          <w:lang w:val="en-US"/>
        </w:rPr>
        <w:t>A</w:t>
      </w:r>
      <w:r w:rsidRPr="006A444B">
        <w:rPr>
          <w:lang w:val="en-US"/>
        </w:rPr>
        <w:tab/>
        <w:t>= average aggregate interference in (watts per unit bandwidth);</w:t>
      </w:r>
    </w:p>
    <w:p w:rsidR="00BF14E0" w:rsidRPr="006A444B" w:rsidRDefault="00BF14E0" w:rsidP="00BF14E0">
      <w:pPr>
        <w:pStyle w:val="Equationlegend"/>
        <w:rPr>
          <w:lang w:val="en-US"/>
        </w:rPr>
      </w:pPr>
      <w:r w:rsidRPr="006A444B">
        <w:rPr>
          <w:lang w:val="en-US"/>
        </w:rPr>
        <w:tab/>
      </w:r>
      <w:r w:rsidRPr="006A444B">
        <w:rPr>
          <w:i/>
          <w:iCs/>
          <w:lang w:val="en-US"/>
        </w:rPr>
        <w:t>W</w:t>
      </w:r>
      <w:r w:rsidRPr="006A444B">
        <w:rPr>
          <w:i/>
          <w:iCs/>
          <w:vertAlign w:val="subscript"/>
          <w:lang w:val="en-US"/>
        </w:rPr>
        <w:t>eirp</w:t>
      </w:r>
      <w:r w:rsidRPr="006A444B">
        <w:rPr>
          <w:lang w:val="en-US"/>
        </w:rPr>
        <w:tab/>
        <w:t>= equivalent average PLT device EIRP (watts per unit bandwidth);</w:t>
      </w:r>
    </w:p>
    <w:p w:rsidR="00BF14E0" w:rsidRPr="006A444B" w:rsidRDefault="00BF14E0" w:rsidP="00BF14E0">
      <w:pPr>
        <w:pStyle w:val="Equationlegend"/>
        <w:rPr>
          <w:lang w:val="en-US"/>
        </w:rPr>
      </w:pPr>
      <w:r w:rsidRPr="006A444B">
        <w:rPr>
          <w:lang w:val="en-US"/>
        </w:rPr>
        <w:tab/>
      </w:r>
      <w:r w:rsidRPr="006A444B">
        <w:rPr>
          <w:i/>
          <w:iCs/>
          <w:szCs w:val="24"/>
          <w:lang w:val="en-US"/>
        </w:rPr>
        <w:sym w:font="Symbol" w:char="F06C"/>
      </w:r>
      <w:r w:rsidRPr="006A444B">
        <w:rPr>
          <w:lang w:val="en-US"/>
        </w:rPr>
        <w:tab/>
        <w:t>= wavelength (meters);</w:t>
      </w:r>
    </w:p>
    <w:p w:rsidR="00BF14E0" w:rsidRPr="006A444B" w:rsidRDefault="00BF14E0" w:rsidP="00BF14E0">
      <w:pPr>
        <w:pStyle w:val="Equationlegend"/>
        <w:rPr>
          <w:lang w:val="en-US"/>
        </w:rPr>
      </w:pPr>
      <w:r w:rsidRPr="006A444B">
        <w:rPr>
          <w:lang w:val="en-US"/>
        </w:rPr>
        <w:tab/>
      </w:r>
      <w:r w:rsidRPr="006A444B">
        <w:rPr>
          <w:i/>
          <w:iCs/>
          <w:lang w:val="en-US"/>
        </w:rPr>
        <w:t>Gr</w:t>
      </w:r>
      <w:r w:rsidRPr="006A444B">
        <w:rPr>
          <w:lang w:val="en-US"/>
        </w:rPr>
        <w:tab/>
        <w:t>= victim receiver antenna gain;</w:t>
      </w:r>
    </w:p>
    <w:p w:rsidR="00BF14E0" w:rsidRPr="006A444B" w:rsidRDefault="00BF14E0" w:rsidP="00BF14E0">
      <w:pPr>
        <w:pStyle w:val="Equationlegend"/>
        <w:rPr>
          <w:lang w:val="en-US"/>
        </w:rPr>
      </w:pPr>
      <w:r w:rsidRPr="006A444B">
        <w:rPr>
          <w:lang w:val="en-US"/>
        </w:rPr>
        <w:tab/>
      </w:r>
      <w:r w:rsidRPr="006A444B">
        <w:rPr>
          <w:i/>
          <w:iCs/>
          <w:szCs w:val="24"/>
          <w:lang w:val="en-US"/>
        </w:rPr>
        <w:sym w:font="Symbol" w:char="F072"/>
      </w:r>
      <w:r w:rsidRPr="006A444B">
        <w:rPr>
          <w:lang w:val="en-US"/>
        </w:rPr>
        <w:tab/>
        <w:t>= average density of PLT emitters (emitters per meter</w:t>
      </w:r>
      <w:r w:rsidRPr="006A444B">
        <w:rPr>
          <w:vertAlign w:val="superscript"/>
          <w:lang w:val="en-US"/>
        </w:rPr>
        <w:t>2</w:t>
      </w:r>
      <w:r w:rsidRPr="006A444B">
        <w:rPr>
          <w:lang w:val="en-US"/>
        </w:rPr>
        <w:t>);</w:t>
      </w:r>
    </w:p>
    <w:p w:rsidR="00BF14E0" w:rsidRPr="006A444B" w:rsidRDefault="00BF14E0" w:rsidP="00BF14E0">
      <w:pPr>
        <w:pStyle w:val="Equationlegend"/>
        <w:rPr>
          <w:lang w:val="en-US"/>
        </w:rPr>
      </w:pPr>
      <w:r w:rsidRPr="006A444B">
        <w:rPr>
          <w:lang w:val="en-US"/>
        </w:rPr>
        <w:tab/>
      </w:r>
      <w:r w:rsidRPr="006A444B">
        <w:rPr>
          <w:i/>
          <w:iCs/>
          <w:lang w:val="en-US"/>
        </w:rPr>
        <w:t>R</w:t>
      </w:r>
      <w:r w:rsidRPr="006A444B">
        <w:rPr>
          <w:i/>
          <w:iCs/>
          <w:vertAlign w:val="subscript"/>
          <w:lang w:val="en-US"/>
        </w:rPr>
        <w:t>e</w:t>
      </w:r>
      <w:r w:rsidRPr="006A444B">
        <w:rPr>
          <w:lang w:val="en-US"/>
        </w:rPr>
        <w:tab/>
        <w:t>= effective earth radius (meters);</w:t>
      </w:r>
    </w:p>
    <w:p w:rsidR="00BF14E0" w:rsidRPr="006A444B" w:rsidRDefault="00BF14E0" w:rsidP="00BF14E0">
      <w:pPr>
        <w:pStyle w:val="Equationlegend"/>
        <w:rPr>
          <w:lang w:val="en-US"/>
        </w:rPr>
      </w:pPr>
      <w:r w:rsidRPr="006A444B">
        <w:rPr>
          <w:lang w:val="en-US"/>
        </w:rPr>
        <w:tab/>
      </w:r>
      <w:r w:rsidRPr="006A444B">
        <w:rPr>
          <w:i/>
          <w:iCs/>
          <w:lang w:val="en-US"/>
        </w:rPr>
        <w:t>R</w:t>
      </w:r>
      <w:r w:rsidRPr="006A444B">
        <w:rPr>
          <w:lang w:val="en-US"/>
        </w:rPr>
        <w:tab/>
        <w:t>= radius of the observed zone or the radio horizon;</w:t>
      </w:r>
    </w:p>
    <w:p w:rsidR="00BF14E0" w:rsidRPr="006A444B" w:rsidRDefault="00BF14E0" w:rsidP="00BF14E0">
      <w:pPr>
        <w:pStyle w:val="Equationlegend"/>
        <w:rPr>
          <w:lang w:val="en-US"/>
        </w:rPr>
      </w:pPr>
      <w:r w:rsidRPr="006A444B">
        <w:rPr>
          <w:lang w:val="en-US"/>
        </w:rPr>
        <w:tab/>
      </w:r>
      <w:r w:rsidRPr="006A444B">
        <w:rPr>
          <w:i/>
          <w:iCs/>
          <w:lang w:val="en-US"/>
        </w:rPr>
        <w:t>h</w:t>
      </w:r>
      <w:r w:rsidRPr="006A444B">
        <w:rPr>
          <w:lang w:val="en-US"/>
        </w:rPr>
        <w:tab/>
        <w:t>= height of the receive antenna above the ground (meters);</w:t>
      </w:r>
    </w:p>
    <w:p w:rsidR="00BF14E0" w:rsidRPr="00FF5E2D" w:rsidRDefault="00BF14E0" w:rsidP="00BF14E0">
      <w:pPr>
        <w:pStyle w:val="Equationlegend"/>
        <w:rPr>
          <w:lang w:val="pt-BR"/>
        </w:rPr>
      </w:pPr>
      <w:r w:rsidRPr="006A444B">
        <w:rPr>
          <w:lang w:val="en-US"/>
        </w:rPr>
        <w:tab/>
      </w:r>
      <w:r w:rsidRPr="00FF5E2D">
        <w:rPr>
          <w:i/>
          <w:iCs/>
          <w:lang w:val="pt-BR"/>
        </w:rPr>
        <w:t>H</w:t>
      </w:r>
      <w:r w:rsidRPr="00FF5E2D">
        <w:rPr>
          <w:lang w:val="pt-BR"/>
        </w:rPr>
        <w:tab/>
        <w:t xml:space="preserve">= </w:t>
      </w:r>
      <w:r w:rsidRPr="00FF5E2D">
        <w:rPr>
          <w:i/>
          <w:iCs/>
          <w:lang w:val="pt-BR"/>
        </w:rPr>
        <w:t>Re</w:t>
      </w:r>
      <w:r w:rsidRPr="00FF5E2D">
        <w:rPr>
          <w:lang w:val="pt-BR"/>
        </w:rPr>
        <w:t>(1-cos(</w:t>
      </w:r>
      <w:r w:rsidRPr="00FF5E2D">
        <w:rPr>
          <w:i/>
          <w:iCs/>
          <w:lang w:val="pt-BR"/>
        </w:rPr>
        <w:t>R</w:t>
      </w:r>
      <w:r w:rsidRPr="00FF5E2D">
        <w:rPr>
          <w:lang w:val="pt-BR"/>
        </w:rPr>
        <w:t>/</w:t>
      </w:r>
      <w:r w:rsidRPr="00FF5E2D">
        <w:rPr>
          <w:i/>
          <w:iCs/>
          <w:lang w:val="pt-BR"/>
        </w:rPr>
        <w:t>R</w:t>
      </w:r>
      <w:r w:rsidRPr="00FF5E2D">
        <w:rPr>
          <w:i/>
          <w:iCs/>
          <w:vertAlign w:val="subscript"/>
          <w:lang w:val="pt-BR"/>
        </w:rPr>
        <w:t>e</w:t>
      </w:r>
      <w:r w:rsidRPr="00FF5E2D">
        <w:rPr>
          <w:lang w:val="pt-BR"/>
        </w:rPr>
        <w:t>).</w:t>
      </w:r>
    </w:p>
    <w:p w:rsidR="00BF14E0" w:rsidRPr="00FF5E2D" w:rsidRDefault="00BF14E0" w:rsidP="00BF14E0">
      <w:pPr>
        <w:rPr>
          <w:lang w:val="pt-BR"/>
        </w:rPr>
      </w:pPr>
    </w:p>
    <w:p w:rsidR="00BF14E0" w:rsidRPr="00FF5E2D" w:rsidRDefault="00BF14E0" w:rsidP="00BF14E0">
      <w:pPr>
        <w:rPr>
          <w:lang w:val="pt-BR"/>
        </w:rPr>
      </w:pPr>
    </w:p>
    <w:p w:rsidR="00BF14E0" w:rsidRPr="00FF5E2D" w:rsidRDefault="00BF14E0" w:rsidP="00BF14E0">
      <w:pPr>
        <w:pStyle w:val="AnnexNo"/>
        <w:rPr>
          <w:lang w:val="pt-BR"/>
        </w:rPr>
      </w:pPr>
      <w:r w:rsidRPr="00FF5E2D">
        <w:rPr>
          <w:lang w:val="pt-BR"/>
        </w:rPr>
        <w:t>Annex 3</w:t>
      </w:r>
    </w:p>
    <w:p w:rsidR="00BF14E0" w:rsidRPr="006A444B" w:rsidRDefault="00BF14E0" w:rsidP="00BF14E0">
      <w:pPr>
        <w:pStyle w:val="Annextitle"/>
        <w:rPr>
          <w:lang w:val="en-US"/>
        </w:rPr>
      </w:pPr>
      <w:bookmarkStart w:id="50" w:name="_Toc265129574"/>
      <w:r w:rsidRPr="006A444B">
        <w:rPr>
          <w:lang w:val="en-US"/>
        </w:rPr>
        <w:t xml:space="preserve">Radio-frequency emissions from PLT systems </w:t>
      </w:r>
      <w:r w:rsidRPr="006A444B">
        <w:rPr>
          <w:lang w:val="en-US"/>
        </w:rPr>
        <w:br/>
        <w:t>in the VHF and UHF bands</w:t>
      </w:r>
      <w:bookmarkEnd w:id="50"/>
    </w:p>
    <w:p w:rsidR="00BF14E0" w:rsidRPr="006A444B" w:rsidRDefault="00BF14E0" w:rsidP="00BF14E0">
      <w:pPr>
        <w:pStyle w:val="Heading2"/>
        <w:rPr>
          <w:lang w:val="en-US"/>
        </w:rPr>
      </w:pPr>
      <w:bookmarkStart w:id="51" w:name="_Toc258686128"/>
      <w:bookmarkStart w:id="52" w:name="_Toc262725277"/>
      <w:bookmarkStart w:id="53" w:name="_Toc265129575"/>
      <w:r w:rsidRPr="006A444B">
        <w:rPr>
          <w:lang w:val="en-US"/>
        </w:rPr>
        <w:t>A3.1</w:t>
      </w:r>
      <w:r w:rsidRPr="006A444B">
        <w:rPr>
          <w:lang w:val="en-US"/>
        </w:rPr>
        <w:tab/>
        <w:t>Introduction</w:t>
      </w:r>
      <w:bookmarkEnd w:id="51"/>
      <w:bookmarkEnd w:id="52"/>
      <w:bookmarkEnd w:id="53"/>
    </w:p>
    <w:p w:rsidR="00BF14E0" w:rsidRPr="006A444B" w:rsidRDefault="00BF14E0" w:rsidP="00BF14E0">
      <w:pPr>
        <w:rPr>
          <w:lang w:val="en-US"/>
        </w:rPr>
      </w:pPr>
      <w:r w:rsidRPr="006A444B">
        <w:rPr>
          <w:lang w:val="en-US"/>
        </w:rPr>
        <w:t xml:space="preserve">This Annex addresses the impact on radiocommunication services from unintentional emissions of wired-telecommunication systems including Power Line Telecommunication (PLT) Systems and the criteria required for protection. Initially, PLT systems operated at frequencies bands below 30 MHz and so the resulting radiation was also in these bands. Unfortunately, increased use is being made of mains electrical wiring for the transmission of wideband data. Mains electrical wiring is, typically, neither designed nor engineered for the transmission of wide bandwidth data and incidental radiation from the wiring is a consequence. Any broadcast receiver operated in the vicinity of a mains conductor carrying PLT will perceive this radiation as an increase in the noise floor and inhibit the receiver’s ability to resolve low level signals. The introduction of ITU-T Recommendation G.9960 has extended the frequency of PLT operation to 200 MHz. Despite the limitations suggested by </w:t>
      </w:r>
      <w:r w:rsidR="004F110A">
        <w:rPr>
          <w:lang w:val="en-US"/>
        </w:rPr>
        <w:t xml:space="preserve">ITU-T Recommendation </w:t>
      </w:r>
      <w:r w:rsidRPr="006A444B">
        <w:rPr>
          <w:lang w:val="en-US"/>
        </w:rPr>
        <w:t xml:space="preserve">G.9960, measurements of PLT devices reveal that emissions occur well beyond 200 MHz. These findings and the impact on radiocommunication services are summarized in this </w:t>
      </w:r>
      <w:r w:rsidR="004F110A" w:rsidRPr="006A444B">
        <w:rPr>
          <w:lang w:val="en-US"/>
        </w:rPr>
        <w:t>R</w:t>
      </w:r>
      <w:r w:rsidRPr="006A444B">
        <w:rPr>
          <w:lang w:val="en-US"/>
        </w:rPr>
        <w:t>eport.</w:t>
      </w:r>
    </w:p>
    <w:p w:rsidR="00BF14E0" w:rsidRPr="006A444B" w:rsidRDefault="00BF14E0" w:rsidP="00BF14E0">
      <w:pPr>
        <w:rPr>
          <w:lang w:val="en-US"/>
        </w:rPr>
      </w:pPr>
      <w:r w:rsidRPr="006A444B">
        <w:rPr>
          <w:lang w:val="en-US"/>
        </w:rPr>
        <w:t>This Annex is supplemented with data from analyses, laboratory tests, field tests, and various measurement programmes that can be found in Reports ITU-R SM.2158 and ITU-R SM.2157.</w:t>
      </w:r>
    </w:p>
    <w:p w:rsidR="00BF14E0" w:rsidRPr="006A444B" w:rsidRDefault="00BF14E0" w:rsidP="00BF14E0">
      <w:pPr>
        <w:pStyle w:val="Heading2"/>
        <w:rPr>
          <w:lang w:val="en-US"/>
        </w:rPr>
      </w:pPr>
      <w:bookmarkStart w:id="54" w:name="_Toc262725278"/>
      <w:bookmarkStart w:id="55" w:name="_Toc265129576"/>
      <w:r w:rsidRPr="006A444B">
        <w:rPr>
          <w:lang w:val="en-US"/>
        </w:rPr>
        <w:t>A3.2</w:t>
      </w:r>
      <w:r w:rsidRPr="006A444B">
        <w:rPr>
          <w:lang w:val="en-US"/>
        </w:rPr>
        <w:tab/>
        <w:t>Radio-frequency emission measurements from PLT systems</w:t>
      </w:r>
      <w:bookmarkEnd w:id="54"/>
      <w:bookmarkEnd w:id="55"/>
    </w:p>
    <w:p w:rsidR="00BF14E0" w:rsidRPr="00FF5E2D" w:rsidRDefault="00BF14E0" w:rsidP="00BF14E0">
      <w:pPr>
        <w:pStyle w:val="Heading3"/>
        <w:rPr>
          <w:lang w:val="de-CH" w:eastAsia="ja-JP"/>
        </w:rPr>
      </w:pPr>
      <w:bookmarkStart w:id="56" w:name="_Toc262725279"/>
      <w:bookmarkStart w:id="57" w:name="_Toc265129577"/>
      <w:r w:rsidRPr="00FF5E2D">
        <w:rPr>
          <w:lang w:val="de-CH" w:eastAsia="ja-JP"/>
        </w:rPr>
        <w:t>A3.2.1</w:t>
      </w:r>
      <w:r w:rsidRPr="00FF5E2D">
        <w:rPr>
          <w:lang w:val="de-CH" w:eastAsia="ja-JP"/>
        </w:rPr>
        <w:tab/>
      </w:r>
      <w:r w:rsidRPr="00FF5E2D">
        <w:rPr>
          <w:lang w:val="de-CH" w:eastAsia="zh-CN"/>
        </w:rPr>
        <w:t>Institut für Rundfunktechnik GmbH (IRT)</w:t>
      </w:r>
      <w:r w:rsidRPr="00FF5E2D">
        <w:rPr>
          <w:lang w:val="de-CH" w:eastAsia="ja-JP"/>
        </w:rPr>
        <w:t xml:space="preserve"> measurements of PLT modems</w:t>
      </w:r>
      <w:bookmarkEnd w:id="56"/>
      <w:bookmarkEnd w:id="57"/>
    </w:p>
    <w:p w:rsidR="00BF14E0" w:rsidRPr="006A444B" w:rsidRDefault="00BF14E0" w:rsidP="00BF14E0">
      <w:pPr>
        <w:rPr>
          <w:lang w:val="en-US" w:eastAsia="zh-CN"/>
        </w:rPr>
      </w:pPr>
      <w:r w:rsidRPr="006A444B">
        <w:rPr>
          <w:lang w:val="en-US"/>
        </w:rPr>
        <w:t>This section provides technical information concerning the performance and the radiation characteristics of some PLT systems. The information includes the results of initial measurements</w:t>
      </w:r>
      <w:r w:rsidRPr="006A444B">
        <w:rPr>
          <w:lang w:val="en-US" w:eastAsia="zh-CN"/>
        </w:rPr>
        <w:t xml:space="preserve"> of spectrum usage of modern Power Line Telecommunications (PLT) modems carried out at the IRT), the central research and development institution of the public service broadcasting organizations in </w:t>
      </w:r>
      <w:smartTag w:uri="urn:schemas-microsoft-com:office:smarttags" w:element="stockticker">
        <w:r w:rsidRPr="006A444B">
          <w:rPr>
            <w:lang w:val="en-US" w:eastAsia="zh-CN"/>
          </w:rPr>
          <w:t>Germany</w:t>
        </w:r>
      </w:smartTag>
      <w:r w:rsidRPr="006A444B">
        <w:rPr>
          <w:lang w:val="en-US" w:eastAsia="zh-CN"/>
        </w:rPr>
        <w:t xml:space="preserve">, </w:t>
      </w:r>
      <w:smartTag w:uri="urn:schemas-microsoft-com:office:smarttags" w:element="stockticker">
        <w:r w:rsidRPr="006A444B">
          <w:rPr>
            <w:lang w:val="en-US" w:eastAsia="zh-CN"/>
          </w:rPr>
          <w:t>Austria</w:t>
        </w:r>
      </w:smartTag>
      <w:r w:rsidRPr="006A444B">
        <w:rPr>
          <w:lang w:val="en-US" w:eastAsia="zh-CN"/>
        </w:rPr>
        <w:t xml:space="preserve"> and </w:t>
      </w:r>
      <w:smartTag w:uri="urn:schemas-microsoft-com:office:smarttags" w:element="stockticker">
        <w:r w:rsidRPr="006A444B">
          <w:rPr>
            <w:lang w:val="en-US" w:eastAsia="zh-CN"/>
          </w:rPr>
          <w:t>Switzerland</w:t>
        </w:r>
      </w:smartTag>
      <w:r w:rsidRPr="006A444B">
        <w:rPr>
          <w:lang w:val="en-US" w:eastAsia="zh-CN"/>
        </w:rPr>
        <w:t>. The information is intended to assist in the assessment of interference stemming from PLT devices.</w:t>
      </w:r>
    </w:p>
    <w:p w:rsidR="00BF14E0" w:rsidRPr="006A444B" w:rsidRDefault="00BF14E0" w:rsidP="00BF14E0">
      <w:pPr>
        <w:pStyle w:val="Heading4"/>
        <w:rPr>
          <w:lang w:val="en-US"/>
        </w:rPr>
      </w:pPr>
      <w:bookmarkStart w:id="58" w:name="_Toc262725280"/>
      <w:bookmarkStart w:id="59" w:name="_Toc265129578"/>
      <w:r w:rsidRPr="006A444B">
        <w:rPr>
          <w:lang w:val="en-US"/>
        </w:rPr>
        <w:t>A3.2.1.1</w:t>
      </w:r>
      <w:r w:rsidRPr="006A444B">
        <w:rPr>
          <w:lang w:val="en-US"/>
        </w:rPr>
        <w:tab/>
        <w:t>Overview of the measurements</w:t>
      </w:r>
      <w:bookmarkEnd w:id="58"/>
      <w:bookmarkEnd w:id="59"/>
    </w:p>
    <w:p w:rsidR="00BF14E0" w:rsidRPr="006A444B" w:rsidRDefault="00BF14E0" w:rsidP="00BF14E0">
      <w:pPr>
        <w:rPr>
          <w:lang w:val="en-US"/>
        </w:rPr>
      </w:pPr>
      <w:r w:rsidRPr="006A444B">
        <w:rPr>
          <w:lang w:val="en-US"/>
        </w:rPr>
        <w:t xml:space="preserve">The typical frequency range for the two power line telecommunication technologies currently used throughout </w:t>
      </w:r>
      <w:smartTag w:uri="urn:schemas-microsoft-com:office:smarttags" w:element="place">
        <w:smartTag w:uri="urn:schemas-microsoft-com:office:smarttags" w:element="stockticker">
          <w:r w:rsidRPr="006A444B">
            <w:rPr>
              <w:lang w:val="en-US"/>
            </w:rPr>
            <w:t>Europe</w:t>
          </w:r>
        </w:smartTag>
      </w:smartTag>
      <w:r w:rsidRPr="006A444B">
        <w:rPr>
          <w:lang w:val="en-US"/>
        </w:rPr>
        <w:t xml:space="preserve"> is 2-30 MHz for Homeplug AV and 2-32 MHz for UPA (Homebone, DS2). Frequency notching is used to minimize interference to emission within the frequency bands used by amateur radio operators. In addition, the transmit power in various frequency ranges is reduced by approx. 30 dB in order to reduce interference with other users in these parts of the frequency spectrum. The most recent generation of chip sets, which is oriented towards the future G.hn standard or the G.9960 recommendation, also occupies the spectrum between 50 and 300 MHz. Measurements of spectrum usage of these, in total, three PLT t</w:t>
      </w:r>
      <w:r w:rsidR="004F110A">
        <w:rPr>
          <w:lang w:val="en-US"/>
        </w:rPr>
        <w:t>echnologies, in particular by a </w:t>
      </w:r>
      <w:r w:rsidRPr="006A444B">
        <w:rPr>
          <w:lang w:val="en-US"/>
        </w:rPr>
        <w:t>representative of mediaxtream, the newest Gigabit chip set from Gigle,</w:t>
      </w:r>
      <w:bookmarkStart w:id="60" w:name="_GoBack"/>
      <w:bookmarkEnd w:id="60"/>
      <w:r w:rsidRPr="006A444B">
        <w:rPr>
          <w:lang w:val="en-US"/>
        </w:rPr>
        <w:t xml:space="preserve"> aim to capture the utilization levels on the power lines as well as possible radiation levels. It remains to be clarified to what extent interference or adverse effects may occur in the broadcast bands due to the use of the PLT adapters.</w:t>
      </w:r>
    </w:p>
    <w:p w:rsidR="004F110A" w:rsidRDefault="004F110A">
      <w:pPr>
        <w:tabs>
          <w:tab w:val="clear" w:pos="794"/>
          <w:tab w:val="clear" w:pos="1191"/>
          <w:tab w:val="clear" w:pos="1588"/>
          <w:tab w:val="clear" w:pos="1985"/>
        </w:tabs>
        <w:overflowPunct/>
        <w:autoSpaceDE/>
        <w:autoSpaceDN/>
        <w:adjustRightInd/>
        <w:spacing w:before="0"/>
        <w:textAlignment w:val="auto"/>
        <w:rPr>
          <w:b/>
          <w:lang w:val="en-US"/>
        </w:rPr>
      </w:pPr>
      <w:bookmarkStart w:id="61" w:name="_Toc262725281"/>
      <w:bookmarkStart w:id="62" w:name="_Toc265129579"/>
      <w:r>
        <w:rPr>
          <w:lang w:val="en-US"/>
        </w:rPr>
        <w:br w:type="page"/>
      </w:r>
    </w:p>
    <w:p w:rsidR="00BF14E0" w:rsidRPr="006A444B" w:rsidRDefault="00BF14E0" w:rsidP="00BF14E0">
      <w:pPr>
        <w:pStyle w:val="Heading4"/>
        <w:rPr>
          <w:lang w:val="en-US"/>
        </w:rPr>
      </w:pPr>
      <w:r w:rsidRPr="006A444B">
        <w:rPr>
          <w:lang w:val="en-US"/>
        </w:rPr>
        <w:t>A3.2.1.2</w:t>
      </w:r>
      <w:r w:rsidRPr="006A444B">
        <w:rPr>
          <w:lang w:val="en-US"/>
        </w:rPr>
        <w:tab/>
        <w:t>PLT performance</w:t>
      </w:r>
      <w:bookmarkEnd w:id="61"/>
      <w:bookmarkEnd w:id="62"/>
    </w:p>
    <w:p w:rsidR="00BF14E0" w:rsidRPr="006A444B" w:rsidRDefault="00BF14E0" w:rsidP="00BF14E0">
      <w:pPr>
        <w:rPr>
          <w:lang w:val="en-US"/>
        </w:rPr>
      </w:pPr>
      <w:r w:rsidRPr="006A444B">
        <w:rPr>
          <w:lang w:val="en-US"/>
        </w:rPr>
        <w:t xml:space="preserve">Despite the fact that the identical Intellon INT6300 chip set is used in the products by Allnet, Devolo, and Zyxel and the identical DS2 DSS9010 chip set in the products by AcBel and Conceptronic, differences in performance can be detected. The determined measured values show very good performance of all power line devices operating in accordance with the transmission control protocol (TCP). Even at a distance of 22 meters and different current phases, data rates of 50 to 74 Mbit/s are achieved, that, for example, allow for the streaming of two HD signals while still having sufficient reserve to manage a transfer rate of 10 Mbit/s for other purposes. The adapters by Allnet, Devolo, and Zyxel as well as adapters by AcBel and Conceptronic have a nominal maximum transmission rate of 200 Mbit/s, which equals a maximum user data transfer rate of approx. 80 Mbit/s. The Belkin Gigabit Powerline HD adapters with the mediaxtream chip set by Gigle (GGL541) have to be individually analysed since they are the only ones with a Gigabit network connection and have a nominal maximum transmission rate of 1 000 Mbit/s. Under real operating conditions, the maximum user data transfer rate may be significantly lower. Nevertheless, in using the 50-305 MHz spectrum, the Gigle GGL541 chip set enables a clearly faster data transfer rate than the chip sets from Intellon (2-30 MHz) and DS2 (2-32 MHz). Belkin adapters were able to demonstrate this, for example, at a distance of 2.3 meters. At “shorter distances” the performance of the Gigle chip set outperforms the Intellon and DS2 chip sets by a factor of 3.5. At a distance of 22 meters, the performance of the Belkin adapters deteriorates. Starting at a line length distance of approx. 10 meters or with higher attenuation between the two Belkin adapters, the devices only operate in the Homeplug AV spectrum (lower frequency band: 2-30 MHz). The data throughput of 50 Mbit/s is then approx. 30 percent lower than that of the Intellon and DS2 adapters. </w:t>
      </w:r>
    </w:p>
    <w:p w:rsidR="00BF14E0" w:rsidRPr="006A444B" w:rsidRDefault="00BF14E0" w:rsidP="00BF14E0">
      <w:pPr>
        <w:rPr>
          <w:lang w:val="en-US"/>
        </w:rPr>
      </w:pPr>
      <w:r w:rsidRPr="006A444B">
        <w:rPr>
          <w:lang w:val="en-US"/>
        </w:rPr>
        <w:t>Table 1 tabulates the technical characteristics of power line adapters measured. Three pairs of the Powerline standard Homeplug AV by the manufacturers Allnet, Devolo, and Zyxel as well as two UPA devices by AcBel and Conceptronic were tested. As a third version, the new Gigabit Powerline adapters by Belkin were tested and reported herein</w:t>
      </w:r>
      <w:r w:rsidR="00580FF1">
        <w:rPr>
          <w:lang w:val="en-US"/>
        </w:rPr>
        <w:t>; they are the only ones with a </w:t>
      </w:r>
      <w:r w:rsidRPr="006A444B">
        <w:rPr>
          <w:lang w:val="en-US"/>
        </w:rPr>
        <w:t xml:space="preserve">maximum nominal transmission rate of 1 000 Mbit/s. </w:t>
      </w:r>
    </w:p>
    <w:p w:rsidR="00BF14E0" w:rsidRPr="004F110A" w:rsidRDefault="00BF14E0" w:rsidP="004F110A">
      <w:pPr>
        <w:pStyle w:val="TableNo"/>
        <w:rPr>
          <w:sz w:val="20"/>
          <w:lang w:val="en-US"/>
        </w:rPr>
      </w:pPr>
      <w:r w:rsidRPr="004F110A">
        <w:rPr>
          <w:sz w:val="20"/>
          <w:lang w:val="en-US"/>
        </w:rPr>
        <w:t>Table 1</w:t>
      </w:r>
    </w:p>
    <w:p w:rsidR="00BF14E0" w:rsidRPr="004F110A" w:rsidRDefault="00BF14E0" w:rsidP="004F110A">
      <w:pPr>
        <w:pStyle w:val="Tabletitle"/>
        <w:rPr>
          <w:sz w:val="20"/>
          <w:lang w:val="en-US"/>
        </w:rPr>
      </w:pPr>
      <w:r w:rsidRPr="004F110A">
        <w:rPr>
          <w:sz w:val="20"/>
          <w:lang w:val="en-US"/>
        </w:rPr>
        <w:t>Specifications of tested power line adapters</w:t>
      </w:r>
    </w:p>
    <w:tbl>
      <w:tblPr>
        <w:tblW w:w="9267" w:type="dxa"/>
        <w:jc w:val="center"/>
        <w:tblInd w:w="-88" w:type="dxa"/>
        <w:tblCellMar>
          <w:left w:w="70" w:type="dxa"/>
          <w:right w:w="70" w:type="dxa"/>
        </w:tblCellMar>
        <w:tblLook w:val="00A0"/>
      </w:tblPr>
      <w:tblGrid>
        <w:gridCol w:w="1374"/>
        <w:gridCol w:w="1417"/>
        <w:gridCol w:w="1105"/>
        <w:gridCol w:w="1207"/>
        <w:gridCol w:w="1329"/>
        <w:gridCol w:w="1417"/>
        <w:gridCol w:w="1418"/>
      </w:tblGrid>
      <w:tr w:rsidR="00BF14E0" w:rsidRPr="006A444B" w:rsidTr="00BF14E0">
        <w:trPr>
          <w:trHeight w:val="1418"/>
          <w:jc w:val="center"/>
        </w:trPr>
        <w:tc>
          <w:tcPr>
            <w:tcW w:w="1374" w:type="dxa"/>
            <w:tcBorders>
              <w:bottom w:val="single" w:sz="4" w:space="0" w:color="auto"/>
            </w:tcBorders>
            <w:noWrap/>
            <w:vAlign w:val="center"/>
          </w:tcPr>
          <w:p w:rsidR="00BF14E0" w:rsidRPr="006A444B" w:rsidRDefault="00BF14E0" w:rsidP="00BF14E0">
            <w:pPr>
              <w:keepNext/>
              <w:spacing w:before="0"/>
              <w:rPr>
                <w:lang w:val="en-US"/>
              </w:rPr>
            </w:pPr>
          </w:p>
        </w:tc>
        <w:tc>
          <w:tcPr>
            <w:tcW w:w="1417" w:type="dxa"/>
            <w:tcBorders>
              <w:bottom w:val="single" w:sz="4" w:space="0" w:color="auto"/>
            </w:tcBorders>
            <w:noWrap/>
            <w:vAlign w:val="center"/>
          </w:tcPr>
          <w:p w:rsidR="00BF14E0" w:rsidRPr="006A444B" w:rsidRDefault="00EF1C76" w:rsidP="00BF14E0">
            <w:pPr>
              <w:keepNext/>
              <w:spacing w:before="0"/>
              <w:jc w:val="center"/>
              <w:rPr>
                <w:rFonts w:ascii="Calibri" w:hAnsi="Calibri" w:cs="Calibri"/>
                <w:color w:val="000000"/>
                <w:lang w:val="en-US"/>
              </w:rPr>
            </w:pPr>
            <w:r w:rsidRPr="00EF1C76">
              <w:rPr>
                <w:noProof/>
                <w:lang w:val="en-US" w:eastAsia="zh-CN"/>
              </w:rPr>
              <w:pict>
                <v:shape id="Grafik 5" o:spid="_x0000_s1027" type="#_x0000_t75" style="position:absolute;left:0;text-align:left;margin-left:56.3pt;margin-top:5.25pt;width:57pt;height:61.5pt;z-index:251661312;visibility:visible;mso-position-horizontal-relative:text;mso-position-vertical-relative:text" o:allowincell="f">
                  <v:imagedata r:id="rId82" o:title=""/>
                </v:shape>
              </w:pict>
            </w:r>
            <w:r w:rsidRPr="00EF1C76">
              <w:rPr>
                <w:noProof/>
                <w:lang w:val="en-US" w:eastAsia="zh-CN"/>
              </w:rPr>
              <w:pict>
                <v:shape id="Grafik 4" o:spid="_x0000_s1026" type="#_x0000_t75" style="position:absolute;left:0;text-align:left;margin-left:3pt;margin-top:4.4pt;width:49.5pt;height:66pt;z-index:251660288;visibility:visible;mso-position-horizontal-relative:text;mso-position-vertical-relative:text" o:allowincell="f">
                  <v:imagedata r:id="rId83" o:title=""/>
                </v:shape>
              </w:pict>
            </w:r>
          </w:p>
        </w:tc>
        <w:tc>
          <w:tcPr>
            <w:tcW w:w="1105" w:type="dxa"/>
            <w:tcBorders>
              <w:bottom w:val="single" w:sz="4" w:space="0" w:color="auto"/>
            </w:tcBorders>
            <w:noWrap/>
            <w:vAlign w:val="center"/>
          </w:tcPr>
          <w:p w:rsidR="00BF14E0" w:rsidRPr="006A444B" w:rsidRDefault="00BF14E0" w:rsidP="00BF14E0">
            <w:pPr>
              <w:keepNext/>
              <w:spacing w:before="0"/>
              <w:jc w:val="center"/>
              <w:rPr>
                <w:rFonts w:ascii="Calibri" w:hAnsi="Calibri" w:cs="Calibri"/>
                <w:color w:val="000000"/>
                <w:lang w:val="en-US"/>
              </w:rPr>
            </w:pPr>
          </w:p>
        </w:tc>
        <w:tc>
          <w:tcPr>
            <w:tcW w:w="1207" w:type="dxa"/>
            <w:tcBorders>
              <w:bottom w:val="single" w:sz="4" w:space="0" w:color="auto"/>
            </w:tcBorders>
            <w:noWrap/>
            <w:vAlign w:val="center"/>
          </w:tcPr>
          <w:p w:rsidR="00BF14E0" w:rsidRPr="006A444B" w:rsidRDefault="00EF1C76" w:rsidP="00BF14E0">
            <w:pPr>
              <w:keepNext/>
              <w:spacing w:before="0"/>
              <w:jc w:val="center"/>
              <w:rPr>
                <w:rFonts w:ascii="Calibri" w:hAnsi="Calibri" w:cs="Calibri"/>
                <w:color w:val="000000"/>
                <w:lang w:val="en-US"/>
              </w:rPr>
            </w:pPr>
            <w:r w:rsidRPr="00EF1C76">
              <w:rPr>
                <w:noProof/>
                <w:lang w:val="en-US" w:eastAsia="zh-CN"/>
              </w:rPr>
              <w:pict>
                <v:shape id="Grafik 6" o:spid="_x0000_s1028" type="#_x0000_t75" style="position:absolute;left:0;text-align:left;margin-left:-1.25pt;margin-top:9.85pt;width:48.75pt;height:53.25pt;z-index:251662336;visibility:visible;mso-position-horizontal-relative:text;mso-position-vertical-relative:text" o:allowincell="f">
                  <v:imagedata r:id="rId84" o:title=""/>
                </v:shape>
              </w:pict>
            </w:r>
          </w:p>
        </w:tc>
        <w:tc>
          <w:tcPr>
            <w:tcW w:w="1329" w:type="dxa"/>
            <w:tcBorders>
              <w:bottom w:val="single" w:sz="4" w:space="0" w:color="auto"/>
            </w:tcBorders>
            <w:noWrap/>
            <w:vAlign w:val="center"/>
          </w:tcPr>
          <w:p w:rsidR="00BF14E0" w:rsidRPr="006A444B" w:rsidRDefault="00EF1C76" w:rsidP="00BF14E0">
            <w:pPr>
              <w:keepNext/>
              <w:spacing w:before="0"/>
              <w:jc w:val="center"/>
              <w:rPr>
                <w:rFonts w:ascii="Calibri" w:hAnsi="Calibri" w:cs="Calibri"/>
                <w:color w:val="000000"/>
                <w:lang w:val="en-US"/>
              </w:rPr>
            </w:pPr>
            <w:r w:rsidRPr="00EF1C76">
              <w:rPr>
                <w:noProof/>
                <w:lang w:val="en-US" w:eastAsia="zh-CN"/>
              </w:rPr>
              <w:pict>
                <v:shape id="Grafik 7" o:spid="_x0000_s1029" type="#_x0000_t75" style="position:absolute;left:0;text-align:left;margin-left:11.55pt;margin-top:9.25pt;width:36.75pt;height:51.75pt;z-index:251663360;visibility:visible;mso-position-horizontal-relative:text;mso-position-vertical-relative:text" o:allowincell="f">
                  <v:imagedata r:id="rId85" o:title=""/>
                </v:shape>
              </w:pict>
            </w:r>
          </w:p>
        </w:tc>
        <w:tc>
          <w:tcPr>
            <w:tcW w:w="1417" w:type="dxa"/>
            <w:tcBorders>
              <w:bottom w:val="single" w:sz="4" w:space="0" w:color="auto"/>
            </w:tcBorders>
            <w:noWrap/>
            <w:vAlign w:val="center"/>
          </w:tcPr>
          <w:p w:rsidR="00BF14E0" w:rsidRPr="006A444B" w:rsidRDefault="00EF1C76" w:rsidP="00BF14E0">
            <w:pPr>
              <w:keepNext/>
              <w:spacing w:before="0"/>
              <w:jc w:val="center"/>
              <w:rPr>
                <w:rFonts w:ascii="Calibri" w:hAnsi="Calibri" w:cs="Calibri"/>
                <w:color w:val="000000"/>
                <w:lang w:val="en-US"/>
              </w:rPr>
            </w:pPr>
            <w:r w:rsidRPr="00EF1C76">
              <w:rPr>
                <w:noProof/>
                <w:lang w:val="en-US" w:eastAsia="zh-CN"/>
              </w:rPr>
              <w:pict>
                <v:shape id="Grafik 1" o:spid="_x0000_s1030" type="#_x0000_t75" style="position:absolute;left:0;text-align:left;margin-left:.3pt;margin-top:1.75pt;width:53.25pt;height:67.5pt;z-index:251664384;visibility:visible;mso-position-horizontal-relative:text;mso-position-vertical-relative:text" o:allowincell="f">
                  <v:imagedata r:id="rId86" o:title=""/>
                </v:shape>
              </w:pict>
            </w:r>
          </w:p>
        </w:tc>
        <w:tc>
          <w:tcPr>
            <w:tcW w:w="1418" w:type="dxa"/>
            <w:tcBorders>
              <w:bottom w:val="single" w:sz="4" w:space="0" w:color="auto"/>
            </w:tcBorders>
            <w:noWrap/>
            <w:vAlign w:val="center"/>
          </w:tcPr>
          <w:p w:rsidR="00BF14E0" w:rsidRPr="006A444B" w:rsidRDefault="00EF1C76" w:rsidP="00BF14E0">
            <w:pPr>
              <w:keepNext/>
              <w:spacing w:before="0"/>
              <w:jc w:val="center"/>
              <w:rPr>
                <w:rFonts w:ascii="Calibri" w:hAnsi="Calibri" w:cs="Calibri"/>
                <w:color w:val="000000"/>
                <w:lang w:val="en-US"/>
              </w:rPr>
            </w:pPr>
            <w:r w:rsidRPr="00EF1C76">
              <w:rPr>
                <w:noProof/>
                <w:lang w:val="en-US" w:eastAsia="zh-CN"/>
              </w:rPr>
              <w:pict>
                <v:shape id="Grafik 2" o:spid="_x0000_s1031" type="#_x0000_t75" style="position:absolute;left:0;text-align:left;margin-left:4.05pt;margin-top:11.5pt;width:47.25pt;height:54pt;z-index:251665408;visibility:visible;mso-position-horizontal-relative:text;mso-position-vertical-relative:text" o:allowincell="f">
                  <v:imagedata r:id="rId87" o:title=""/>
                </v:shape>
              </w:pict>
            </w:r>
          </w:p>
        </w:tc>
      </w:tr>
      <w:tr w:rsidR="00BF14E0" w:rsidRPr="006A444B" w:rsidTr="00BF14E0">
        <w:trPr>
          <w:trHeight w:val="240"/>
          <w:jc w:val="center"/>
        </w:trPr>
        <w:tc>
          <w:tcPr>
            <w:tcW w:w="1374"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tcPr>
          <w:p w:rsidR="00BF14E0" w:rsidRPr="006A444B" w:rsidRDefault="00BF14E0" w:rsidP="00BF14E0">
            <w:pPr>
              <w:keepNext/>
              <w:spacing w:before="10" w:after="10"/>
              <w:rPr>
                <w:color w:val="000000"/>
                <w:sz w:val="20"/>
                <w:lang w:val="en-US"/>
              </w:rPr>
            </w:pPr>
            <w:r w:rsidRPr="006A444B">
              <w:rPr>
                <w:sz w:val="20"/>
                <w:lang w:val="en-US"/>
              </w:rPr>
              <w:br w:type="page"/>
            </w:r>
            <w:r w:rsidRPr="006A444B">
              <w:rPr>
                <w:color w:val="000000"/>
                <w:sz w:val="20"/>
                <w:lang w:val="en-US"/>
              </w:rPr>
              <w:t xml:space="preserve">Manufacturer </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Allnet</w:t>
            </w:r>
          </w:p>
        </w:tc>
        <w:tc>
          <w:tcPr>
            <w:tcW w:w="1105" w:type="dxa"/>
            <w:vMerge w:val="restart"/>
            <w:tcBorders>
              <w:top w:val="single" w:sz="4" w:space="0" w:color="auto"/>
              <w:left w:val="single" w:sz="4" w:space="0" w:color="auto"/>
              <w:bottom w:val="single" w:sz="4" w:space="0" w:color="auto"/>
              <w:right w:val="single" w:sz="4" w:space="0" w:color="auto"/>
            </w:tcBorders>
            <w:noWrap/>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Devolo</w:t>
            </w:r>
          </w:p>
        </w:tc>
        <w:tc>
          <w:tcPr>
            <w:tcW w:w="1207" w:type="dxa"/>
            <w:vMerge w:val="restart"/>
            <w:tcBorders>
              <w:top w:val="single" w:sz="4" w:space="0" w:color="auto"/>
              <w:left w:val="single" w:sz="4" w:space="0" w:color="auto"/>
              <w:bottom w:val="single" w:sz="4" w:space="0" w:color="auto"/>
              <w:right w:val="single" w:sz="4" w:space="0" w:color="auto"/>
            </w:tcBorders>
            <w:noWrap/>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Zyxel</w:t>
            </w:r>
          </w:p>
        </w:tc>
        <w:tc>
          <w:tcPr>
            <w:tcW w:w="1329" w:type="dxa"/>
            <w:vMerge w:val="restart"/>
            <w:tcBorders>
              <w:top w:val="single" w:sz="4" w:space="0" w:color="auto"/>
              <w:left w:val="single" w:sz="4" w:space="0" w:color="auto"/>
              <w:bottom w:val="single" w:sz="4" w:space="0" w:color="auto"/>
              <w:right w:val="single" w:sz="4" w:space="0" w:color="auto"/>
            </w:tcBorders>
            <w:noWrap/>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Belkin</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AcBel</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Conceptronic</w:t>
            </w:r>
          </w:p>
        </w:tc>
      </w:tr>
      <w:tr w:rsidR="00BF14E0" w:rsidRPr="006A444B" w:rsidTr="00BF14E0">
        <w:trPr>
          <w:trHeight w:val="255"/>
          <w:jc w:val="center"/>
        </w:trPr>
        <w:tc>
          <w:tcPr>
            <w:tcW w:w="1374" w:type="dxa"/>
            <w:vMerge/>
            <w:tcBorders>
              <w:top w:val="single" w:sz="4" w:space="0" w:color="auto"/>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1207" w:type="dxa"/>
            <w:vMerge/>
            <w:tcBorders>
              <w:top w:val="single" w:sz="4" w:space="0" w:color="auto"/>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1329" w:type="dxa"/>
            <w:vMerge/>
            <w:tcBorders>
              <w:top w:val="single" w:sz="4" w:space="0" w:color="auto"/>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r>
      <w:tr w:rsidR="00BF14E0" w:rsidRPr="006A444B" w:rsidTr="00BF14E0">
        <w:trPr>
          <w:trHeight w:val="240"/>
          <w:jc w:val="center"/>
        </w:trPr>
        <w:tc>
          <w:tcPr>
            <w:tcW w:w="1374" w:type="dxa"/>
            <w:vMerge w:val="restart"/>
            <w:tcBorders>
              <w:top w:val="nil"/>
              <w:left w:val="single" w:sz="4" w:space="0" w:color="auto"/>
              <w:bottom w:val="single" w:sz="4" w:space="0" w:color="auto"/>
              <w:right w:val="single" w:sz="4" w:space="0" w:color="auto"/>
            </w:tcBorders>
            <w:shd w:val="clear" w:color="000000" w:fill="D8D8D8"/>
            <w:vAlign w:val="center"/>
          </w:tcPr>
          <w:p w:rsidR="00BF14E0" w:rsidRPr="006A444B" w:rsidRDefault="00BF14E0" w:rsidP="00BF14E0">
            <w:pPr>
              <w:keepNext/>
              <w:spacing w:before="10" w:after="10"/>
              <w:rPr>
                <w:color w:val="000000"/>
                <w:sz w:val="20"/>
                <w:lang w:val="en-US"/>
              </w:rPr>
            </w:pPr>
            <w:r w:rsidRPr="006A444B">
              <w:rPr>
                <w:color w:val="000000"/>
                <w:sz w:val="20"/>
                <w:lang w:val="en-US"/>
              </w:rPr>
              <w:t xml:space="preserve">Product </w:t>
            </w:r>
          </w:p>
        </w:tc>
        <w:tc>
          <w:tcPr>
            <w:tcW w:w="1417" w:type="dxa"/>
            <w:vMerge w:val="restart"/>
            <w:tcBorders>
              <w:top w:val="nil"/>
              <w:left w:val="nil"/>
              <w:bottom w:val="single" w:sz="4" w:space="0" w:color="auto"/>
              <w:right w:val="nil"/>
            </w:tcBorders>
            <w:shd w:val="clear" w:color="000000" w:fill="FFFFFF"/>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Allnet ALL168203</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Devolo dLAN</w:t>
            </w:r>
            <w:r w:rsidRPr="006A444B">
              <w:rPr>
                <w:color w:val="000000"/>
                <w:sz w:val="20"/>
                <w:lang w:val="en-US"/>
              </w:rPr>
              <w:br/>
              <w:t>200 Avplus</w:t>
            </w:r>
          </w:p>
        </w:tc>
        <w:tc>
          <w:tcPr>
            <w:tcW w:w="1207" w:type="dxa"/>
            <w:vMerge w:val="restart"/>
            <w:tcBorders>
              <w:top w:val="nil"/>
              <w:left w:val="single" w:sz="4" w:space="0" w:color="auto"/>
              <w:bottom w:val="single" w:sz="4" w:space="0" w:color="auto"/>
              <w:right w:val="single" w:sz="4" w:space="0" w:color="auto"/>
            </w:tcBorders>
            <w:shd w:val="clear" w:color="000000" w:fill="FFFFFF"/>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Zyxel PLA-400 v2</w:t>
            </w:r>
          </w:p>
        </w:tc>
        <w:tc>
          <w:tcPr>
            <w:tcW w:w="1329" w:type="dxa"/>
            <w:vMerge w:val="restart"/>
            <w:tcBorders>
              <w:top w:val="nil"/>
              <w:left w:val="single" w:sz="4" w:space="0" w:color="auto"/>
              <w:bottom w:val="single" w:sz="4" w:space="0" w:color="auto"/>
              <w:right w:val="single" w:sz="4" w:space="0" w:color="auto"/>
            </w:tcBorders>
            <w:shd w:val="clear" w:color="000000" w:fill="FFFFFF"/>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Belkin Gigabit Powerline HD</w:t>
            </w:r>
          </w:p>
        </w:tc>
        <w:tc>
          <w:tcPr>
            <w:tcW w:w="1417" w:type="dxa"/>
            <w:vMerge w:val="restart"/>
            <w:tcBorders>
              <w:top w:val="nil"/>
              <w:left w:val="nil"/>
              <w:bottom w:val="single" w:sz="4" w:space="0" w:color="auto"/>
              <w:right w:val="nil"/>
            </w:tcBorders>
            <w:shd w:val="clear" w:color="000000" w:fill="FFFFFF"/>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AcBel DH10PF</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Conceptronic Homeplug 200 Mbps</w:t>
            </w:r>
          </w:p>
        </w:tc>
      </w:tr>
      <w:tr w:rsidR="00BF14E0" w:rsidRPr="006A444B" w:rsidTr="00BF14E0">
        <w:trPr>
          <w:trHeight w:val="255"/>
          <w:jc w:val="center"/>
        </w:trPr>
        <w:tc>
          <w:tcPr>
            <w:tcW w:w="1374"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1417" w:type="dxa"/>
            <w:vMerge/>
            <w:tcBorders>
              <w:top w:val="nil"/>
              <w:left w:val="nil"/>
              <w:bottom w:val="single" w:sz="4" w:space="0" w:color="auto"/>
              <w:right w:val="nil"/>
            </w:tcBorders>
            <w:vAlign w:val="center"/>
          </w:tcPr>
          <w:p w:rsidR="00BF14E0" w:rsidRPr="006A444B" w:rsidRDefault="00BF14E0" w:rsidP="00BF14E0">
            <w:pPr>
              <w:keepNext/>
              <w:spacing w:before="10" w:after="10"/>
              <w:rPr>
                <w:color w:val="000000"/>
                <w:sz w:val="20"/>
                <w:lang w:val="en-US"/>
              </w:rPr>
            </w:pPr>
          </w:p>
        </w:tc>
        <w:tc>
          <w:tcPr>
            <w:tcW w:w="1105"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1207"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1329"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1417" w:type="dxa"/>
            <w:vMerge/>
            <w:tcBorders>
              <w:top w:val="nil"/>
              <w:left w:val="nil"/>
              <w:bottom w:val="single" w:sz="4" w:space="0" w:color="auto"/>
              <w:right w:val="nil"/>
            </w:tcBorders>
            <w:vAlign w:val="center"/>
          </w:tcPr>
          <w:p w:rsidR="00BF14E0" w:rsidRPr="006A444B" w:rsidRDefault="00BF14E0" w:rsidP="00BF14E0">
            <w:pPr>
              <w:keepNext/>
              <w:spacing w:before="10" w:after="10"/>
              <w:rPr>
                <w:color w:val="000000"/>
                <w:sz w:val="20"/>
                <w:lang w:val="en-US"/>
              </w:rPr>
            </w:pPr>
          </w:p>
        </w:tc>
        <w:tc>
          <w:tcPr>
            <w:tcW w:w="1418"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r>
      <w:tr w:rsidR="00BF14E0" w:rsidRPr="006A444B" w:rsidTr="00BF14E0">
        <w:trPr>
          <w:trHeight w:val="240"/>
          <w:jc w:val="center"/>
        </w:trPr>
        <w:tc>
          <w:tcPr>
            <w:tcW w:w="1374" w:type="dxa"/>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BF14E0" w:rsidRPr="006A444B" w:rsidRDefault="00BF14E0" w:rsidP="00BF14E0">
            <w:pPr>
              <w:keepNext/>
              <w:spacing w:before="10" w:after="10"/>
              <w:rPr>
                <w:color w:val="000000"/>
                <w:sz w:val="20"/>
                <w:lang w:val="en-US"/>
              </w:rPr>
            </w:pPr>
            <w:r w:rsidRPr="006A444B">
              <w:rPr>
                <w:color w:val="000000"/>
                <w:sz w:val="20"/>
                <w:lang w:val="en-US"/>
              </w:rPr>
              <w:t>Homeplug standard</w:t>
            </w:r>
          </w:p>
        </w:tc>
        <w:tc>
          <w:tcPr>
            <w:tcW w:w="372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Homeplug AV</w:t>
            </w:r>
          </w:p>
        </w:tc>
        <w:tc>
          <w:tcPr>
            <w:tcW w:w="1329" w:type="dxa"/>
            <w:vMerge w:val="restart"/>
            <w:tcBorders>
              <w:top w:val="single" w:sz="4" w:space="0" w:color="auto"/>
              <w:left w:val="single" w:sz="4" w:space="0" w:color="auto"/>
              <w:bottom w:val="single" w:sz="4" w:space="0" w:color="auto"/>
              <w:right w:val="single" w:sz="4" w:space="0" w:color="auto"/>
            </w:tcBorders>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 xml:space="preserve">HPAV </w:t>
            </w:r>
            <w:r w:rsidRPr="006A444B">
              <w:rPr>
                <w:color w:val="000000"/>
                <w:sz w:val="20"/>
                <w:lang w:val="en-US"/>
              </w:rPr>
              <w:br/>
              <w:t>mediaxtream</w:t>
            </w:r>
          </w:p>
          <w:p w:rsidR="00BF14E0" w:rsidRPr="006A444B" w:rsidRDefault="00BF14E0" w:rsidP="00BF14E0">
            <w:pPr>
              <w:keepNext/>
              <w:spacing w:before="10" w:after="10"/>
              <w:jc w:val="center"/>
              <w:rPr>
                <w:color w:val="000000"/>
                <w:sz w:val="20"/>
                <w:lang w:val="en-US"/>
              </w:rPr>
            </w:pPr>
            <w:r w:rsidRPr="006A444B">
              <w:rPr>
                <w:color w:val="000000"/>
                <w:sz w:val="20"/>
                <w:lang w:val="en-US"/>
              </w:rPr>
              <w:t>(G.9960)</w:t>
            </w: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UPA</w:t>
            </w:r>
          </w:p>
        </w:tc>
      </w:tr>
      <w:tr w:rsidR="00BF14E0" w:rsidRPr="006A444B" w:rsidTr="00BF14E0">
        <w:trPr>
          <w:trHeight w:val="255"/>
          <w:jc w:val="center"/>
        </w:trPr>
        <w:tc>
          <w:tcPr>
            <w:tcW w:w="1374" w:type="dxa"/>
            <w:vMerge/>
            <w:tcBorders>
              <w:top w:val="single" w:sz="4" w:space="0" w:color="000000"/>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3729" w:type="dxa"/>
            <w:gridSpan w:val="3"/>
            <w:vMerge/>
            <w:tcBorders>
              <w:top w:val="single" w:sz="4" w:space="0" w:color="auto"/>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1329" w:type="dxa"/>
            <w:vMerge/>
            <w:tcBorders>
              <w:top w:val="single" w:sz="4" w:space="0" w:color="000000"/>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2835" w:type="dxa"/>
            <w:gridSpan w:val="2"/>
            <w:vMerge/>
            <w:tcBorders>
              <w:top w:val="single" w:sz="4" w:space="0" w:color="000000"/>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r>
      <w:tr w:rsidR="00BF14E0" w:rsidRPr="006A444B" w:rsidTr="00BF14E0">
        <w:trPr>
          <w:trHeight w:val="240"/>
          <w:jc w:val="center"/>
        </w:trPr>
        <w:tc>
          <w:tcPr>
            <w:tcW w:w="1374" w:type="dxa"/>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BF14E0" w:rsidRPr="006A444B" w:rsidRDefault="00BF14E0" w:rsidP="00BF14E0">
            <w:pPr>
              <w:keepNext/>
              <w:spacing w:before="10" w:after="10"/>
              <w:rPr>
                <w:color w:val="000000"/>
                <w:sz w:val="20"/>
                <w:lang w:val="en-US"/>
              </w:rPr>
            </w:pPr>
            <w:r w:rsidRPr="006A444B">
              <w:rPr>
                <w:color w:val="000000"/>
                <w:sz w:val="20"/>
                <w:lang w:val="en-US"/>
              </w:rPr>
              <w:t>Transmission speed (nominal)</w:t>
            </w:r>
          </w:p>
        </w:tc>
        <w:tc>
          <w:tcPr>
            <w:tcW w:w="3729" w:type="dxa"/>
            <w:gridSpan w:val="3"/>
            <w:vMerge w:val="restart"/>
            <w:tcBorders>
              <w:top w:val="single" w:sz="4" w:space="0" w:color="auto"/>
              <w:left w:val="single" w:sz="4" w:space="0" w:color="auto"/>
              <w:bottom w:val="single" w:sz="4" w:space="0" w:color="auto"/>
              <w:right w:val="single" w:sz="4" w:space="0" w:color="000000"/>
            </w:tcBorders>
            <w:noWrap/>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200 Mbit/s</w:t>
            </w:r>
          </w:p>
        </w:tc>
        <w:tc>
          <w:tcPr>
            <w:tcW w:w="13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1 000 Mbit/s</w:t>
            </w:r>
          </w:p>
        </w:tc>
        <w:tc>
          <w:tcPr>
            <w:tcW w:w="2835" w:type="dxa"/>
            <w:gridSpan w:val="2"/>
            <w:vMerge w:val="restart"/>
            <w:tcBorders>
              <w:top w:val="single" w:sz="4" w:space="0" w:color="auto"/>
              <w:left w:val="nil"/>
              <w:bottom w:val="single" w:sz="4" w:space="0" w:color="auto"/>
              <w:right w:val="single" w:sz="4" w:space="0" w:color="auto"/>
            </w:tcBorders>
            <w:noWrap/>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200 Mbit/s</w:t>
            </w:r>
          </w:p>
        </w:tc>
      </w:tr>
      <w:tr w:rsidR="00BF14E0" w:rsidRPr="006A444B" w:rsidTr="00BF14E0">
        <w:trPr>
          <w:trHeight w:val="255"/>
          <w:jc w:val="center"/>
        </w:trPr>
        <w:tc>
          <w:tcPr>
            <w:tcW w:w="1374"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3729" w:type="dxa"/>
            <w:gridSpan w:val="3"/>
            <w:vMerge/>
            <w:tcBorders>
              <w:top w:val="single" w:sz="4" w:space="0" w:color="auto"/>
              <w:left w:val="single" w:sz="4" w:space="0" w:color="auto"/>
              <w:bottom w:val="single" w:sz="4" w:space="0" w:color="auto"/>
              <w:right w:val="single" w:sz="4" w:space="0" w:color="000000"/>
            </w:tcBorders>
            <w:vAlign w:val="center"/>
          </w:tcPr>
          <w:p w:rsidR="00BF14E0" w:rsidRPr="006A444B" w:rsidRDefault="00BF14E0" w:rsidP="00BF14E0">
            <w:pPr>
              <w:keepNext/>
              <w:spacing w:before="10" w:after="10"/>
              <w:rPr>
                <w:color w:val="000000"/>
                <w:sz w:val="20"/>
                <w:lang w:val="en-US"/>
              </w:rPr>
            </w:pPr>
          </w:p>
        </w:tc>
        <w:tc>
          <w:tcPr>
            <w:tcW w:w="1329"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2835" w:type="dxa"/>
            <w:gridSpan w:val="2"/>
            <w:vMerge/>
            <w:tcBorders>
              <w:top w:val="nil"/>
              <w:left w:val="nil"/>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r>
      <w:tr w:rsidR="00BF14E0" w:rsidRPr="006A444B" w:rsidTr="00BF14E0">
        <w:trPr>
          <w:trHeight w:val="240"/>
          <w:jc w:val="center"/>
        </w:trPr>
        <w:tc>
          <w:tcPr>
            <w:tcW w:w="1374" w:type="dxa"/>
            <w:vMerge w:val="restart"/>
            <w:tcBorders>
              <w:top w:val="nil"/>
              <w:left w:val="single" w:sz="4" w:space="0" w:color="auto"/>
              <w:bottom w:val="single" w:sz="4" w:space="0" w:color="auto"/>
              <w:right w:val="single" w:sz="4" w:space="0" w:color="auto"/>
            </w:tcBorders>
            <w:shd w:val="clear" w:color="000000" w:fill="D8D8D8"/>
            <w:vAlign w:val="center"/>
          </w:tcPr>
          <w:p w:rsidR="00BF14E0" w:rsidRPr="006A444B" w:rsidRDefault="00BF14E0" w:rsidP="00BF14E0">
            <w:pPr>
              <w:keepNext/>
              <w:spacing w:before="10" w:after="10"/>
              <w:rPr>
                <w:color w:val="000000"/>
                <w:sz w:val="20"/>
                <w:lang w:val="en-US"/>
              </w:rPr>
            </w:pPr>
            <w:r w:rsidRPr="006A444B">
              <w:rPr>
                <w:color w:val="000000"/>
                <w:sz w:val="20"/>
                <w:lang w:val="en-US"/>
              </w:rPr>
              <w:t>Spectrum</w:t>
            </w:r>
          </w:p>
        </w:tc>
        <w:tc>
          <w:tcPr>
            <w:tcW w:w="3729" w:type="dxa"/>
            <w:gridSpan w:val="3"/>
            <w:vMerge w:val="restart"/>
            <w:tcBorders>
              <w:top w:val="single" w:sz="4" w:space="0" w:color="auto"/>
              <w:left w:val="single" w:sz="4" w:space="0" w:color="auto"/>
              <w:bottom w:val="single" w:sz="4" w:space="0" w:color="auto"/>
              <w:right w:val="single" w:sz="4" w:space="0" w:color="000000"/>
            </w:tcBorders>
            <w:noWrap/>
            <w:vAlign w:val="center"/>
          </w:tcPr>
          <w:p w:rsidR="00BF14E0" w:rsidRPr="006A444B" w:rsidRDefault="00BF14E0" w:rsidP="00BF14E0">
            <w:pPr>
              <w:keepNext/>
              <w:spacing w:before="10" w:after="10"/>
              <w:jc w:val="center"/>
              <w:rPr>
                <w:sz w:val="20"/>
                <w:lang w:val="en-US"/>
              </w:rPr>
            </w:pPr>
            <w:r w:rsidRPr="006A444B">
              <w:rPr>
                <w:sz w:val="20"/>
                <w:lang w:val="en-US"/>
              </w:rPr>
              <w:t>2-30 MHz</w:t>
            </w:r>
          </w:p>
        </w:tc>
        <w:tc>
          <w:tcPr>
            <w:tcW w:w="1329" w:type="dxa"/>
            <w:vMerge w:val="restart"/>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2-30 MHz</w:t>
            </w:r>
            <w:r w:rsidRPr="006A444B">
              <w:rPr>
                <w:color w:val="000000"/>
                <w:sz w:val="20"/>
                <w:lang w:val="en-US"/>
              </w:rPr>
              <w:br/>
              <w:t xml:space="preserve">50-300 MHz </w:t>
            </w:r>
          </w:p>
        </w:tc>
        <w:tc>
          <w:tcPr>
            <w:tcW w:w="2835" w:type="dxa"/>
            <w:gridSpan w:val="2"/>
            <w:vMerge w:val="restart"/>
            <w:tcBorders>
              <w:top w:val="single" w:sz="4" w:space="0" w:color="auto"/>
              <w:left w:val="single" w:sz="4" w:space="0" w:color="auto"/>
              <w:bottom w:val="single" w:sz="4" w:space="0" w:color="auto"/>
              <w:right w:val="single" w:sz="4" w:space="0" w:color="auto"/>
            </w:tcBorders>
            <w:noWrap/>
            <w:vAlign w:val="center"/>
          </w:tcPr>
          <w:p w:rsidR="00BF14E0" w:rsidRPr="006A444B" w:rsidRDefault="00BF14E0" w:rsidP="00BF14E0">
            <w:pPr>
              <w:keepNext/>
              <w:spacing w:before="10" w:after="10"/>
              <w:jc w:val="center"/>
              <w:rPr>
                <w:sz w:val="20"/>
                <w:lang w:val="en-US"/>
              </w:rPr>
            </w:pPr>
            <w:r w:rsidRPr="006A444B">
              <w:rPr>
                <w:sz w:val="20"/>
                <w:lang w:val="en-US"/>
              </w:rPr>
              <w:t>2-32 MHz</w:t>
            </w:r>
          </w:p>
        </w:tc>
      </w:tr>
      <w:tr w:rsidR="00BF14E0" w:rsidRPr="006A444B" w:rsidTr="00BF14E0">
        <w:trPr>
          <w:trHeight w:val="255"/>
          <w:jc w:val="center"/>
        </w:trPr>
        <w:tc>
          <w:tcPr>
            <w:tcW w:w="1374"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3729" w:type="dxa"/>
            <w:gridSpan w:val="3"/>
            <w:vMerge/>
            <w:tcBorders>
              <w:top w:val="single" w:sz="4" w:space="0" w:color="auto"/>
              <w:left w:val="single" w:sz="4" w:space="0" w:color="auto"/>
              <w:bottom w:val="single" w:sz="4" w:space="0" w:color="auto"/>
              <w:right w:val="single" w:sz="4" w:space="0" w:color="000000"/>
            </w:tcBorders>
            <w:vAlign w:val="center"/>
          </w:tcPr>
          <w:p w:rsidR="00BF14E0" w:rsidRPr="006A444B" w:rsidRDefault="00BF14E0" w:rsidP="00BF14E0">
            <w:pPr>
              <w:keepNext/>
              <w:spacing w:before="10" w:after="10"/>
              <w:rPr>
                <w:sz w:val="20"/>
                <w:lang w:val="en-US"/>
              </w:rPr>
            </w:pPr>
          </w:p>
        </w:tc>
        <w:tc>
          <w:tcPr>
            <w:tcW w:w="1329"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sz w:val="20"/>
                <w:lang w:val="en-US"/>
              </w:rPr>
            </w:pPr>
          </w:p>
        </w:tc>
      </w:tr>
      <w:tr w:rsidR="00BF14E0" w:rsidRPr="006A444B" w:rsidTr="00BF14E0">
        <w:trPr>
          <w:trHeight w:val="240"/>
          <w:jc w:val="center"/>
        </w:trPr>
        <w:tc>
          <w:tcPr>
            <w:tcW w:w="1374" w:type="dxa"/>
            <w:vMerge w:val="restart"/>
            <w:tcBorders>
              <w:top w:val="nil"/>
              <w:left w:val="single" w:sz="4" w:space="0" w:color="auto"/>
              <w:bottom w:val="single" w:sz="4" w:space="0" w:color="auto"/>
              <w:right w:val="single" w:sz="4" w:space="0" w:color="auto"/>
            </w:tcBorders>
            <w:shd w:val="clear" w:color="000000" w:fill="D8D8D8"/>
            <w:noWrap/>
            <w:vAlign w:val="center"/>
          </w:tcPr>
          <w:p w:rsidR="00BF14E0" w:rsidRPr="006A444B" w:rsidRDefault="00BF14E0" w:rsidP="00BF14E0">
            <w:pPr>
              <w:keepNext/>
              <w:spacing w:before="10" w:after="10"/>
              <w:rPr>
                <w:color w:val="000000"/>
                <w:sz w:val="20"/>
                <w:lang w:val="en-US"/>
              </w:rPr>
            </w:pPr>
            <w:r w:rsidRPr="006A444B">
              <w:rPr>
                <w:color w:val="000000"/>
                <w:sz w:val="20"/>
                <w:lang w:val="en-US"/>
              </w:rPr>
              <w:t>Protocols</w:t>
            </w:r>
          </w:p>
        </w:tc>
        <w:tc>
          <w:tcPr>
            <w:tcW w:w="3729" w:type="dxa"/>
            <w:gridSpan w:val="3"/>
            <w:vMerge w:val="restart"/>
            <w:tcBorders>
              <w:top w:val="single" w:sz="4" w:space="0" w:color="auto"/>
              <w:left w:val="single" w:sz="4" w:space="0" w:color="auto"/>
              <w:bottom w:val="single" w:sz="4" w:space="0" w:color="auto"/>
              <w:right w:val="single" w:sz="4" w:space="0" w:color="000000"/>
            </w:tcBorders>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CSMA/CA</w:t>
            </w:r>
          </w:p>
        </w:tc>
        <w:tc>
          <w:tcPr>
            <w:tcW w:w="1329" w:type="dxa"/>
            <w:vMerge w:val="restart"/>
            <w:tcBorders>
              <w:top w:val="nil"/>
              <w:left w:val="single" w:sz="4" w:space="0" w:color="auto"/>
              <w:bottom w:val="single" w:sz="4" w:space="0" w:color="auto"/>
              <w:right w:val="single" w:sz="4" w:space="0" w:color="auto"/>
            </w:tcBorders>
            <w:shd w:val="clear" w:color="000000" w:fill="FFFFFF"/>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CSMA/CA</w:t>
            </w:r>
            <w:r w:rsidRPr="006A444B">
              <w:rPr>
                <w:color w:val="000000"/>
                <w:sz w:val="20"/>
                <w:lang w:val="en-US"/>
              </w:rPr>
              <w:br/>
              <w:t>TDMA MAC</w:t>
            </w:r>
          </w:p>
        </w:tc>
        <w:tc>
          <w:tcPr>
            <w:tcW w:w="2835" w:type="dxa"/>
            <w:gridSpan w:val="2"/>
            <w:vMerge w:val="restart"/>
            <w:tcBorders>
              <w:top w:val="single" w:sz="4" w:space="0" w:color="auto"/>
              <w:left w:val="single" w:sz="4" w:space="0" w:color="auto"/>
              <w:bottom w:val="single" w:sz="4" w:space="0" w:color="auto"/>
              <w:right w:val="single" w:sz="4" w:space="0" w:color="auto"/>
            </w:tcBorders>
            <w:noWrap/>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TDMA MAC</w:t>
            </w:r>
          </w:p>
        </w:tc>
      </w:tr>
      <w:tr w:rsidR="00BF14E0" w:rsidRPr="006A444B" w:rsidTr="00BF14E0">
        <w:trPr>
          <w:trHeight w:val="255"/>
          <w:jc w:val="center"/>
        </w:trPr>
        <w:tc>
          <w:tcPr>
            <w:tcW w:w="1374"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3729" w:type="dxa"/>
            <w:gridSpan w:val="3"/>
            <w:vMerge/>
            <w:tcBorders>
              <w:top w:val="single" w:sz="4" w:space="0" w:color="auto"/>
              <w:left w:val="single" w:sz="4" w:space="0" w:color="auto"/>
              <w:bottom w:val="single" w:sz="4" w:space="0" w:color="auto"/>
              <w:right w:val="single" w:sz="4" w:space="0" w:color="000000"/>
            </w:tcBorders>
            <w:vAlign w:val="center"/>
          </w:tcPr>
          <w:p w:rsidR="00BF14E0" w:rsidRPr="006A444B" w:rsidRDefault="00BF14E0" w:rsidP="00BF14E0">
            <w:pPr>
              <w:keepNext/>
              <w:spacing w:before="10" w:after="10"/>
              <w:rPr>
                <w:color w:val="000000"/>
                <w:sz w:val="20"/>
                <w:lang w:val="en-US"/>
              </w:rPr>
            </w:pPr>
          </w:p>
        </w:tc>
        <w:tc>
          <w:tcPr>
            <w:tcW w:w="1329"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r>
      <w:tr w:rsidR="00BF14E0" w:rsidRPr="006A444B" w:rsidTr="00BF14E0">
        <w:trPr>
          <w:trHeight w:val="240"/>
          <w:jc w:val="center"/>
        </w:trPr>
        <w:tc>
          <w:tcPr>
            <w:tcW w:w="1374"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tcPr>
          <w:p w:rsidR="00BF14E0" w:rsidRPr="006A444B" w:rsidRDefault="00BF14E0" w:rsidP="00BF14E0">
            <w:pPr>
              <w:keepNext/>
              <w:spacing w:before="10" w:after="10"/>
              <w:rPr>
                <w:color w:val="000000"/>
                <w:sz w:val="20"/>
                <w:lang w:val="en-US"/>
              </w:rPr>
            </w:pPr>
            <w:r w:rsidRPr="006A444B">
              <w:rPr>
                <w:color w:val="000000"/>
                <w:sz w:val="20"/>
                <w:lang w:val="en-US"/>
              </w:rPr>
              <w:t>Modulation</w:t>
            </w:r>
          </w:p>
        </w:tc>
        <w:tc>
          <w:tcPr>
            <w:tcW w:w="5058" w:type="dxa"/>
            <w:gridSpan w:val="4"/>
            <w:vMerge w:val="restart"/>
            <w:tcBorders>
              <w:top w:val="single" w:sz="4" w:space="0" w:color="auto"/>
              <w:left w:val="single" w:sz="4" w:space="0" w:color="auto"/>
              <w:bottom w:val="single" w:sz="4" w:space="0" w:color="auto"/>
              <w:right w:val="single" w:sz="4" w:space="0" w:color="000000"/>
            </w:tcBorders>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OFDM - 1155 carrier,</w:t>
            </w:r>
            <w:r w:rsidRPr="006A444B">
              <w:rPr>
                <w:color w:val="000000"/>
                <w:sz w:val="20"/>
                <w:lang w:val="en-US"/>
              </w:rPr>
              <w:br/>
              <w:t>1024/256/64-QAM, QPSK, BPSK</w:t>
            </w:r>
          </w:p>
        </w:tc>
        <w:tc>
          <w:tcPr>
            <w:tcW w:w="2835" w:type="dxa"/>
            <w:gridSpan w:val="2"/>
            <w:vMerge w:val="restart"/>
            <w:tcBorders>
              <w:top w:val="single" w:sz="4" w:space="0" w:color="auto"/>
              <w:left w:val="single" w:sz="4" w:space="0" w:color="auto"/>
              <w:bottom w:val="single" w:sz="4" w:space="0" w:color="auto"/>
              <w:right w:val="single" w:sz="4" w:space="0" w:color="auto"/>
            </w:tcBorders>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OFDM - 1536 carrier</w:t>
            </w:r>
          </w:p>
        </w:tc>
      </w:tr>
      <w:tr w:rsidR="00BF14E0" w:rsidRPr="006A444B" w:rsidTr="00BF14E0">
        <w:trPr>
          <w:trHeight w:val="255"/>
          <w:jc w:val="center"/>
        </w:trPr>
        <w:tc>
          <w:tcPr>
            <w:tcW w:w="1374" w:type="dxa"/>
            <w:vMerge/>
            <w:tcBorders>
              <w:top w:val="single" w:sz="4" w:space="0" w:color="000000"/>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5058" w:type="dxa"/>
            <w:gridSpan w:val="4"/>
            <w:vMerge/>
            <w:tcBorders>
              <w:top w:val="single" w:sz="4" w:space="0" w:color="auto"/>
              <w:left w:val="single" w:sz="4" w:space="0" w:color="auto"/>
              <w:bottom w:val="single" w:sz="4" w:space="0" w:color="auto"/>
              <w:right w:val="single" w:sz="4" w:space="0" w:color="000000"/>
            </w:tcBorders>
            <w:vAlign w:val="center"/>
          </w:tcPr>
          <w:p w:rsidR="00BF14E0" w:rsidRPr="006A444B" w:rsidRDefault="00BF14E0" w:rsidP="00BF14E0">
            <w:pPr>
              <w:keepNext/>
              <w:spacing w:before="10" w:after="10"/>
              <w:rPr>
                <w:color w:val="000000"/>
                <w:sz w:val="20"/>
                <w:lang w:val="en-US"/>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r>
      <w:tr w:rsidR="00BF14E0" w:rsidRPr="006A444B" w:rsidTr="00BF14E0">
        <w:trPr>
          <w:trHeight w:val="240"/>
          <w:jc w:val="center"/>
        </w:trPr>
        <w:tc>
          <w:tcPr>
            <w:tcW w:w="1374"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tcPr>
          <w:p w:rsidR="00BF14E0" w:rsidRPr="006A444B" w:rsidRDefault="00BF14E0" w:rsidP="00BF14E0">
            <w:pPr>
              <w:keepNext/>
              <w:spacing w:before="10" w:after="10"/>
              <w:rPr>
                <w:color w:val="000000"/>
                <w:sz w:val="20"/>
                <w:lang w:val="en-US"/>
              </w:rPr>
            </w:pPr>
            <w:r w:rsidRPr="006A444B">
              <w:rPr>
                <w:color w:val="000000"/>
                <w:sz w:val="20"/>
                <w:lang w:val="en-US"/>
              </w:rPr>
              <w:t>Safety</w:t>
            </w:r>
          </w:p>
        </w:tc>
        <w:tc>
          <w:tcPr>
            <w:tcW w:w="3729" w:type="dxa"/>
            <w:gridSpan w:val="3"/>
            <w:vMerge w:val="restart"/>
            <w:tcBorders>
              <w:top w:val="single" w:sz="4" w:space="0" w:color="auto"/>
              <w:left w:val="single" w:sz="4" w:space="0" w:color="auto"/>
              <w:bottom w:val="single" w:sz="4" w:space="0" w:color="auto"/>
              <w:right w:val="single" w:sz="4" w:space="0" w:color="000000"/>
            </w:tcBorders>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128Bit AES via keystroke or software</w:t>
            </w:r>
          </w:p>
        </w:tc>
        <w:tc>
          <w:tcPr>
            <w:tcW w:w="1329" w:type="dxa"/>
            <w:vMerge w:val="restart"/>
            <w:tcBorders>
              <w:top w:val="nil"/>
              <w:left w:val="single" w:sz="4" w:space="0" w:color="auto"/>
              <w:bottom w:val="single" w:sz="4" w:space="0" w:color="auto"/>
              <w:right w:val="single" w:sz="4" w:space="0" w:color="auto"/>
            </w:tcBorders>
            <w:shd w:val="clear" w:color="000000" w:fill="FFFFFF"/>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 xml:space="preserve">128Bit AES </w:t>
            </w:r>
            <w:r w:rsidRPr="006A444B">
              <w:rPr>
                <w:color w:val="000000"/>
                <w:sz w:val="20"/>
                <w:lang w:val="en-US"/>
              </w:rPr>
              <w:br/>
              <w:t>via keystroke</w:t>
            </w:r>
          </w:p>
        </w:tc>
        <w:tc>
          <w:tcPr>
            <w:tcW w:w="2835" w:type="dxa"/>
            <w:gridSpan w:val="2"/>
            <w:vMerge w:val="restart"/>
            <w:tcBorders>
              <w:top w:val="single" w:sz="4" w:space="0" w:color="auto"/>
              <w:left w:val="single" w:sz="4" w:space="0" w:color="auto"/>
              <w:bottom w:val="single" w:sz="4" w:space="0" w:color="auto"/>
              <w:right w:val="single" w:sz="4" w:space="0" w:color="auto"/>
            </w:tcBorders>
            <w:noWrap/>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168 bit 3DES</w:t>
            </w:r>
          </w:p>
        </w:tc>
      </w:tr>
      <w:tr w:rsidR="00BF14E0" w:rsidRPr="006A444B" w:rsidTr="00BF14E0">
        <w:trPr>
          <w:trHeight w:val="255"/>
          <w:jc w:val="center"/>
        </w:trPr>
        <w:tc>
          <w:tcPr>
            <w:tcW w:w="1374"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3729" w:type="dxa"/>
            <w:gridSpan w:val="3"/>
            <w:vMerge/>
            <w:tcBorders>
              <w:top w:val="single" w:sz="4" w:space="0" w:color="auto"/>
              <w:left w:val="single" w:sz="4" w:space="0" w:color="auto"/>
              <w:bottom w:val="single" w:sz="4" w:space="0" w:color="auto"/>
              <w:right w:val="single" w:sz="4" w:space="0" w:color="000000"/>
            </w:tcBorders>
            <w:vAlign w:val="center"/>
          </w:tcPr>
          <w:p w:rsidR="00BF14E0" w:rsidRPr="006A444B" w:rsidRDefault="00BF14E0" w:rsidP="00BF14E0">
            <w:pPr>
              <w:keepNext/>
              <w:spacing w:before="10" w:after="10"/>
              <w:rPr>
                <w:color w:val="000000"/>
                <w:sz w:val="20"/>
                <w:lang w:val="en-US"/>
              </w:rPr>
            </w:pPr>
          </w:p>
        </w:tc>
        <w:tc>
          <w:tcPr>
            <w:tcW w:w="1329"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r>
      <w:tr w:rsidR="00BF14E0" w:rsidRPr="006A444B" w:rsidTr="00BF14E0">
        <w:trPr>
          <w:trHeight w:val="240"/>
          <w:jc w:val="center"/>
        </w:trPr>
        <w:tc>
          <w:tcPr>
            <w:tcW w:w="1374" w:type="dxa"/>
            <w:vMerge w:val="restart"/>
            <w:tcBorders>
              <w:top w:val="nil"/>
              <w:left w:val="single" w:sz="4" w:space="0" w:color="auto"/>
              <w:bottom w:val="single" w:sz="4" w:space="0" w:color="auto"/>
              <w:right w:val="single" w:sz="4" w:space="0" w:color="auto"/>
            </w:tcBorders>
            <w:shd w:val="clear" w:color="000000" w:fill="D8D8D8"/>
            <w:vAlign w:val="center"/>
          </w:tcPr>
          <w:p w:rsidR="00BF14E0" w:rsidRPr="006A444B" w:rsidRDefault="00BF14E0" w:rsidP="00BF14E0">
            <w:pPr>
              <w:keepNext/>
              <w:spacing w:before="10" w:after="10"/>
              <w:rPr>
                <w:color w:val="000000"/>
                <w:sz w:val="20"/>
                <w:lang w:val="en-US"/>
              </w:rPr>
            </w:pPr>
            <w:r w:rsidRPr="006A444B">
              <w:rPr>
                <w:color w:val="000000"/>
                <w:sz w:val="20"/>
                <w:lang w:val="en-US"/>
              </w:rPr>
              <w:t>Activation via software</w:t>
            </w:r>
          </w:p>
        </w:tc>
        <w:tc>
          <w:tcPr>
            <w:tcW w:w="3729" w:type="dxa"/>
            <w:gridSpan w:val="3"/>
            <w:vMerge w:val="restart"/>
            <w:tcBorders>
              <w:top w:val="single" w:sz="4" w:space="0" w:color="auto"/>
              <w:left w:val="single" w:sz="4" w:space="0" w:color="auto"/>
              <w:bottom w:val="single" w:sz="4" w:space="0" w:color="auto"/>
              <w:right w:val="single" w:sz="4" w:space="0" w:color="000000"/>
            </w:tcBorders>
            <w:noWrap/>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Yes</w:t>
            </w:r>
          </w:p>
        </w:tc>
        <w:tc>
          <w:tcPr>
            <w:tcW w:w="1329" w:type="dxa"/>
            <w:vMerge w:val="restart"/>
            <w:tcBorders>
              <w:top w:val="nil"/>
              <w:left w:val="single" w:sz="4" w:space="0" w:color="auto"/>
              <w:bottom w:val="single" w:sz="4" w:space="0" w:color="auto"/>
              <w:right w:val="single" w:sz="4" w:space="0" w:color="auto"/>
            </w:tcBorders>
            <w:noWrap/>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No</w:t>
            </w:r>
          </w:p>
        </w:tc>
        <w:tc>
          <w:tcPr>
            <w:tcW w:w="1417" w:type="dxa"/>
            <w:vMerge w:val="restart"/>
            <w:tcBorders>
              <w:top w:val="nil"/>
              <w:left w:val="single" w:sz="4" w:space="0" w:color="auto"/>
              <w:bottom w:val="single" w:sz="4" w:space="0" w:color="auto"/>
              <w:right w:val="single" w:sz="4" w:space="0" w:color="auto"/>
            </w:tcBorders>
            <w:noWrap/>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No</w:t>
            </w:r>
          </w:p>
        </w:tc>
        <w:tc>
          <w:tcPr>
            <w:tcW w:w="1418" w:type="dxa"/>
            <w:vMerge w:val="restart"/>
            <w:tcBorders>
              <w:top w:val="nil"/>
              <w:left w:val="single" w:sz="4" w:space="0" w:color="auto"/>
              <w:bottom w:val="single" w:sz="4" w:space="0" w:color="auto"/>
              <w:right w:val="single" w:sz="4" w:space="0" w:color="auto"/>
            </w:tcBorders>
            <w:noWrap/>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Yes</w:t>
            </w:r>
          </w:p>
        </w:tc>
      </w:tr>
      <w:tr w:rsidR="00BF14E0" w:rsidRPr="006A444B" w:rsidTr="00BF14E0">
        <w:trPr>
          <w:trHeight w:val="255"/>
          <w:jc w:val="center"/>
        </w:trPr>
        <w:tc>
          <w:tcPr>
            <w:tcW w:w="1374"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3729" w:type="dxa"/>
            <w:gridSpan w:val="3"/>
            <w:vMerge/>
            <w:tcBorders>
              <w:top w:val="single" w:sz="4" w:space="0" w:color="auto"/>
              <w:left w:val="single" w:sz="4" w:space="0" w:color="auto"/>
              <w:bottom w:val="single" w:sz="4" w:space="0" w:color="auto"/>
              <w:right w:val="single" w:sz="4" w:space="0" w:color="000000"/>
            </w:tcBorders>
            <w:vAlign w:val="center"/>
          </w:tcPr>
          <w:p w:rsidR="00BF14E0" w:rsidRPr="006A444B" w:rsidRDefault="00BF14E0" w:rsidP="00BF14E0">
            <w:pPr>
              <w:keepNext/>
              <w:spacing w:before="10" w:after="10"/>
              <w:rPr>
                <w:color w:val="000000"/>
                <w:sz w:val="20"/>
                <w:lang w:val="en-US"/>
              </w:rPr>
            </w:pPr>
          </w:p>
        </w:tc>
        <w:tc>
          <w:tcPr>
            <w:tcW w:w="1329"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1417"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1418"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r>
      <w:tr w:rsidR="00BF14E0" w:rsidRPr="006A444B" w:rsidTr="00BF14E0">
        <w:trPr>
          <w:trHeight w:val="240"/>
          <w:jc w:val="center"/>
        </w:trPr>
        <w:tc>
          <w:tcPr>
            <w:tcW w:w="1374" w:type="dxa"/>
            <w:vMerge w:val="restart"/>
            <w:tcBorders>
              <w:top w:val="nil"/>
              <w:left w:val="single" w:sz="4" w:space="0" w:color="auto"/>
              <w:bottom w:val="single" w:sz="4" w:space="0" w:color="auto"/>
              <w:right w:val="single" w:sz="4" w:space="0" w:color="auto"/>
            </w:tcBorders>
            <w:shd w:val="clear" w:color="000000" w:fill="D8D8D8"/>
            <w:noWrap/>
            <w:vAlign w:val="center"/>
          </w:tcPr>
          <w:p w:rsidR="00BF14E0" w:rsidRPr="006A444B" w:rsidRDefault="00BF14E0" w:rsidP="00BF14E0">
            <w:pPr>
              <w:keepNext/>
              <w:spacing w:before="10" w:after="10"/>
              <w:rPr>
                <w:color w:val="000000"/>
                <w:sz w:val="20"/>
                <w:lang w:val="en-US"/>
              </w:rPr>
            </w:pPr>
            <w:r w:rsidRPr="006A444B">
              <w:rPr>
                <w:color w:val="000000"/>
                <w:sz w:val="20"/>
                <w:lang w:val="en-US"/>
              </w:rPr>
              <w:t>LEDs</w:t>
            </w:r>
          </w:p>
        </w:tc>
        <w:tc>
          <w:tcPr>
            <w:tcW w:w="3729" w:type="dxa"/>
            <w:gridSpan w:val="3"/>
            <w:vMerge w:val="restart"/>
            <w:tcBorders>
              <w:top w:val="single" w:sz="4" w:space="0" w:color="auto"/>
              <w:left w:val="single" w:sz="4" w:space="0" w:color="auto"/>
              <w:bottom w:val="single" w:sz="4" w:space="0" w:color="auto"/>
              <w:right w:val="single" w:sz="4" w:space="0" w:color="000000"/>
            </w:tcBorders>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Power</w:t>
            </w:r>
            <w:r w:rsidRPr="006A444B">
              <w:rPr>
                <w:color w:val="000000"/>
                <w:sz w:val="20"/>
                <w:lang w:val="en-US"/>
              </w:rPr>
              <w:br/>
              <w:t>Powerline Link</w:t>
            </w:r>
            <w:r w:rsidRPr="006A444B">
              <w:rPr>
                <w:color w:val="000000"/>
                <w:sz w:val="20"/>
                <w:lang w:val="en-US"/>
              </w:rPr>
              <w:br/>
              <w:t>Ethernet Link</w:t>
            </w:r>
          </w:p>
        </w:tc>
        <w:tc>
          <w:tcPr>
            <w:tcW w:w="1329" w:type="dxa"/>
            <w:vMerge w:val="restart"/>
            <w:tcBorders>
              <w:top w:val="nil"/>
              <w:left w:val="single" w:sz="4" w:space="0" w:color="auto"/>
              <w:bottom w:val="single" w:sz="4" w:space="0" w:color="auto"/>
              <w:right w:val="single" w:sz="4" w:space="0" w:color="auto"/>
            </w:tcBorders>
            <w:shd w:val="clear" w:color="000000" w:fill="FFFFFF"/>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Powerline Link</w:t>
            </w:r>
            <w:r w:rsidRPr="006A444B">
              <w:rPr>
                <w:color w:val="000000"/>
                <w:sz w:val="20"/>
                <w:lang w:val="en-US"/>
              </w:rPr>
              <w:br/>
              <w:t>Ethernet Link</w:t>
            </w:r>
            <w:r w:rsidRPr="006A444B">
              <w:rPr>
                <w:color w:val="000000"/>
                <w:sz w:val="20"/>
                <w:lang w:val="en-US"/>
              </w:rPr>
              <w:br/>
              <w:t>Safety</w:t>
            </w:r>
          </w:p>
        </w:tc>
        <w:tc>
          <w:tcPr>
            <w:tcW w:w="1417" w:type="dxa"/>
            <w:vMerge w:val="restart"/>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Status</w:t>
            </w:r>
            <w:r w:rsidRPr="006A444B">
              <w:rPr>
                <w:color w:val="000000"/>
                <w:sz w:val="20"/>
                <w:lang w:val="en-US"/>
              </w:rPr>
              <w:br/>
              <w:t>Ethernet</w:t>
            </w:r>
            <w:r w:rsidRPr="006A444B">
              <w:rPr>
                <w:color w:val="000000"/>
                <w:sz w:val="20"/>
                <w:lang w:val="en-US"/>
              </w:rPr>
              <w:br/>
              <w:t>Access Point</w:t>
            </w:r>
          </w:p>
        </w:tc>
        <w:tc>
          <w:tcPr>
            <w:tcW w:w="1418" w:type="dxa"/>
            <w:vMerge w:val="restart"/>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Power</w:t>
            </w:r>
            <w:r w:rsidRPr="006A444B">
              <w:rPr>
                <w:color w:val="000000"/>
                <w:sz w:val="20"/>
                <w:lang w:val="en-US"/>
              </w:rPr>
              <w:br/>
              <w:t>Powerline Link</w:t>
            </w:r>
            <w:r w:rsidRPr="006A444B">
              <w:rPr>
                <w:color w:val="000000"/>
                <w:sz w:val="20"/>
                <w:lang w:val="en-US"/>
              </w:rPr>
              <w:br/>
              <w:t>Ethernet Link</w:t>
            </w:r>
          </w:p>
        </w:tc>
      </w:tr>
      <w:tr w:rsidR="00BF14E0" w:rsidRPr="006A444B" w:rsidTr="00BF14E0">
        <w:trPr>
          <w:trHeight w:val="255"/>
          <w:jc w:val="center"/>
        </w:trPr>
        <w:tc>
          <w:tcPr>
            <w:tcW w:w="1374"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3729" w:type="dxa"/>
            <w:gridSpan w:val="3"/>
            <w:vMerge/>
            <w:tcBorders>
              <w:top w:val="single" w:sz="4" w:space="0" w:color="auto"/>
              <w:left w:val="single" w:sz="4" w:space="0" w:color="auto"/>
              <w:bottom w:val="single" w:sz="4" w:space="0" w:color="auto"/>
              <w:right w:val="single" w:sz="4" w:space="0" w:color="000000"/>
            </w:tcBorders>
            <w:vAlign w:val="center"/>
          </w:tcPr>
          <w:p w:rsidR="00BF14E0" w:rsidRPr="006A444B" w:rsidRDefault="00BF14E0" w:rsidP="00BF14E0">
            <w:pPr>
              <w:keepNext/>
              <w:spacing w:before="10" w:after="10"/>
              <w:rPr>
                <w:color w:val="000000"/>
                <w:sz w:val="20"/>
                <w:lang w:val="en-US"/>
              </w:rPr>
            </w:pPr>
          </w:p>
        </w:tc>
        <w:tc>
          <w:tcPr>
            <w:tcW w:w="1329"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1417"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1418"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r>
      <w:tr w:rsidR="00BF14E0" w:rsidRPr="006A444B" w:rsidTr="00BF14E0">
        <w:trPr>
          <w:trHeight w:val="240"/>
          <w:jc w:val="center"/>
        </w:trPr>
        <w:tc>
          <w:tcPr>
            <w:tcW w:w="1374" w:type="dxa"/>
            <w:vMerge w:val="restart"/>
            <w:tcBorders>
              <w:top w:val="nil"/>
              <w:left w:val="single" w:sz="4" w:space="0" w:color="auto"/>
              <w:bottom w:val="single" w:sz="4" w:space="0" w:color="auto"/>
              <w:right w:val="single" w:sz="4" w:space="0" w:color="auto"/>
            </w:tcBorders>
            <w:shd w:val="clear" w:color="000000" w:fill="D8D8D8"/>
            <w:vAlign w:val="center"/>
          </w:tcPr>
          <w:p w:rsidR="00BF14E0" w:rsidRPr="006A444B" w:rsidRDefault="00BF14E0" w:rsidP="00BF14E0">
            <w:pPr>
              <w:keepNext/>
              <w:spacing w:before="10" w:after="10"/>
              <w:rPr>
                <w:color w:val="000000"/>
                <w:sz w:val="20"/>
                <w:lang w:val="en-US"/>
              </w:rPr>
            </w:pPr>
            <w:r w:rsidRPr="006A444B">
              <w:rPr>
                <w:color w:val="000000"/>
                <w:sz w:val="20"/>
                <w:lang w:val="en-US"/>
              </w:rPr>
              <w:t>Power supply</w:t>
            </w:r>
          </w:p>
        </w:tc>
        <w:tc>
          <w:tcPr>
            <w:tcW w:w="1417" w:type="dxa"/>
            <w:vMerge w:val="restart"/>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AC 110-240 V</w:t>
            </w:r>
            <w:r w:rsidRPr="006A444B">
              <w:rPr>
                <w:color w:val="000000"/>
                <w:sz w:val="20"/>
                <w:lang w:val="en-US"/>
              </w:rPr>
              <w:br/>
              <w:t>50/60 Hz</w:t>
            </w:r>
          </w:p>
        </w:tc>
        <w:tc>
          <w:tcPr>
            <w:tcW w:w="2312" w:type="dxa"/>
            <w:gridSpan w:val="2"/>
            <w:vMerge w:val="restart"/>
            <w:tcBorders>
              <w:top w:val="single" w:sz="4" w:space="0" w:color="auto"/>
              <w:left w:val="single" w:sz="4" w:space="0" w:color="auto"/>
              <w:bottom w:val="single" w:sz="4" w:space="0" w:color="auto"/>
              <w:right w:val="single" w:sz="4" w:space="0" w:color="000000"/>
            </w:tcBorders>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AC 100-240 V</w:t>
            </w:r>
            <w:r w:rsidRPr="006A444B">
              <w:rPr>
                <w:color w:val="000000"/>
                <w:sz w:val="20"/>
                <w:lang w:val="en-US"/>
              </w:rPr>
              <w:br/>
              <w:t>50/60 Hz</w:t>
            </w:r>
          </w:p>
        </w:tc>
        <w:tc>
          <w:tcPr>
            <w:tcW w:w="1329" w:type="dxa"/>
            <w:vMerge w:val="restart"/>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n/a</w:t>
            </w:r>
          </w:p>
        </w:tc>
        <w:tc>
          <w:tcPr>
            <w:tcW w:w="1417" w:type="dxa"/>
            <w:vMerge w:val="restart"/>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AC 110-240 V</w:t>
            </w:r>
            <w:r w:rsidRPr="006A444B">
              <w:rPr>
                <w:color w:val="000000"/>
                <w:sz w:val="20"/>
                <w:lang w:val="en-US"/>
              </w:rPr>
              <w:br/>
              <w:t>50/60 Hz</w:t>
            </w:r>
          </w:p>
        </w:tc>
        <w:tc>
          <w:tcPr>
            <w:tcW w:w="1418" w:type="dxa"/>
            <w:vMerge w:val="restart"/>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AC 110-230 V</w:t>
            </w:r>
            <w:r w:rsidRPr="006A444B">
              <w:rPr>
                <w:color w:val="000000"/>
                <w:sz w:val="20"/>
                <w:lang w:val="en-US"/>
              </w:rPr>
              <w:br/>
              <w:t>50/60 Hz</w:t>
            </w:r>
          </w:p>
        </w:tc>
      </w:tr>
      <w:tr w:rsidR="00BF14E0" w:rsidRPr="006A444B" w:rsidTr="00BF14E0">
        <w:trPr>
          <w:trHeight w:val="255"/>
          <w:jc w:val="center"/>
        </w:trPr>
        <w:tc>
          <w:tcPr>
            <w:tcW w:w="1374"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1417"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2312" w:type="dxa"/>
            <w:gridSpan w:val="2"/>
            <w:vMerge/>
            <w:tcBorders>
              <w:top w:val="single" w:sz="4" w:space="0" w:color="auto"/>
              <w:left w:val="single" w:sz="4" w:space="0" w:color="auto"/>
              <w:bottom w:val="single" w:sz="4" w:space="0" w:color="auto"/>
              <w:right w:val="single" w:sz="4" w:space="0" w:color="000000"/>
            </w:tcBorders>
            <w:vAlign w:val="center"/>
          </w:tcPr>
          <w:p w:rsidR="00BF14E0" w:rsidRPr="006A444B" w:rsidRDefault="00BF14E0" w:rsidP="00BF14E0">
            <w:pPr>
              <w:keepNext/>
              <w:spacing w:before="10" w:after="10"/>
              <w:rPr>
                <w:color w:val="000000"/>
                <w:sz w:val="20"/>
                <w:lang w:val="en-US"/>
              </w:rPr>
            </w:pPr>
          </w:p>
        </w:tc>
        <w:tc>
          <w:tcPr>
            <w:tcW w:w="1329"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1417"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c>
          <w:tcPr>
            <w:tcW w:w="1418"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keepNext/>
              <w:spacing w:before="10" w:after="10"/>
              <w:rPr>
                <w:color w:val="000000"/>
                <w:sz w:val="20"/>
                <w:lang w:val="en-US"/>
              </w:rPr>
            </w:pPr>
          </w:p>
        </w:tc>
      </w:tr>
      <w:tr w:rsidR="00BF14E0" w:rsidRPr="006A444B" w:rsidTr="00BF14E0">
        <w:trPr>
          <w:trHeight w:val="240"/>
          <w:jc w:val="center"/>
        </w:trPr>
        <w:tc>
          <w:tcPr>
            <w:tcW w:w="1374" w:type="dxa"/>
            <w:vMerge w:val="restart"/>
            <w:tcBorders>
              <w:top w:val="nil"/>
              <w:left w:val="single" w:sz="4" w:space="0" w:color="auto"/>
              <w:bottom w:val="single" w:sz="4" w:space="0" w:color="auto"/>
              <w:right w:val="single" w:sz="4" w:space="0" w:color="auto"/>
            </w:tcBorders>
            <w:shd w:val="clear" w:color="000000" w:fill="D8D8D8"/>
            <w:vAlign w:val="center"/>
          </w:tcPr>
          <w:p w:rsidR="00BF14E0" w:rsidRPr="006A444B" w:rsidRDefault="00BF14E0" w:rsidP="00BF14E0">
            <w:pPr>
              <w:keepNext/>
              <w:spacing w:before="10" w:after="10"/>
              <w:rPr>
                <w:color w:val="000000"/>
                <w:sz w:val="20"/>
                <w:lang w:val="en-US"/>
              </w:rPr>
            </w:pPr>
            <w:r w:rsidRPr="006A444B">
              <w:rPr>
                <w:color w:val="000000"/>
                <w:sz w:val="20"/>
                <w:lang w:val="en-US"/>
              </w:rPr>
              <w:t xml:space="preserve">Firmware </w:t>
            </w:r>
            <w:r w:rsidRPr="006A444B">
              <w:rPr>
                <w:color w:val="000000"/>
                <w:sz w:val="20"/>
                <w:lang w:val="en-US"/>
              </w:rPr>
              <w:br/>
              <w:t>can be updated</w:t>
            </w:r>
          </w:p>
        </w:tc>
        <w:tc>
          <w:tcPr>
            <w:tcW w:w="3729" w:type="dxa"/>
            <w:gridSpan w:val="3"/>
            <w:vMerge w:val="restart"/>
            <w:tcBorders>
              <w:top w:val="single" w:sz="4" w:space="0" w:color="auto"/>
              <w:left w:val="single" w:sz="4" w:space="0" w:color="auto"/>
              <w:bottom w:val="single" w:sz="4" w:space="0" w:color="auto"/>
              <w:right w:val="single" w:sz="4" w:space="0" w:color="000000"/>
            </w:tcBorders>
            <w:noWrap/>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Yes</w:t>
            </w:r>
          </w:p>
        </w:tc>
        <w:tc>
          <w:tcPr>
            <w:tcW w:w="1329" w:type="dxa"/>
            <w:vMerge w:val="restart"/>
            <w:tcBorders>
              <w:top w:val="nil"/>
              <w:left w:val="single" w:sz="4" w:space="0" w:color="auto"/>
              <w:bottom w:val="single" w:sz="4" w:space="0" w:color="auto"/>
              <w:right w:val="single" w:sz="4" w:space="0" w:color="auto"/>
            </w:tcBorders>
            <w:shd w:val="clear" w:color="000000" w:fill="FFFFFF"/>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Yes</w:t>
            </w:r>
          </w:p>
        </w:tc>
        <w:tc>
          <w:tcPr>
            <w:tcW w:w="1417" w:type="dxa"/>
            <w:vMerge w:val="restart"/>
            <w:tcBorders>
              <w:top w:val="nil"/>
              <w:left w:val="single" w:sz="4" w:space="0" w:color="auto"/>
              <w:bottom w:val="single" w:sz="4" w:space="0" w:color="auto"/>
              <w:right w:val="single" w:sz="4" w:space="0" w:color="auto"/>
            </w:tcBorders>
            <w:noWrap/>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Yes TFTP</w:t>
            </w:r>
          </w:p>
        </w:tc>
        <w:tc>
          <w:tcPr>
            <w:tcW w:w="1418" w:type="dxa"/>
            <w:vMerge w:val="restart"/>
            <w:tcBorders>
              <w:top w:val="nil"/>
              <w:left w:val="single" w:sz="4" w:space="0" w:color="auto"/>
              <w:bottom w:val="single" w:sz="4" w:space="0" w:color="auto"/>
              <w:right w:val="single" w:sz="4" w:space="0" w:color="auto"/>
            </w:tcBorders>
            <w:noWrap/>
            <w:vAlign w:val="center"/>
          </w:tcPr>
          <w:p w:rsidR="00BF14E0" w:rsidRPr="006A444B" w:rsidRDefault="00BF14E0" w:rsidP="00BF14E0">
            <w:pPr>
              <w:keepNext/>
              <w:spacing w:before="10" w:after="10"/>
              <w:jc w:val="center"/>
              <w:rPr>
                <w:color w:val="000000"/>
                <w:sz w:val="20"/>
                <w:lang w:val="en-US"/>
              </w:rPr>
            </w:pPr>
            <w:r w:rsidRPr="006A444B">
              <w:rPr>
                <w:color w:val="000000"/>
                <w:sz w:val="20"/>
                <w:lang w:val="en-US"/>
              </w:rPr>
              <w:t>Yes</w:t>
            </w:r>
          </w:p>
        </w:tc>
      </w:tr>
      <w:tr w:rsidR="00BF14E0" w:rsidRPr="006A444B" w:rsidTr="00BF14E0">
        <w:trPr>
          <w:trHeight w:val="255"/>
          <w:jc w:val="center"/>
        </w:trPr>
        <w:tc>
          <w:tcPr>
            <w:tcW w:w="1374"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10" w:after="10"/>
              <w:rPr>
                <w:color w:val="000000"/>
                <w:sz w:val="20"/>
                <w:lang w:val="en-US"/>
              </w:rPr>
            </w:pPr>
          </w:p>
        </w:tc>
        <w:tc>
          <w:tcPr>
            <w:tcW w:w="3729" w:type="dxa"/>
            <w:gridSpan w:val="3"/>
            <w:vMerge/>
            <w:tcBorders>
              <w:top w:val="single" w:sz="4" w:space="0" w:color="auto"/>
              <w:left w:val="single" w:sz="4" w:space="0" w:color="auto"/>
              <w:bottom w:val="single" w:sz="4" w:space="0" w:color="auto"/>
              <w:right w:val="single" w:sz="4" w:space="0" w:color="000000"/>
            </w:tcBorders>
            <w:vAlign w:val="center"/>
          </w:tcPr>
          <w:p w:rsidR="00BF14E0" w:rsidRPr="006A444B" w:rsidRDefault="00BF14E0" w:rsidP="00BF14E0">
            <w:pPr>
              <w:spacing w:before="10" w:after="10"/>
              <w:rPr>
                <w:color w:val="000000"/>
                <w:sz w:val="20"/>
                <w:lang w:val="en-US"/>
              </w:rPr>
            </w:pPr>
          </w:p>
        </w:tc>
        <w:tc>
          <w:tcPr>
            <w:tcW w:w="1329"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10" w:after="10"/>
              <w:rPr>
                <w:color w:val="000000"/>
                <w:sz w:val="20"/>
                <w:lang w:val="en-US"/>
              </w:rPr>
            </w:pPr>
          </w:p>
        </w:tc>
        <w:tc>
          <w:tcPr>
            <w:tcW w:w="1417"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10" w:after="10"/>
              <w:rPr>
                <w:color w:val="000000"/>
                <w:sz w:val="20"/>
                <w:lang w:val="en-US"/>
              </w:rPr>
            </w:pPr>
          </w:p>
        </w:tc>
        <w:tc>
          <w:tcPr>
            <w:tcW w:w="1418"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10" w:after="10"/>
              <w:rPr>
                <w:color w:val="000000"/>
                <w:sz w:val="20"/>
                <w:lang w:val="en-US"/>
              </w:rPr>
            </w:pPr>
          </w:p>
        </w:tc>
      </w:tr>
      <w:tr w:rsidR="00BF14E0" w:rsidRPr="006A444B" w:rsidTr="00BF14E0">
        <w:trPr>
          <w:trHeight w:val="240"/>
          <w:jc w:val="center"/>
        </w:trPr>
        <w:tc>
          <w:tcPr>
            <w:tcW w:w="1374" w:type="dxa"/>
            <w:vMerge w:val="restart"/>
            <w:tcBorders>
              <w:top w:val="nil"/>
              <w:left w:val="single" w:sz="4" w:space="0" w:color="auto"/>
              <w:bottom w:val="single" w:sz="4" w:space="0" w:color="auto"/>
              <w:right w:val="single" w:sz="4" w:space="0" w:color="auto"/>
            </w:tcBorders>
            <w:shd w:val="clear" w:color="000000" w:fill="D8D8D8"/>
            <w:vAlign w:val="center"/>
          </w:tcPr>
          <w:p w:rsidR="00BF14E0" w:rsidRPr="006A444B" w:rsidRDefault="00BF14E0" w:rsidP="00BF14E0">
            <w:pPr>
              <w:spacing w:before="10" w:after="10"/>
              <w:rPr>
                <w:color w:val="000000"/>
                <w:sz w:val="20"/>
                <w:lang w:val="en-US"/>
              </w:rPr>
            </w:pPr>
            <w:r w:rsidRPr="006A444B">
              <w:rPr>
                <w:color w:val="000000"/>
                <w:sz w:val="20"/>
                <w:lang w:val="en-US"/>
              </w:rPr>
              <w:t>Configuration</w:t>
            </w:r>
            <w:r w:rsidRPr="006A444B">
              <w:rPr>
                <w:color w:val="000000"/>
                <w:sz w:val="20"/>
                <w:lang w:val="en-US"/>
              </w:rPr>
              <w:br/>
              <w:t>software</w:t>
            </w:r>
          </w:p>
        </w:tc>
        <w:tc>
          <w:tcPr>
            <w:tcW w:w="3729" w:type="dxa"/>
            <w:gridSpan w:val="3"/>
            <w:vMerge w:val="restart"/>
            <w:tcBorders>
              <w:top w:val="single" w:sz="4" w:space="0" w:color="auto"/>
              <w:left w:val="single" w:sz="4" w:space="0" w:color="auto"/>
              <w:bottom w:val="single" w:sz="4" w:space="0" w:color="auto"/>
              <w:right w:val="single" w:sz="4" w:space="0" w:color="000000"/>
            </w:tcBorders>
            <w:noWrap/>
            <w:vAlign w:val="center"/>
          </w:tcPr>
          <w:p w:rsidR="00BF14E0" w:rsidRPr="006A444B" w:rsidRDefault="00BF14E0" w:rsidP="00BF14E0">
            <w:pPr>
              <w:spacing w:before="10" w:after="10"/>
              <w:jc w:val="center"/>
              <w:rPr>
                <w:color w:val="000000"/>
                <w:sz w:val="20"/>
                <w:lang w:val="en-US"/>
              </w:rPr>
            </w:pPr>
            <w:r w:rsidRPr="006A444B">
              <w:rPr>
                <w:color w:val="000000"/>
                <w:sz w:val="20"/>
                <w:lang w:val="en-US"/>
              </w:rPr>
              <w:t>Yes</w:t>
            </w:r>
          </w:p>
        </w:tc>
        <w:tc>
          <w:tcPr>
            <w:tcW w:w="1329" w:type="dxa"/>
            <w:vMerge w:val="restart"/>
            <w:tcBorders>
              <w:top w:val="nil"/>
              <w:left w:val="single" w:sz="4" w:space="0" w:color="auto"/>
              <w:bottom w:val="single" w:sz="4" w:space="0" w:color="auto"/>
              <w:right w:val="single" w:sz="4" w:space="0" w:color="auto"/>
            </w:tcBorders>
            <w:noWrap/>
            <w:vAlign w:val="center"/>
          </w:tcPr>
          <w:p w:rsidR="00BF14E0" w:rsidRPr="006A444B" w:rsidRDefault="00BF14E0" w:rsidP="00BF14E0">
            <w:pPr>
              <w:spacing w:before="10" w:after="10"/>
              <w:jc w:val="center"/>
              <w:rPr>
                <w:color w:val="000000"/>
                <w:sz w:val="20"/>
                <w:lang w:val="en-US"/>
              </w:rPr>
            </w:pPr>
            <w:r w:rsidRPr="006A444B">
              <w:rPr>
                <w:color w:val="000000"/>
                <w:sz w:val="20"/>
                <w:lang w:val="en-US"/>
              </w:rPr>
              <w:t>No</w:t>
            </w:r>
          </w:p>
        </w:tc>
        <w:tc>
          <w:tcPr>
            <w:tcW w:w="1417" w:type="dxa"/>
            <w:vMerge w:val="restart"/>
            <w:tcBorders>
              <w:top w:val="nil"/>
              <w:left w:val="single" w:sz="4" w:space="0" w:color="auto"/>
              <w:bottom w:val="single" w:sz="4" w:space="0" w:color="auto"/>
              <w:right w:val="single" w:sz="4" w:space="0" w:color="auto"/>
            </w:tcBorders>
            <w:noWrap/>
            <w:vAlign w:val="center"/>
          </w:tcPr>
          <w:p w:rsidR="00BF14E0" w:rsidRPr="006A444B" w:rsidRDefault="00BF14E0" w:rsidP="00BF14E0">
            <w:pPr>
              <w:spacing w:before="10" w:after="10"/>
              <w:jc w:val="center"/>
              <w:rPr>
                <w:color w:val="000000"/>
                <w:sz w:val="20"/>
                <w:lang w:val="en-US"/>
              </w:rPr>
            </w:pPr>
            <w:r w:rsidRPr="006A444B">
              <w:rPr>
                <w:color w:val="000000"/>
                <w:sz w:val="20"/>
                <w:lang w:val="en-US"/>
              </w:rPr>
              <w:t>No</w:t>
            </w:r>
          </w:p>
        </w:tc>
        <w:tc>
          <w:tcPr>
            <w:tcW w:w="1418" w:type="dxa"/>
            <w:vMerge w:val="restart"/>
            <w:tcBorders>
              <w:top w:val="nil"/>
              <w:left w:val="single" w:sz="4" w:space="0" w:color="auto"/>
              <w:bottom w:val="single" w:sz="4" w:space="0" w:color="auto"/>
              <w:right w:val="single" w:sz="4" w:space="0" w:color="auto"/>
            </w:tcBorders>
            <w:noWrap/>
            <w:vAlign w:val="center"/>
          </w:tcPr>
          <w:p w:rsidR="00BF14E0" w:rsidRPr="006A444B" w:rsidRDefault="00BF14E0" w:rsidP="00BF14E0">
            <w:pPr>
              <w:spacing w:before="10" w:after="10"/>
              <w:jc w:val="center"/>
              <w:rPr>
                <w:color w:val="000000"/>
                <w:sz w:val="20"/>
                <w:lang w:val="en-US"/>
              </w:rPr>
            </w:pPr>
            <w:r w:rsidRPr="006A444B">
              <w:rPr>
                <w:color w:val="000000"/>
                <w:sz w:val="20"/>
                <w:lang w:val="en-US"/>
              </w:rPr>
              <w:t>Yes</w:t>
            </w:r>
          </w:p>
        </w:tc>
      </w:tr>
      <w:tr w:rsidR="00BF14E0" w:rsidRPr="006A444B" w:rsidTr="00BF14E0">
        <w:trPr>
          <w:trHeight w:val="255"/>
          <w:jc w:val="center"/>
        </w:trPr>
        <w:tc>
          <w:tcPr>
            <w:tcW w:w="1374"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10" w:after="10"/>
              <w:rPr>
                <w:color w:val="000000"/>
                <w:sz w:val="20"/>
                <w:lang w:val="en-US"/>
              </w:rPr>
            </w:pPr>
          </w:p>
        </w:tc>
        <w:tc>
          <w:tcPr>
            <w:tcW w:w="3729" w:type="dxa"/>
            <w:gridSpan w:val="3"/>
            <w:vMerge/>
            <w:tcBorders>
              <w:top w:val="single" w:sz="4" w:space="0" w:color="auto"/>
              <w:left w:val="single" w:sz="4" w:space="0" w:color="auto"/>
              <w:bottom w:val="single" w:sz="4" w:space="0" w:color="auto"/>
              <w:right w:val="single" w:sz="4" w:space="0" w:color="000000"/>
            </w:tcBorders>
            <w:vAlign w:val="center"/>
          </w:tcPr>
          <w:p w:rsidR="00BF14E0" w:rsidRPr="006A444B" w:rsidRDefault="00BF14E0" w:rsidP="00BF14E0">
            <w:pPr>
              <w:spacing w:before="10" w:after="10"/>
              <w:rPr>
                <w:color w:val="000000"/>
                <w:sz w:val="20"/>
                <w:lang w:val="en-US"/>
              </w:rPr>
            </w:pPr>
          </w:p>
        </w:tc>
        <w:tc>
          <w:tcPr>
            <w:tcW w:w="1329"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10" w:after="10"/>
              <w:rPr>
                <w:color w:val="000000"/>
                <w:sz w:val="20"/>
                <w:lang w:val="en-US"/>
              </w:rPr>
            </w:pPr>
          </w:p>
        </w:tc>
        <w:tc>
          <w:tcPr>
            <w:tcW w:w="1417"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10" w:after="10"/>
              <w:rPr>
                <w:color w:val="000000"/>
                <w:sz w:val="20"/>
                <w:lang w:val="en-US"/>
              </w:rPr>
            </w:pPr>
          </w:p>
        </w:tc>
        <w:tc>
          <w:tcPr>
            <w:tcW w:w="1418"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10" w:after="10"/>
              <w:rPr>
                <w:color w:val="000000"/>
                <w:sz w:val="20"/>
                <w:lang w:val="en-US"/>
              </w:rPr>
            </w:pPr>
          </w:p>
        </w:tc>
      </w:tr>
      <w:tr w:rsidR="00BF14E0" w:rsidRPr="006A444B" w:rsidTr="00BF14E0">
        <w:trPr>
          <w:trHeight w:val="240"/>
          <w:jc w:val="center"/>
        </w:trPr>
        <w:tc>
          <w:tcPr>
            <w:tcW w:w="1374" w:type="dxa"/>
            <w:vMerge w:val="restart"/>
            <w:tcBorders>
              <w:top w:val="nil"/>
              <w:left w:val="single" w:sz="4" w:space="0" w:color="auto"/>
              <w:bottom w:val="single" w:sz="4" w:space="0" w:color="auto"/>
              <w:right w:val="single" w:sz="4" w:space="0" w:color="auto"/>
            </w:tcBorders>
            <w:shd w:val="clear" w:color="000000" w:fill="D8D8D8"/>
            <w:vAlign w:val="center"/>
          </w:tcPr>
          <w:p w:rsidR="00BF14E0" w:rsidRPr="006A444B" w:rsidRDefault="00BF14E0" w:rsidP="00BF14E0">
            <w:pPr>
              <w:spacing w:before="10" w:after="10"/>
              <w:rPr>
                <w:color w:val="000000"/>
                <w:sz w:val="20"/>
                <w:lang w:val="en-US"/>
              </w:rPr>
            </w:pPr>
            <w:r w:rsidRPr="006A444B">
              <w:rPr>
                <w:color w:val="000000"/>
                <w:sz w:val="20"/>
                <w:lang w:val="en-US"/>
              </w:rPr>
              <w:t>Power consumption</w:t>
            </w:r>
          </w:p>
        </w:tc>
        <w:tc>
          <w:tcPr>
            <w:tcW w:w="1417" w:type="dxa"/>
            <w:vMerge w:val="restart"/>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10" w:after="10"/>
              <w:jc w:val="center"/>
              <w:rPr>
                <w:color w:val="000000"/>
                <w:sz w:val="20"/>
                <w:lang w:val="en-US"/>
              </w:rPr>
            </w:pPr>
            <w:r w:rsidRPr="006A444B">
              <w:rPr>
                <w:color w:val="000000"/>
                <w:sz w:val="20"/>
                <w:lang w:val="en-US"/>
              </w:rPr>
              <w:t>3.5 W (max.)</w:t>
            </w:r>
            <w:r w:rsidRPr="006A444B">
              <w:rPr>
                <w:color w:val="000000"/>
                <w:sz w:val="20"/>
                <w:lang w:val="en-US"/>
              </w:rPr>
              <w:br/>
              <w:t>1.9 W in idle mode</w:t>
            </w:r>
          </w:p>
        </w:tc>
        <w:tc>
          <w:tcPr>
            <w:tcW w:w="1105" w:type="dxa"/>
            <w:vMerge w:val="restart"/>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10" w:after="10"/>
              <w:jc w:val="center"/>
              <w:rPr>
                <w:color w:val="000000"/>
                <w:sz w:val="20"/>
                <w:lang w:val="en-US"/>
              </w:rPr>
            </w:pPr>
            <w:r w:rsidRPr="006A444B">
              <w:rPr>
                <w:color w:val="000000"/>
                <w:sz w:val="20"/>
                <w:lang w:val="en-US"/>
              </w:rPr>
              <w:t>3 W (max.)</w:t>
            </w:r>
            <w:r w:rsidRPr="006A444B">
              <w:rPr>
                <w:color w:val="000000"/>
                <w:sz w:val="20"/>
                <w:lang w:val="en-US"/>
              </w:rPr>
              <w:br/>
              <w:t>2.6 W in idle mode</w:t>
            </w:r>
          </w:p>
        </w:tc>
        <w:tc>
          <w:tcPr>
            <w:tcW w:w="1207" w:type="dxa"/>
            <w:vMerge w:val="restart"/>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10" w:after="10"/>
              <w:jc w:val="center"/>
              <w:rPr>
                <w:color w:val="000000"/>
                <w:sz w:val="20"/>
                <w:lang w:val="en-US"/>
              </w:rPr>
            </w:pPr>
            <w:r w:rsidRPr="006A444B">
              <w:rPr>
                <w:color w:val="000000"/>
                <w:sz w:val="20"/>
                <w:lang w:val="en-US"/>
              </w:rPr>
              <w:t>4.2 W (max)</w:t>
            </w:r>
            <w:r w:rsidRPr="006A444B">
              <w:rPr>
                <w:color w:val="000000"/>
                <w:sz w:val="20"/>
                <w:lang w:val="en-US"/>
              </w:rPr>
              <w:br/>
              <w:t>3 W in idle mode</w:t>
            </w:r>
          </w:p>
        </w:tc>
        <w:tc>
          <w:tcPr>
            <w:tcW w:w="1329" w:type="dxa"/>
            <w:vMerge w:val="restart"/>
            <w:tcBorders>
              <w:top w:val="nil"/>
              <w:left w:val="single" w:sz="4" w:space="0" w:color="auto"/>
              <w:bottom w:val="single" w:sz="4" w:space="0" w:color="auto"/>
              <w:right w:val="single" w:sz="4" w:space="0" w:color="auto"/>
            </w:tcBorders>
            <w:shd w:val="clear" w:color="000000" w:fill="FFFFFF"/>
            <w:vAlign w:val="center"/>
          </w:tcPr>
          <w:p w:rsidR="00BF14E0" w:rsidRPr="006A444B" w:rsidRDefault="00BF14E0" w:rsidP="00BF14E0">
            <w:pPr>
              <w:spacing w:before="10" w:after="10"/>
              <w:jc w:val="center"/>
              <w:rPr>
                <w:color w:val="000000"/>
                <w:sz w:val="20"/>
                <w:lang w:val="en-US"/>
              </w:rPr>
            </w:pPr>
            <w:r w:rsidRPr="006A444B">
              <w:rPr>
                <w:color w:val="000000"/>
                <w:sz w:val="20"/>
                <w:lang w:val="en-US"/>
              </w:rPr>
              <w:t>5.8 W (max.)</w:t>
            </w:r>
            <w:r w:rsidRPr="006A444B">
              <w:rPr>
                <w:color w:val="000000"/>
                <w:sz w:val="20"/>
                <w:lang w:val="en-US"/>
              </w:rPr>
              <w:br/>
              <w:t>4 W in idle mode</w:t>
            </w:r>
          </w:p>
        </w:tc>
        <w:tc>
          <w:tcPr>
            <w:tcW w:w="1417" w:type="dxa"/>
            <w:vMerge w:val="restart"/>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10" w:after="10"/>
              <w:jc w:val="center"/>
              <w:rPr>
                <w:color w:val="000000"/>
                <w:sz w:val="20"/>
                <w:lang w:val="en-US"/>
              </w:rPr>
            </w:pPr>
            <w:r w:rsidRPr="006A444B">
              <w:rPr>
                <w:color w:val="000000"/>
                <w:sz w:val="20"/>
                <w:lang w:val="en-US"/>
              </w:rPr>
              <w:t>6.5 W (max.)</w:t>
            </w:r>
            <w:r w:rsidRPr="006A444B">
              <w:rPr>
                <w:color w:val="000000"/>
                <w:sz w:val="20"/>
                <w:lang w:val="en-US"/>
              </w:rPr>
              <w:br/>
              <w:t>5.5 W in idle mode</w:t>
            </w:r>
          </w:p>
        </w:tc>
        <w:tc>
          <w:tcPr>
            <w:tcW w:w="1418" w:type="dxa"/>
            <w:vMerge w:val="restart"/>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10" w:after="10"/>
              <w:jc w:val="center"/>
              <w:rPr>
                <w:color w:val="000000"/>
                <w:sz w:val="20"/>
                <w:lang w:val="en-US"/>
              </w:rPr>
            </w:pPr>
            <w:r w:rsidRPr="006A444B">
              <w:rPr>
                <w:color w:val="000000"/>
                <w:sz w:val="20"/>
                <w:lang w:val="en-US"/>
              </w:rPr>
              <w:t>7.2 W (max.)</w:t>
            </w:r>
            <w:r w:rsidRPr="006A444B">
              <w:rPr>
                <w:color w:val="000000"/>
                <w:sz w:val="20"/>
                <w:lang w:val="en-US"/>
              </w:rPr>
              <w:br/>
              <w:t>5.7 W in idle mode</w:t>
            </w:r>
          </w:p>
        </w:tc>
      </w:tr>
      <w:tr w:rsidR="00BF14E0" w:rsidRPr="006A444B" w:rsidTr="00BF14E0">
        <w:trPr>
          <w:trHeight w:val="398"/>
          <w:jc w:val="center"/>
        </w:trPr>
        <w:tc>
          <w:tcPr>
            <w:tcW w:w="1374"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0"/>
              <w:rPr>
                <w:rFonts w:ascii="Calibri" w:hAnsi="Calibri" w:cs="Calibri"/>
                <w:color w:val="000000"/>
                <w:sz w:val="18"/>
                <w:szCs w:val="18"/>
                <w:lang w:val="en-US"/>
              </w:rPr>
            </w:pPr>
          </w:p>
        </w:tc>
        <w:tc>
          <w:tcPr>
            <w:tcW w:w="1417"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0"/>
              <w:rPr>
                <w:rFonts w:ascii="Calibri" w:hAnsi="Calibri" w:cs="Calibri"/>
                <w:color w:val="000000"/>
                <w:sz w:val="18"/>
                <w:szCs w:val="18"/>
                <w:lang w:val="en-US"/>
              </w:rPr>
            </w:pPr>
          </w:p>
        </w:tc>
        <w:tc>
          <w:tcPr>
            <w:tcW w:w="1105"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0"/>
              <w:rPr>
                <w:rFonts w:ascii="Calibri" w:hAnsi="Calibri" w:cs="Calibri"/>
                <w:color w:val="000000"/>
                <w:sz w:val="18"/>
                <w:szCs w:val="18"/>
                <w:lang w:val="en-US"/>
              </w:rPr>
            </w:pPr>
          </w:p>
        </w:tc>
        <w:tc>
          <w:tcPr>
            <w:tcW w:w="1207"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0"/>
              <w:rPr>
                <w:rFonts w:ascii="Calibri" w:hAnsi="Calibri" w:cs="Calibri"/>
                <w:color w:val="000000"/>
                <w:sz w:val="18"/>
                <w:szCs w:val="18"/>
                <w:lang w:val="en-US"/>
              </w:rPr>
            </w:pPr>
          </w:p>
        </w:tc>
        <w:tc>
          <w:tcPr>
            <w:tcW w:w="1329"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0"/>
              <w:rPr>
                <w:rFonts w:ascii="Calibri" w:hAnsi="Calibri" w:cs="Calibri"/>
                <w:color w:val="000000"/>
                <w:sz w:val="18"/>
                <w:szCs w:val="18"/>
                <w:lang w:val="en-US"/>
              </w:rPr>
            </w:pPr>
          </w:p>
        </w:tc>
        <w:tc>
          <w:tcPr>
            <w:tcW w:w="1417"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0"/>
              <w:rPr>
                <w:rFonts w:ascii="Calibri" w:hAnsi="Calibri" w:cs="Calibri"/>
                <w:color w:val="000000"/>
                <w:sz w:val="18"/>
                <w:szCs w:val="18"/>
                <w:lang w:val="en-US"/>
              </w:rPr>
            </w:pPr>
          </w:p>
        </w:tc>
        <w:tc>
          <w:tcPr>
            <w:tcW w:w="1418" w:type="dxa"/>
            <w:vMerge/>
            <w:tcBorders>
              <w:top w:val="nil"/>
              <w:left w:val="single" w:sz="4" w:space="0" w:color="auto"/>
              <w:bottom w:val="single" w:sz="4" w:space="0" w:color="auto"/>
              <w:right w:val="single" w:sz="4" w:space="0" w:color="auto"/>
            </w:tcBorders>
            <w:vAlign w:val="center"/>
          </w:tcPr>
          <w:p w:rsidR="00BF14E0" w:rsidRPr="006A444B" w:rsidRDefault="00BF14E0" w:rsidP="00BF14E0">
            <w:pPr>
              <w:spacing w:before="0"/>
              <w:rPr>
                <w:rFonts w:ascii="Calibri" w:hAnsi="Calibri" w:cs="Calibri"/>
                <w:color w:val="000000"/>
                <w:sz w:val="18"/>
                <w:szCs w:val="18"/>
                <w:lang w:val="en-US"/>
              </w:rPr>
            </w:pPr>
          </w:p>
        </w:tc>
      </w:tr>
    </w:tbl>
    <w:p w:rsidR="00BF14E0" w:rsidRPr="006A444B" w:rsidRDefault="00BF14E0" w:rsidP="00BF14E0">
      <w:pPr>
        <w:rPr>
          <w:lang w:val="en-US"/>
        </w:rPr>
      </w:pPr>
    </w:p>
    <w:p w:rsidR="00BF14E0" w:rsidRPr="006A444B" w:rsidRDefault="00BF14E0" w:rsidP="00BF14E0">
      <w:pPr>
        <w:pStyle w:val="Heading4"/>
        <w:rPr>
          <w:lang w:val="en-US"/>
        </w:rPr>
      </w:pPr>
      <w:bookmarkStart w:id="63" w:name="_Toc262725282"/>
      <w:bookmarkStart w:id="64" w:name="_Toc265129580"/>
      <w:r w:rsidRPr="006A444B">
        <w:rPr>
          <w:lang w:val="en-US"/>
        </w:rPr>
        <w:t>A3.2.1.3</w:t>
      </w:r>
      <w:r w:rsidRPr="006A444B">
        <w:rPr>
          <w:lang w:val="en-US"/>
        </w:rPr>
        <w:tab/>
        <w:t>Measuring of frequency spectrums</w:t>
      </w:r>
      <w:bookmarkEnd w:id="63"/>
      <w:bookmarkEnd w:id="64"/>
    </w:p>
    <w:p w:rsidR="00BF14E0" w:rsidRPr="006A444B" w:rsidRDefault="00BF14E0" w:rsidP="00BF14E0">
      <w:pPr>
        <w:rPr>
          <w:lang w:val="en-US"/>
        </w:rPr>
      </w:pPr>
      <w:r w:rsidRPr="006A444B">
        <w:rPr>
          <w:lang w:val="en-US"/>
        </w:rPr>
        <w:t>For the realization of the measurements, one lead of the power cable that was transmitting the data traffic was placed in a R&amp;S MDS 21 absorbing clamp and the remaining leads were left outside (ref. Fig. 1). The attenuation of the measuring clamp is indicated with 17 dB in the range between 30</w:t>
      </w:r>
      <w:r w:rsidRPr="006A444B">
        <w:rPr>
          <w:lang w:val="en-US"/>
        </w:rPr>
        <w:noBreakHyphen/>
        <w:t xml:space="preserve">1 000 MHz; therefore this value has to be added to the indicated levels in order to determine the correct HF level on the power line. Representative of the Powerline standard, AcBel, Allnet and Belkin devices were used for the measurements. A data transfer that pushed the devices to their performance limits was generated between two identically built Powerline adapters. During the active performance measurement, the spectrum analyser FSEA recorded the frequency spectrum. </w:t>
      </w:r>
    </w:p>
    <w:p w:rsidR="00BF14E0" w:rsidRPr="004F110A" w:rsidRDefault="00BF14E0" w:rsidP="004F110A">
      <w:pPr>
        <w:pStyle w:val="FigureNo"/>
        <w:rPr>
          <w:sz w:val="20"/>
          <w:lang w:val="en-US" w:eastAsia="zh-CN"/>
        </w:rPr>
      </w:pPr>
      <w:r w:rsidRPr="004F110A">
        <w:rPr>
          <w:sz w:val="20"/>
          <w:lang w:val="en-US" w:eastAsia="zh-CN"/>
        </w:rPr>
        <w:t>Figure 1</w:t>
      </w:r>
    </w:p>
    <w:p w:rsidR="00BF14E0" w:rsidRDefault="00BF14E0" w:rsidP="004F110A">
      <w:pPr>
        <w:pStyle w:val="Figuretitle"/>
        <w:rPr>
          <w:sz w:val="20"/>
          <w:lang w:val="en-US" w:eastAsia="zh-CN"/>
        </w:rPr>
      </w:pPr>
      <w:r w:rsidRPr="004F110A">
        <w:rPr>
          <w:sz w:val="20"/>
          <w:lang w:val="en-US" w:eastAsia="zh-CN"/>
        </w:rPr>
        <w:t>Measuring set-up with absorbing clamp</w:t>
      </w:r>
    </w:p>
    <w:p w:rsidR="004F110A" w:rsidRPr="004F110A" w:rsidRDefault="004F110A" w:rsidP="004F110A">
      <w:pPr>
        <w:rPr>
          <w:lang w:val="en-US" w:eastAsia="zh-CN"/>
        </w:rPr>
      </w:pPr>
    </w:p>
    <w:p w:rsidR="00BF14E0" w:rsidRPr="006A444B" w:rsidRDefault="00566A7F" w:rsidP="004F110A">
      <w:pPr>
        <w:jc w:val="center"/>
        <w:rPr>
          <w:noProof/>
          <w:lang w:val="en-US" w:eastAsia="de-DE"/>
        </w:rPr>
      </w:pPr>
      <w:r w:rsidRPr="00EF1C76">
        <w:rPr>
          <w:noProof/>
          <w:lang w:val="en-US"/>
        </w:rPr>
        <w:pict>
          <v:shape id="Bild 2" o:spid="_x0000_i1091" type="#_x0000_t75" style="width:468pt;height:284.25pt;visibility:visible">
            <v:imagedata r:id="rId88" o:title=""/>
          </v:shape>
        </w:pict>
      </w:r>
    </w:p>
    <w:p w:rsidR="00BF14E0" w:rsidRPr="004F110A" w:rsidRDefault="00BF14E0" w:rsidP="004F110A">
      <w:pPr>
        <w:pStyle w:val="FigureNo"/>
        <w:rPr>
          <w:sz w:val="20"/>
          <w:lang w:val="en-US"/>
        </w:rPr>
      </w:pPr>
      <w:r w:rsidRPr="004F110A">
        <w:rPr>
          <w:sz w:val="20"/>
          <w:lang w:val="en-US"/>
        </w:rPr>
        <w:t>Figure 2</w:t>
      </w:r>
    </w:p>
    <w:p w:rsidR="00BF14E0" w:rsidRDefault="00BF14E0" w:rsidP="004F110A">
      <w:pPr>
        <w:pStyle w:val="Figuretitle"/>
        <w:rPr>
          <w:sz w:val="20"/>
          <w:lang w:val="en-US"/>
        </w:rPr>
      </w:pPr>
      <w:r w:rsidRPr="004F110A">
        <w:rPr>
          <w:sz w:val="20"/>
          <w:lang w:val="en-US"/>
        </w:rPr>
        <w:t xml:space="preserve">On-air signals and background noise at measuring site visible are (inter alia): </w:t>
      </w:r>
      <w:r w:rsidRPr="004F110A">
        <w:rPr>
          <w:sz w:val="20"/>
          <w:lang w:val="en-US"/>
        </w:rPr>
        <w:br/>
        <w:t>SW, FM (87,5-108 MHz, DAB (around 215 MHz))</w:t>
      </w:r>
    </w:p>
    <w:p w:rsidR="004F110A" w:rsidRPr="004F110A" w:rsidRDefault="004F110A" w:rsidP="004F110A">
      <w:pPr>
        <w:rPr>
          <w:lang w:val="en-US"/>
        </w:rPr>
      </w:pPr>
    </w:p>
    <w:p w:rsidR="00BF14E0" w:rsidRPr="006A444B" w:rsidRDefault="00566A7F" w:rsidP="00BF14E0">
      <w:pPr>
        <w:spacing w:line="360" w:lineRule="auto"/>
        <w:jc w:val="center"/>
        <w:rPr>
          <w:color w:val="000000"/>
          <w:lang w:val="en-US"/>
        </w:rPr>
      </w:pPr>
      <w:r w:rsidRPr="00EF1C76">
        <w:rPr>
          <w:noProof/>
          <w:lang w:val="en-US"/>
        </w:rPr>
        <w:pict>
          <v:shape id="Picture 2" o:spid="_x0000_i1092" type="#_x0000_t75" style="width:306pt;height:269.25pt;visibility:visible">
            <v:imagedata r:id="rId89" o:title=""/>
          </v:shape>
        </w:pict>
      </w:r>
    </w:p>
    <w:p w:rsidR="00BF14E0" w:rsidRPr="004F110A" w:rsidRDefault="00BF14E0" w:rsidP="004F110A">
      <w:pPr>
        <w:pStyle w:val="FigureNo"/>
        <w:rPr>
          <w:sz w:val="20"/>
          <w:lang w:val="en-US"/>
        </w:rPr>
      </w:pPr>
      <w:r w:rsidRPr="004F110A">
        <w:rPr>
          <w:sz w:val="20"/>
          <w:lang w:val="en-US"/>
        </w:rPr>
        <w:t>Figure 3</w:t>
      </w:r>
    </w:p>
    <w:p w:rsidR="00BF14E0" w:rsidRDefault="00BF14E0" w:rsidP="004F110A">
      <w:pPr>
        <w:pStyle w:val="Figuretitle"/>
        <w:rPr>
          <w:sz w:val="20"/>
          <w:lang w:val="en-US"/>
        </w:rPr>
      </w:pPr>
      <w:r w:rsidRPr="004F110A">
        <w:rPr>
          <w:sz w:val="20"/>
          <w:lang w:val="en-US"/>
        </w:rPr>
        <w:t>Power spectrum of AcBel UPA in idle mode and</w:t>
      </w:r>
      <w:r w:rsidRPr="004F110A" w:rsidDel="002C4F38">
        <w:rPr>
          <w:sz w:val="20"/>
          <w:lang w:val="en-US"/>
        </w:rPr>
        <w:t xml:space="preserve"> </w:t>
      </w:r>
      <w:r w:rsidRPr="004F110A">
        <w:rPr>
          <w:sz w:val="20"/>
          <w:lang w:val="en-US"/>
        </w:rPr>
        <w:t>for maximum data throughput</w:t>
      </w:r>
    </w:p>
    <w:p w:rsidR="004F110A" w:rsidRPr="004F110A" w:rsidRDefault="004F110A" w:rsidP="004F110A">
      <w:pPr>
        <w:rPr>
          <w:lang w:val="en-US"/>
        </w:rPr>
      </w:pPr>
    </w:p>
    <w:p w:rsidR="00BF14E0" w:rsidRPr="006A444B" w:rsidRDefault="00BF14E0" w:rsidP="00BF14E0">
      <w:pPr>
        <w:keepNext/>
        <w:spacing w:after="200" w:line="276" w:lineRule="auto"/>
        <w:jc w:val="center"/>
        <w:rPr>
          <w:noProof/>
          <w:lang w:val="en-US" w:eastAsia="de-DE"/>
        </w:rPr>
      </w:pPr>
      <w:r w:rsidRPr="006A444B">
        <w:rPr>
          <w:b/>
          <w:bCs/>
          <w:i/>
          <w:iCs/>
          <w:lang w:val="en-US"/>
        </w:rPr>
        <w:t>UPA (AcBel DH10PF)</w:t>
      </w:r>
    </w:p>
    <w:p w:rsidR="00BF14E0" w:rsidRPr="006A444B" w:rsidRDefault="00566A7F" w:rsidP="00BF14E0">
      <w:pPr>
        <w:keepNext/>
        <w:spacing w:line="360" w:lineRule="auto"/>
        <w:jc w:val="center"/>
        <w:rPr>
          <w:lang w:val="en-US"/>
        </w:rPr>
      </w:pPr>
      <w:r w:rsidRPr="00EF1C76">
        <w:rPr>
          <w:noProof/>
          <w:lang w:val="en-US"/>
        </w:rPr>
        <w:pict>
          <v:shape id="Picture 3" o:spid="_x0000_i1093" type="#_x0000_t75" style="width:453.75pt;height:176.25pt;visibility:visible">
            <v:imagedata r:id="rId90" o:title=""/>
          </v:shape>
        </w:pict>
      </w:r>
    </w:p>
    <w:p w:rsidR="00BF14E0" w:rsidRPr="006A444B" w:rsidRDefault="00566A7F" w:rsidP="00BF14E0">
      <w:pPr>
        <w:keepNext/>
        <w:spacing w:line="360" w:lineRule="auto"/>
        <w:jc w:val="center"/>
        <w:rPr>
          <w:lang w:val="en-US"/>
        </w:rPr>
      </w:pPr>
      <w:r w:rsidRPr="00EF1C76">
        <w:rPr>
          <w:noProof/>
          <w:lang w:val="en-US"/>
        </w:rPr>
        <w:pict>
          <v:shape id="Bild 3" o:spid="_x0000_i1094" type="#_x0000_t75" style="width:462pt;height:175.5pt;visibility:visible">
            <v:imagedata r:id="rId91" o:title=""/>
          </v:shape>
        </w:pict>
      </w:r>
    </w:p>
    <w:p w:rsidR="00BF14E0" w:rsidRPr="006A444B" w:rsidRDefault="00BF14E0" w:rsidP="00BF14E0">
      <w:pPr>
        <w:spacing w:line="360" w:lineRule="auto"/>
        <w:jc w:val="center"/>
        <w:rPr>
          <w:lang w:val="en-US"/>
        </w:rPr>
      </w:pPr>
    </w:p>
    <w:p w:rsidR="00BF14E0" w:rsidRPr="006A444B" w:rsidRDefault="00BF14E0" w:rsidP="00BF14E0">
      <w:pPr>
        <w:rPr>
          <w:lang w:val="en-US"/>
        </w:rPr>
      </w:pPr>
      <w:r w:rsidRPr="006A444B">
        <w:rPr>
          <w:lang w:val="en-US"/>
        </w:rPr>
        <w:t>According to the manufacturer, Powerline adapters in complia</w:t>
      </w:r>
      <w:r w:rsidR="004F110A">
        <w:rPr>
          <w:lang w:val="en-US"/>
        </w:rPr>
        <w:t>nce with the UPA standard use a </w:t>
      </w:r>
      <w:r w:rsidRPr="006A444B">
        <w:rPr>
          <w:lang w:val="en-US"/>
        </w:rPr>
        <w:t>frequency range of 2-32 MHz. The spectrum analysis, however, shows (ref. Fig. 3) that UPA still generates spectral components beyond 32 MHz up to almost 190 MHz, although clearly lowered by approx. 50 dB. The levels in the actual working range are approx. −15 dBm (attenuation of the absorbing clamp included).</w:t>
      </w:r>
    </w:p>
    <w:p w:rsidR="00BF14E0" w:rsidRPr="006A444B" w:rsidRDefault="00BF14E0" w:rsidP="00BF14E0">
      <w:pPr>
        <w:overflowPunct/>
        <w:autoSpaceDE/>
        <w:autoSpaceDN/>
        <w:adjustRightInd/>
        <w:spacing w:before="0"/>
        <w:textAlignment w:val="auto"/>
        <w:rPr>
          <w:lang w:val="en-US"/>
        </w:rPr>
      </w:pPr>
      <w:r w:rsidRPr="006A444B">
        <w:rPr>
          <w:lang w:val="en-US"/>
        </w:rPr>
        <w:br w:type="page"/>
      </w:r>
    </w:p>
    <w:p w:rsidR="00BF14E0" w:rsidRPr="004F110A" w:rsidRDefault="00BF14E0" w:rsidP="004F110A">
      <w:pPr>
        <w:pStyle w:val="FigureNo"/>
        <w:rPr>
          <w:sz w:val="20"/>
          <w:lang w:val="en-US"/>
        </w:rPr>
      </w:pPr>
      <w:r w:rsidRPr="004F110A">
        <w:rPr>
          <w:sz w:val="20"/>
          <w:lang w:val="en-US"/>
        </w:rPr>
        <w:t>Figure 4</w:t>
      </w:r>
    </w:p>
    <w:p w:rsidR="00BF14E0" w:rsidRDefault="00BF14E0" w:rsidP="004F110A">
      <w:pPr>
        <w:pStyle w:val="Figuretitle"/>
        <w:rPr>
          <w:sz w:val="20"/>
          <w:lang w:val="en-US"/>
        </w:rPr>
      </w:pPr>
      <w:r w:rsidRPr="004F110A">
        <w:rPr>
          <w:sz w:val="20"/>
          <w:lang w:val="en-US"/>
        </w:rPr>
        <w:t>Power spectrum of Allnet Homeplug AV in idle mode and for maximum data throughput</w:t>
      </w:r>
    </w:p>
    <w:p w:rsidR="004F110A" w:rsidRPr="004F110A" w:rsidRDefault="004F110A" w:rsidP="004F110A">
      <w:pPr>
        <w:rPr>
          <w:lang w:val="en-US"/>
        </w:rPr>
      </w:pPr>
    </w:p>
    <w:p w:rsidR="00BF14E0" w:rsidRPr="006A444B" w:rsidRDefault="00BF14E0" w:rsidP="00BF14E0">
      <w:pPr>
        <w:keepNext/>
        <w:spacing w:line="360" w:lineRule="auto"/>
        <w:jc w:val="center"/>
        <w:rPr>
          <w:lang w:val="en-US"/>
        </w:rPr>
      </w:pPr>
      <w:r w:rsidRPr="006A444B">
        <w:rPr>
          <w:b/>
          <w:bCs/>
          <w:i/>
          <w:iCs/>
          <w:lang w:val="en-US"/>
        </w:rPr>
        <w:t>Homeplug AV (Allnet ALL 168203)</w:t>
      </w:r>
    </w:p>
    <w:p w:rsidR="00BF14E0" w:rsidRPr="006A444B" w:rsidRDefault="00566A7F" w:rsidP="00BF14E0">
      <w:pPr>
        <w:keepNext/>
        <w:spacing w:line="360" w:lineRule="auto"/>
        <w:jc w:val="center"/>
        <w:rPr>
          <w:lang w:val="en-US"/>
        </w:rPr>
      </w:pPr>
      <w:r w:rsidRPr="00EF1C76">
        <w:rPr>
          <w:noProof/>
          <w:lang w:val="en-US"/>
        </w:rPr>
        <w:pict>
          <v:shape id="Bild 4" o:spid="_x0000_i1095" type="#_x0000_t75" style="width:453.75pt;height:176.25pt;visibility:visible">
            <v:imagedata r:id="rId92" o:title=""/>
          </v:shape>
        </w:pict>
      </w:r>
    </w:p>
    <w:p w:rsidR="00BF14E0" w:rsidRPr="006A444B" w:rsidRDefault="00566A7F" w:rsidP="00BF14E0">
      <w:pPr>
        <w:keepNext/>
        <w:spacing w:line="360" w:lineRule="auto"/>
        <w:jc w:val="center"/>
        <w:rPr>
          <w:lang w:val="en-US"/>
        </w:rPr>
      </w:pPr>
      <w:r w:rsidRPr="00EF1C76">
        <w:rPr>
          <w:noProof/>
          <w:lang w:val="en-US"/>
        </w:rPr>
        <w:pict>
          <v:shape id="Picture 6" o:spid="_x0000_i1096" type="#_x0000_t75" style="width:462pt;height:175.5pt;visibility:visible">
            <v:imagedata r:id="rId93" o:title=""/>
          </v:shape>
        </w:pict>
      </w:r>
    </w:p>
    <w:p w:rsidR="00BF14E0" w:rsidRPr="006A444B" w:rsidRDefault="00BF14E0" w:rsidP="00BF14E0">
      <w:pPr>
        <w:spacing w:line="360" w:lineRule="auto"/>
        <w:jc w:val="center"/>
        <w:rPr>
          <w:lang w:val="en-US"/>
        </w:rPr>
      </w:pPr>
    </w:p>
    <w:p w:rsidR="00BF14E0" w:rsidRPr="006A444B" w:rsidRDefault="00BF14E0" w:rsidP="00BF14E0">
      <w:pPr>
        <w:rPr>
          <w:lang w:val="en-US"/>
        </w:rPr>
      </w:pPr>
      <w:r w:rsidRPr="006A444B">
        <w:rPr>
          <w:lang w:val="en-US"/>
        </w:rPr>
        <w:t>According to the manufacturer, Powerline adapters in compliance with the Homeplug AV standard use a spectrum of 2-30 MHz. Although Homeplug AV and UPA indicate the same maximum transmission rate of 200 Mbit/s, their frequency spectrums differ. Homeplug AV has similarly high levels in the lower frequency range; the levels of the higher spectral components, however, are lower than those in UPA devices (ref. Fig. 4). Spectral components range up to approx. 70 MHz.</w:t>
      </w:r>
    </w:p>
    <w:p w:rsidR="00BF14E0" w:rsidRPr="006A444B" w:rsidRDefault="00BF14E0" w:rsidP="00BF14E0">
      <w:pPr>
        <w:overflowPunct/>
        <w:autoSpaceDE/>
        <w:autoSpaceDN/>
        <w:adjustRightInd/>
        <w:spacing w:before="0"/>
        <w:textAlignment w:val="auto"/>
        <w:rPr>
          <w:lang w:val="en-US"/>
        </w:rPr>
      </w:pPr>
      <w:r w:rsidRPr="006A444B">
        <w:rPr>
          <w:lang w:val="en-US"/>
        </w:rPr>
        <w:br w:type="page"/>
      </w:r>
    </w:p>
    <w:p w:rsidR="00BF14E0" w:rsidRPr="004F110A" w:rsidRDefault="00BF14E0" w:rsidP="004F110A">
      <w:pPr>
        <w:pStyle w:val="FigureNo"/>
        <w:rPr>
          <w:sz w:val="20"/>
          <w:lang w:val="en-US"/>
        </w:rPr>
      </w:pPr>
      <w:r w:rsidRPr="004F110A">
        <w:rPr>
          <w:sz w:val="20"/>
          <w:lang w:val="en-US"/>
        </w:rPr>
        <w:t>Figure 5</w:t>
      </w:r>
    </w:p>
    <w:p w:rsidR="00BF14E0" w:rsidRDefault="00BF14E0" w:rsidP="004F110A">
      <w:pPr>
        <w:pStyle w:val="Figuretitle"/>
        <w:rPr>
          <w:sz w:val="20"/>
          <w:lang w:val="en-US"/>
        </w:rPr>
      </w:pPr>
      <w:r w:rsidRPr="004F110A">
        <w:rPr>
          <w:sz w:val="20"/>
          <w:lang w:val="en-US"/>
        </w:rPr>
        <w:t>Power spectrum of the Belkin adapter in idle mode and for maximum data throughput</w:t>
      </w:r>
    </w:p>
    <w:p w:rsidR="004F110A" w:rsidRPr="004F110A" w:rsidRDefault="004F110A" w:rsidP="004F110A">
      <w:pPr>
        <w:rPr>
          <w:lang w:val="en-US"/>
        </w:rPr>
      </w:pPr>
    </w:p>
    <w:p w:rsidR="00BF14E0" w:rsidRPr="006A444B" w:rsidRDefault="00BF14E0" w:rsidP="00BF14E0">
      <w:pPr>
        <w:keepNext/>
        <w:spacing w:line="360" w:lineRule="auto"/>
        <w:jc w:val="center"/>
        <w:rPr>
          <w:b/>
          <w:bCs/>
          <w:i/>
          <w:iCs/>
          <w:lang w:val="en-US"/>
        </w:rPr>
      </w:pPr>
      <w:r w:rsidRPr="006A444B">
        <w:rPr>
          <w:b/>
          <w:bCs/>
          <w:i/>
          <w:iCs/>
          <w:lang w:val="en-US"/>
        </w:rPr>
        <w:t>Mediaxtream − G.9960 (Belkin Gigabit Powerline HD)</w:t>
      </w:r>
    </w:p>
    <w:p w:rsidR="00BF14E0" w:rsidRPr="006A444B" w:rsidRDefault="00566A7F" w:rsidP="00BF14E0">
      <w:pPr>
        <w:keepNext/>
        <w:spacing w:line="360" w:lineRule="auto"/>
        <w:jc w:val="center"/>
        <w:rPr>
          <w:b/>
          <w:bCs/>
          <w:i/>
          <w:iCs/>
          <w:lang w:val="en-US"/>
        </w:rPr>
      </w:pPr>
      <w:r w:rsidRPr="00EF1C76">
        <w:rPr>
          <w:noProof/>
          <w:lang w:val="en-US"/>
        </w:rPr>
        <w:pict>
          <v:shape id="Picture 7" o:spid="_x0000_i1097" type="#_x0000_t75" style="width:459.75pt;height:175.5pt;visibility:visible">
            <v:imagedata r:id="rId94" o:title=""/>
          </v:shape>
        </w:pict>
      </w:r>
    </w:p>
    <w:p w:rsidR="00BF14E0" w:rsidRPr="006A444B" w:rsidRDefault="00566A7F" w:rsidP="00BF14E0">
      <w:pPr>
        <w:keepNext/>
        <w:spacing w:line="360" w:lineRule="auto"/>
        <w:jc w:val="center"/>
        <w:rPr>
          <w:b/>
          <w:bCs/>
          <w:i/>
          <w:iCs/>
          <w:lang w:val="en-US"/>
        </w:rPr>
      </w:pPr>
      <w:r w:rsidRPr="00EF1C76">
        <w:rPr>
          <w:noProof/>
          <w:lang w:val="en-US"/>
        </w:rPr>
        <w:pict>
          <v:shape id="Picture 8" o:spid="_x0000_i1098" type="#_x0000_t75" style="width:462pt;height:176.25pt;visibility:visible">
            <v:imagedata r:id="rId95" o:title=""/>
          </v:shape>
        </w:pict>
      </w:r>
    </w:p>
    <w:p w:rsidR="00BF14E0" w:rsidRPr="006A444B" w:rsidRDefault="00BF14E0" w:rsidP="00BF14E0">
      <w:pPr>
        <w:spacing w:before="0"/>
        <w:rPr>
          <w:lang w:val="en-US"/>
        </w:rPr>
      </w:pPr>
    </w:p>
    <w:p w:rsidR="00BF14E0" w:rsidRPr="006A444B" w:rsidRDefault="00BF14E0" w:rsidP="00BF14E0">
      <w:pPr>
        <w:rPr>
          <w:lang w:val="en-US"/>
        </w:rPr>
      </w:pPr>
      <w:r w:rsidRPr="006A444B">
        <w:rPr>
          <w:lang w:val="en-US"/>
        </w:rPr>
        <w:t>According to the manufacturer, Powerline adapters with mediaxtreme chip sets (in compliance with G.hn / G.9960 standard) can communicate in the frequency range of 2-30 MHz (HPAV) and 50</w:t>
      </w:r>
      <w:r w:rsidRPr="006A444B">
        <w:rPr>
          <w:lang w:val="en-US"/>
        </w:rPr>
        <w:noBreakHyphen/>
        <w:t>300 MHz. However, the simultaneous use of both spectrums is not (yet) possible. In the case of a data transfer with several TCP connections, it became clear that the communication between two adapters takes place in the 50-305 MHz spectrum range (upper band), see Fig. 5. The levels in this frequency range are approx. 25-30 dB lower than those of the devices from AcBel and Devolo (2</w:t>
      </w:r>
      <w:r w:rsidRPr="006A444B">
        <w:rPr>
          <w:lang w:val="en-US"/>
        </w:rPr>
        <w:noBreakHyphen/>
        <w:t xml:space="preserve">30/32 MHz). Despite the communication in the upper band, powerline devices in compliance with the mediaxtream − G.9960 standard simultaneously show spectral components in the lower band. </w:t>
      </w:r>
    </w:p>
    <w:p w:rsidR="00BF14E0" w:rsidRPr="006A444B" w:rsidRDefault="00BF14E0" w:rsidP="00BF14E0">
      <w:pPr>
        <w:overflowPunct/>
        <w:autoSpaceDE/>
        <w:autoSpaceDN/>
        <w:adjustRightInd/>
        <w:spacing w:before="0"/>
        <w:textAlignment w:val="auto"/>
        <w:rPr>
          <w:b/>
          <w:lang w:val="en-US"/>
        </w:rPr>
      </w:pPr>
      <w:r w:rsidRPr="006A444B">
        <w:rPr>
          <w:lang w:val="en-US"/>
        </w:rPr>
        <w:br w:type="page"/>
      </w:r>
    </w:p>
    <w:p w:rsidR="00BF14E0" w:rsidRPr="006A444B" w:rsidRDefault="00BF14E0" w:rsidP="004F110A">
      <w:pPr>
        <w:pStyle w:val="Heading4"/>
        <w:ind w:right="-142"/>
        <w:rPr>
          <w:lang w:val="en-US"/>
        </w:rPr>
      </w:pPr>
      <w:bookmarkStart w:id="65" w:name="_Toc262725283"/>
      <w:bookmarkStart w:id="66" w:name="_Toc265129581"/>
      <w:r w:rsidRPr="006A444B">
        <w:rPr>
          <w:lang w:val="en-US"/>
        </w:rPr>
        <w:t>A3.2.1.4</w:t>
      </w:r>
      <w:r w:rsidRPr="006A444B">
        <w:rPr>
          <w:lang w:val="en-US"/>
        </w:rPr>
        <w:tab/>
        <w:t>Interference radiation of the Belkin PLT modem “Powerline Gigabit” F5D4076</w:t>
      </w:r>
      <w:r w:rsidRPr="006A444B">
        <w:rPr>
          <w:lang w:val="en-US"/>
        </w:rPr>
        <w:noBreakHyphen/>
        <w:t>S v1</w:t>
      </w:r>
      <w:bookmarkEnd w:id="65"/>
      <w:bookmarkEnd w:id="66"/>
    </w:p>
    <w:p w:rsidR="00BF14E0" w:rsidRPr="006A444B" w:rsidRDefault="00BF14E0" w:rsidP="00BF14E0">
      <w:pPr>
        <w:rPr>
          <w:lang w:val="en-US"/>
        </w:rPr>
      </w:pPr>
      <w:r w:rsidRPr="006A444B">
        <w:rPr>
          <w:lang w:val="en-US"/>
        </w:rPr>
        <w:t>Two mains extension leads, each with a 1.5 m long power cable, wer</w:t>
      </w:r>
      <w:r w:rsidR="004F110A">
        <w:rPr>
          <w:lang w:val="en-US"/>
        </w:rPr>
        <w:t>e connected left and right to a </w:t>
      </w:r>
      <w:r w:rsidRPr="006A444B">
        <w:rPr>
          <w:lang w:val="en-US"/>
        </w:rPr>
        <w:t>mains extension lead connected to the mains wall socket (230 V), allowing for the two extensions</w:t>
      </w:r>
      <w:r w:rsidRPr="006A444B" w:rsidDel="00522304">
        <w:rPr>
          <w:lang w:val="en-US"/>
        </w:rPr>
        <w:t xml:space="preserve"> </w:t>
      </w:r>
      <w:r w:rsidRPr="006A444B">
        <w:rPr>
          <w:lang w:val="en-US"/>
        </w:rPr>
        <w:t xml:space="preserve">to be placed at a distance of 3m on a table (ref. measurement setup in Fig. 6). The Belkin modems were plugged into the outer sockets and connected with two notebooks. Then, data with a net rate of up to 250 Mbit/s (TCP) were transmitted by using the IxChariot software tool. A Schwarzbeck UBAA 9114 antenna was placed at a distance of 3m and a height of 1.5 m. The horizontally and vertically polarized field strength was captured in the 30-320 MHz frequency range. The measurements were taken with the EMC test receiver R&amp;S ESPI. The settings of the test receiver were as follows: </w:t>
      </w:r>
    </w:p>
    <w:p w:rsidR="00BF14E0" w:rsidRPr="006A444B" w:rsidRDefault="00BF14E0" w:rsidP="00BF14E0">
      <w:pPr>
        <w:pStyle w:val="enumlev1"/>
        <w:rPr>
          <w:lang w:val="en-US"/>
        </w:rPr>
      </w:pPr>
      <w:r w:rsidRPr="006A444B">
        <w:rPr>
          <w:lang w:val="en-US"/>
        </w:rPr>
        <w:t>−</w:t>
      </w:r>
      <w:r w:rsidRPr="006A444B">
        <w:rPr>
          <w:lang w:val="en-US"/>
        </w:rPr>
        <w:tab/>
        <w:t>Measuring bandwidth: 120 kHz</w:t>
      </w:r>
    </w:p>
    <w:p w:rsidR="00BF14E0" w:rsidRPr="006A444B" w:rsidRDefault="00BF14E0" w:rsidP="00BF14E0">
      <w:pPr>
        <w:pStyle w:val="enumlev1"/>
        <w:rPr>
          <w:lang w:val="en-US"/>
        </w:rPr>
      </w:pPr>
      <w:r w:rsidRPr="006A444B">
        <w:rPr>
          <w:lang w:val="en-US"/>
        </w:rPr>
        <w:t>−</w:t>
      </w:r>
      <w:r w:rsidRPr="006A444B">
        <w:rPr>
          <w:lang w:val="en-US"/>
        </w:rPr>
        <w:tab/>
        <w:t>Measuring step: 40 kHz</w:t>
      </w:r>
    </w:p>
    <w:p w:rsidR="00BF14E0" w:rsidRPr="006A444B" w:rsidRDefault="00BF14E0" w:rsidP="00BF14E0">
      <w:pPr>
        <w:pStyle w:val="enumlev1"/>
        <w:rPr>
          <w:lang w:val="en-US"/>
        </w:rPr>
      </w:pPr>
      <w:r w:rsidRPr="006A444B">
        <w:rPr>
          <w:lang w:val="en-US"/>
        </w:rPr>
        <w:t>−</w:t>
      </w:r>
      <w:r w:rsidRPr="006A444B">
        <w:rPr>
          <w:lang w:val="en-US"/>
        </w:rPr>
        <w:tab/>
        <w:t>Measuring time: 100 ms</w:t>
      </w:r>
    </w:p>
    <w:p w:rsidR="00BF14E0" w:rsidRPr="006A444B" w:rsidRDefault="00BF14E0" w:rsidP="00BF14E0">
      <w:pPr>
        <w:pStyle w:val="enumlev1"/>
        <w:rPr>
          <w:lang w:val="en-US"/>
        </w:rPr>
      </w:pPr>
      <w:r w:rsidRPr="006A444B">
        <w:rPr>
          <w:lang w:val="en-US"/>
        </w:rPr>
        <w:t>−</w:t>
      </w:r>
      <w:r w:rsidRPr="006A444B">
        <w:rPr>
          <w:lang w:val="en-US"/>
        </w:rPr>
        <w:tab/>
        <w:t>With pre-amplifier</w:t>
      </w:r>
    </w:p>
    <w:p w:rsidR="00BF14E0" w:rsidRPr="006A444B" w:rsidRDefault="00BF14E0" w:rsidP="00BF14E0">
      <w:pPr>
        <w:pStyle w:val="enumlev1"/>
        <w:rPr>
          <w:lang w:val="en-US"/>
        </w:rPr>
      </w:pPr>
      <w:r w:rsidRPr="006A444B">
        <w:rPr>
          <w:lang w:val="en-US"/>
        </w:rPr>
        <w:t>−</w:t>
      </w:r>
      <w:r w:rsidRPr="006A444B">
        <w:rPr>
          <w:lang w:val="en-US"/>
        </w:rPr>
        <w:tab/>
        <w:t>Attenuation: 10 dB</w:t>
      </w:r>
    </w:p>
    <w:p w:rsidR="00BF14E0" w:rsidRPr="006A444B" w:rsidRDefault="00BF14E0" w:rsidP="00BF14E0">
      <w:pPr>
        <w:pStyle w:val="enumlev1"/>
        <w:rPr>
          <w:lang w:val="en-US"/>
        </w:rPr>
      </w:pPr>
      <w:r w:rsidRPr="006A444B">
        <w:rPr>
          <w:lang w:val="en-US"/>
        </w:rPr>
        <w:t>−</w:t>
      </w:r>
      <w:r w:rsidRPr="006A444B">
        <w:rPr>
          <w:lang w:val="en-US"/>
        </w:rPr>
        <w:tab/>
        <w:t xml:space="preserve">Measuring detectors: Peak and RMS (root mean square) </w:t>
      </w:r>
    </w:p>
    <w:p w:rsidR="00BF14E0" w:rsidRPr="004F110A" w:rsidRDefault="00BF14E0" w:rsidP="004F110A">
      <w:pPr>
        <w:pStyle w:val="FigureNo"/>
        <w:rPr>
          <w:sz w:val="20"/>
          <w:lang w:val="en-US"/>
        </w:rPr>
      </w:pPr>
      <w:r w:rsidRPr="004F110A">
        <w:rPr>
          <w:sz w:val="20"/>
          <w:lang w:val="en-US"/>
        </w:rPr>
        <w:t>Figure 6</w:t>
      </w:r>
    </w:p>
    <w:p w:rsidR="00BF14E0" w:rsidRPr="004F110A" w:rsidRDefault="00BF14E0" w:rsidP="004F110A">
      <w:pPr>
        <w:pStyle w:val="Figuretitle"/>
        <w:rPr>
          <w:sz w:val="20"/>
          <w:lang w:val="en-US"/>
        </w:rPr>
      </w:pPr>
      <w:r w:rsidRPr="004F110A">
        <w:rPr>
          <w:sz w:val="20"/>
          <w:lang w:val="en-US"/>
        </w:rPr>
        <w:t>Set-up for the interference radiation measurements</w:t>
      </w:r>
    </w:p>
    <w:p w:rsidR="00BF14E0" w:rsidRPr="006A444B" w:rsidRDefault="00BF14E0" w:rsidP="00BF14E0">
      <w:pPr>
        <w:rPr>
          <w:lang w:val="en-US"/>
        </w:rPr>
      </w:pPr>
    </w:p>
    <w:p w:rsidR="00BF14E0" w:rsidRPr="006A444B" w:rsidRDefault="00566A7F" w:rsidP="00BF14E0">
      <w:pPr>
        <w:rPr>
          <w:lang w:val="en-US"/>
        </w:rPr>
      </w:pPr>
      <w:r w:rsidRPr="00EF1C76">
        <w:rPr>
          <w:noProof/>
          <w:lang w:val="en-US"/>
        </w:rPr>
        <w:pict>
          <v:shape id="Bild 9" o:spid="_x0000_i1099" type="#_x0000_t75" style="width:481.5pt;height:166.5pt;visibility:visible">
            <v:imagedata r:id="rId96" o:title=""/>
          </v:shape>
        </w:pict>
      </w:r>
    </w:p>
    <w:p w:rsidR="00BF14E0" w:rsidRPr="006A444B" w:rsidRDefault="00BF14E0" w:rsidP="00BF14E0">
      <w:pPr>
        <w:rPr>
          <w:lang w:val="en-US"/>
        </w:rPr>
      </w:pPr>
    </w:p>
    <w:p w:rsidR="00BF14E0" w:rsidRPr="006A444B" w:rsidRDefault="00BF14E0" w:rsidP="00BF14E0">
      <w:pPr>
        <w:rPr>
          <w:lang w:val="en-US"/>
        </w:rPr>
      </w:pPr>
      <w:r w:rsidRPr="006A444B">
        <w:rPr>
          <w:lang w:val="en-US"/>
        </w:rPr>
        <w:t>The conversion rate (antenna factor) of the broadband antenna UBAA9114 was entered into the receiver as a value table depending on the reception frequency in order</w:t>
      </w:r>
      <w:r w:rsidR="004F110A">
        <w:rPr>
          <w:lang w:val="en-US"/>
        </w:rPr>
        <w:t>, for the measuring results, to </w:t>
      </w:r>
      <w:r w:rsidRPr="006A444B">
        <w:rPr>
          <w:lang w:val="en-US"/>
        </w:rPr>
        <w:t xml:space="preserve">be directly recorded in dBµV/m. During two measuring runs the peak value and RMS value of the field strength were measured for each frequency. Measurements with a quasi-peak value detector were not made because such a measuring run would take many hours for a single measurement value. Instead, the quasi-peak value detector was intentionally used to replicate the influence of impulse interferences on the human ear during reception of an analog radio program. Except for the FM band, interference above 30 MHz has its effect on digital services for which the interference effect can be better described with RMS and peak values. </w:t>
      </w:r>
    </w:p>
    <w:p w:rsidR="00BF14E0" w:rsidRPr="006A444B" w:rsidRDefault="00BF14E0" w:rsidP="00BF14E0">
      <w:pPr>
        <w:overflowPunct/>
        <w:autoSpaceDE/>
        <w:autoSpaceDN/>
        <w:adjustRightInd/>
        <w:spacing w:before="0"/>
        <w:textAlignment w:val="auto"/>
        <w:rPr>
          <w:lang w:val="en-US"/>
        </w:rPr>
      </w:pPr>
      <w:r w:rsidRPr="006A444B">
        <w:rPr>
          <w:lang w:val="en-US"/>
        </w:rPr>
        <w:br w:type="page"/>
      </w:r>
    </w:p>
    <w:p w:rsidR="00BF14E0" w:rsidRPr="006A444B" w:rsidRDefault="00BF14E0" w:rsidP="00BF14E0">
      <w:pPr>
        <w:rPr>
          <w:lang w:val="en-US"/>
        </w:rPr>
      </w:pPr>
      <w:r w:rsidRPr="006A444B">
        <w:rPr>
          <w:lang w:val="en-US"/>
        </w:rPr>
        <w:t>Following field-strength</w:t>
      </w:r>
      <w:r w:rsidRPr="006A444B" w:rsidDel="00023559">
        <w:rPr>
          <w:lang w:val="en-US"/>
        </w:rPr>
        <w:t xml:space="preserve"> </w:t>
      </w:r>
      <w:r w:rsidRPr="006A444B">
        <w:rPr>
          <w:lang w:val="en-US"/>
        </w:rPr>
        <w:t>values were measured and recorded in horizontal and vertical polarization:</w:t>
      </w:r>
    </w:p>
    <w:p w:rsidR="00BF14E0" w:rsidRPr="006A444B" w:rsidRDefault="00BF14E0" w:rsidP="00BF14E0">
      <w:pPr>
        <w:pStyle w:val="enumlev1"/>
        <w:rPr>
          <w:lang w:val="en-US"/>
        </w:rPr>
      </w:pPr>
      <w:r w:rsidRPr="006A444B">
        <w:rPr>
          <w:lang w:val="en-US"/>
        </w:rPr>
        <w:t>−</w:t>
      </w:r>
      <w:r w:rsidRPr="006A444B">
        <w:rPr>
          <w:lang w:val="en-US"/>
        </w:rPr>
        <w:tab/>
        <w:t>System noise of the measuring receiver (lower reference of measuring system).</w:t>
      </w:r>
    </w:p>
    <w:p w:rsidR="00BF14E0" w:rsidRPr="006A444B" w:rsidRDefault="00BF14E0" w:rsidP="00BF14E0">
      <w:pPr>
        <w:pStyle w:val="enumlev1"/>
        <w:rPr>
          <w:lang w:val="en-US"/>
        </w:rPr>
      </w:pPr>
      <w:r w:rsidRPr="006A444B">
        <w:rPr>
          <w:lang w:val="en-US"/>
        </w:rPr>
        <w:t>−</w:t>
      </w:r>
      <w:r w:rsidRPr="006A444B">
        <w:rPr>
          <w:lang w:val="en-US"/>
        </w:rPr>
        <w:tab/>
        <w:t>Environmental noise.</w:t>
      </w:r>
    </w:p>
    <w:p w:rsidR="00BF14E0" w:rsidRPr="006A444B" w:rsidRDefault="00BF14E0" w:rsidP="00BF14E0">
      <w:pPr>
        <w:pStyle w:val="enumlev1"/>
        <w:rPr>
          <w:lang w:val="en-US"/>
        </w:rPr>
      </w:pPr>
      <w:r w:rsidRPr="006A444B">
        <w:rPr>
          <w:lang w:val="en-US"/>
        </w:rPr>
        <w:t>−</w:t>
      </w:r>
      <w:r w:rsidRPr="006A444B">
        <w:rPr>
          <w:lang w:val="en-US"/>
        </w:rPr>
        <w:tab/>
        <w:t>Interference with modems in idle mode.</w:t>
      </w:r>
    </w:p>
    <w:p w:rsidR="00BF14E0" w:rsidRPr="006A444B" w:rsidRDefault="00BF14E0" w:rsidP="00BF14E0">
      <w:pPr>
        <w:pStyle w:val="enumlev1"/>
        <w:rPr>
          <w:lang w:val="en-US"/>
        </w:rPr>
      </w:pPr>
      <w:r w:rsidRPr="006A444B">
        <w:rPr>
          <w:lang w:val="en-US"/>
        </w:rPr>
        <w:t>−</w:t>
      </w:r>
      <w:r w:rsidRPr="006A444B">
        <w:rPr>
          <w:lang w:val="en-US"/>
        </w:rPr>
        <w:tab/>
        <w:t xml:space="preserve">Interference with modems during data transfer with up to 250 Mbit/s gross data rate. </w:t>
      </w:r>
    </w:p>
    <w:p w:rsidR="00BF14E0" w:rsidRPr="006A444B" w:rsidRDefault="00BF14E0" w:rsidP="00BF14E0">
      <w:pPr>
        <w:rPr>
          <w:lang w:val="en-US"/>
        </w:rPr>
      </w:pPr>
      <w:r w:rsidRPr="006A444B">
        <w:rPr>
          <w:lang w:val="en-US"/>
        </w:rPr>
        <w:t>As upper reference, the limits given in Table 6 of Standard EN 55022 (April 2007)</w:t>
      </w:r>
      <w:r w:rsidRPr="006A444B">
        <w:rPr>
          <w:rStyle w:val="FootnoteReference"/>
          <w:lang w:val="en-US"/>
        </w:rPr>
        <w:footnoteReference w:id="5"/>
      </w:r>
      <w:r w:rsidRPr="006A444B">
        <w:rPr>
          <w:lang w:val="en-US"/>
        </w:rPr>
        <w:t xml:space="preserve"> are entered in the diagrams. The limit values are indicated in quasi-peak values. Quasi-peak values are usually lower than the peak values, but in any case higher than the RMS values. </w:t>
      </w:r>
    </w:p>
    <w:p w:rsidR="00BF14E0" w:rsidRPr="006A444B" w:rsidRDefault="00BF14E0" w:rsidP="00BF14E0">
      <w:pPr>
        <w:pStyle w:val="Heading3"/>
        <w:rPr>
          <w:lang w:val="en-US"/>
        </w:rPr>
      </w:pPr>
      <w:bookmarkStart w:id="67" w:name="_Toc262725284"/>
      <w:bookmarkStart w:id="68" w:name="_Toc265129582"/>
      <w:r w:rsidRPr="006A444B">
        <w:rPr>
          <w:lang w:val="en-US"/>
        </w:rPr>
        <w:t>A3.2.1.5</w:t>
      </w:r>
      <w:r w:rsidRPr="006A444B">
        <w:rPr>
          <w:lang w:val="en-US"/>
        </w:rPr>
        <w:tab/>
        <w:t>Field strength with horizontal polarization</w:t>
      </w:r>
      <w:bookmarkEnd w:id="67"/>
      <w:bookmarkEnd w:id="68"/>
    </w:p>
    <w:p w:rsidR="00BF14E0" w:rsidRPr="0053748E" w:rsidRDefault="00BF14E0" w:rsidP="0053748E">
      <w:pPr>
        <w:pStyle w:val="FigureNo"/>
        <w:rPr>
          <w:sz w:val="20"/>
          <w:lang w:val="en-US"/>
        </w:rPr>
      </w:pPr>
      <w:r w:rsidRPr="0053748E">
        <w:rPr>
          <w:sz w:val="20"/>
          <w:lang w:val="en-US"/>
        </w:rPr>
        <w:t>Figure 7</w:t>
      </w:r>
    </w:p>
    <w:p w:rsidR="00BF14E0" w:rsidRPr="0053748E" w:rsidRDefault="00BF14E0" w:rsidP="0053748E">
      <w:pPr>
        <w:pStyle w:val="Figuretitle"/>
        <w:rPr>
          <w:sz w:val="20"/>
          <w:lang w:val="en-US"/>
        </w:rPr>
      </w:pPr>
      <w:r w:rsidRPr="0053748E">
        <w:rPr>
          <w:sz w:val="20"/>
          <w:lang w:val="en-US"/>
        </w:rPr>
        <w:t>Peak values of the horizontally polarized field strength in dBµV/m</w:t>
      </w:r>
    </w:p>
    <w:p w:rsidR="00BF14E0" w:rsidRPr="006A444B" w:rsidRDefault="00566A7F" w:rsidP="00BF14E0">
      <w:pPr>
        <w:keepNext/>
        <w:spacing w:line="360" w:lineRule="auto"/>
        <w:jc w:val="center"/>
        <w:rPr>
          <w:lang w:val="en-US"/>
        </w:rPr>
      </w:pPr>
      <w:r w:rsidRPr="00EF1C76">
        <w:rPr>
          <w:noProof/>
          <w:lang w:val="en-US"/>
        </w:rPr>
        <w:pict>
          <v:shape id="Picture 10" o:spid="_x0000_i1100" type="#_x0000_t75" style="width:479.25pt;height:175.5pt;visibility:visible">
            <v:imagedata r:id="rId97" o:title=""/>
          </v:shape>
        </w:pict>
      </w:r>
    </w:p>
    <w:p w:rsidR="00BF14E0" w:rsidRPr="006A444B" w:rsidRDefault="00BF14E0" w:rsidP="00BF14E0">
      <w:pPr>
        <w:spacing w:before="0"/>
        <w:rPr>
          <w:highlight w:val="yellow"/>
          <w:lang w:val="en-US"/>
        </w:rPr>
      </w:pPr>
    </w:p>
    <w:p w:rsidR="00BF14E0" w:rsidRPr="006A444B" w:rsidRDefault="00BF14E0" w:rsidP="00BF14E0">
      <w:pPr>
        <w:rPr>
          <w:lang w:val="en-US"/>
        </w:rPr>
      </w:pPr>
      <w:r w:rsidRPr="006A444B">
        <w:rPr>
          <w:lang w:val="en-US"/>
        </w:rPr>
        <w:t xml:space="preserve">The blue line in Fig. 7 represents the smallest measurable field strength that equals the measuring receiver’s system noise. The red line represents the course of the environmental noise (man-made noise) in absence of the modems. Since the measurements were made at the IRT, where many electrical and electronic systems are operating, the environmental noise is rather high (red line); below 150 MHz it is even above the upper limit value line. The peaks </w:t>
      </w:r>
      <w:r w:rsidR="00580FF1">
        <w:rPr>
          <w:lang w:val="en-US"/>
        </w:rPr>
        <w:t>of the field-strength values in </w:t>
      </w:r>
      <w:r w:rsidRPr="006A444B">
        <w:rPr>
          <w:lang w:val="en-US"/>
        </w:rPr>
        <w:t>the 87.5-108 MHz range match the FM signals, those around 220 and 229 MHz range match the DAB signals that can be received at the IRT.</w:t>
      </w:r>
    </w:p>
    <w:p w:rsidR="00BF14E0" w:rsidRPr="006A444B" w:rsidRDefault="00BF14E0" w:rsidP="00BF14E0">
      <w:pPr>
        <w:rPr>
          <w:lang w:val="en-US"/>
        </w:rPr>
      </w:pPr>
      <w:r w:rsidRPr="006A444B">
        <w:rPr>
          <w:lang w:val="en-US"/>
        </w:rPr>
        <w:t xml:space="preserve">When the modems are switched on, the interference field strength increases, as indicated by the green line. During data transfer, the interference field strength again climbs, indicated by the violet line. Above 130 MHz, the level of the interference field strength caused by the modems is some dB above the environmental noise; this means the measured values are correct. The peak values of the modems’ interference during data transfer as well as in idle mode are in excess of the limit values of up to approx. 20 dB. </w:t>
      </w:r>
    </w:p>
    <w:p w:rsidR="00BF14E0" w:rsidRPr="0053748E" w:rsidRDefault="00BF14E0" w:rsidP="0053748E">
      <w:pPr>
        <w:pStyle w:val="FigureNo"/>
        <w:rPr>
          <w:sz w:val="20"/>
          <w:lang w:val="en-US"/>
        </w:rPr>
      </w:pPr>
      <w:r w:rsidRPr="0053748E">
        <w:rPr>
          <w:sz w:val="20"/>
          <w:lang w:val="en-US"/>
        </w:rPr>
        <w:t>Figure 8</w:t>
      </w:r>
    </w:p>
    <w:p w:rsidR="00BF14E0" w:rsidRPr="0053748E" w:rsidRDefault="00BF14E0" w:rsidP="0053748E">
      <w:pPr>
        <w:pStyle w:val="Figuretitle"/>
        <w:rPr>
          <w:sz w:val="20"/>
          <w:lang w:val="en-US"/>
        </w:rPr>
      </w:pPr>
      <w:r w:rsidRPr="0053748E">
        <w:rPr>
          <w:sz w:val="20"/>
          <w:lang w:val="en-US"/>
        </w:rPr>
        <w:t>RMS (Root Mean Square) values of the horizontally polarized field strength in dBµV/m</w:t>
      </w:r>
    </w:p>
    <w:p w:rsidR="00BF14E0" w:rsidRPr="006A444B" w:rsidRDefault="00566A7F" w:rsidP="00BF14E0">
      <w:pPr>
        <w:jc w:val="center"/>
        <w:rPr>
          <w:color w:val="800000"/>
          <w:lang w:val="en-US"/>
        </w:rPr>
      </w:pPr>
      <w:r w:rsidRPr="00EF1C76">
        <w:rPr>
          <w:noProof/>
          <w:lang w:val="en-US"/>
        </w:rPr>
        <w:pict>
          <v:shape id="Picture 11" o:spid="_x0000_i1101" type="#_x0000_t75" style="width:477pt;height:180.75pt;visibility:visible">
            <v:imagedata r:id="rId98" o:title=""/>
          </v:shape>
        </w:pict>
      </w:r>
    </w:p>
    <w:p w:rsidR="00BF14E0" w:rsidRPr="006A444B" w:rsidRDefault="00BF14E0" w:rsidP="00BF14E0">
      <w:pPr>
        <w:spacing w:before="0"/>
        <w:rPr>
          <w:lang w:val="en-US"/>
        </w:rPr>
      </w:pPr>
    </w:p>
    <w:p w:rsidR="00BF14E0" w:rsidRPr="006A444B" w:rsidRDefault="00BF14E0" w:rsidP="00BF14E0">
      <w:pPr>
        <w:rPr>
          <w:lang w:val="en-US"/>
        </w:rPr>
      </w:pPr>
      <w:r w:rsidRPr="006A444B">
        <w:rPr>
          <w:lang w:val="en-US"/>
        </w:rPr>
        <w:t xml:space="preserve">The RMS values in Fig. 8 are approx. 10 dB lower than the respective peak values for permanent interference such as the system noise of the test receiver (blue) and the interference of the modems in operation (violet). The interference of the modems in idle are pulsed, which explains why the different peak value vs. RMS values increased (green lines). The RMS values of the interference of the modems during data transfer are in part also above the limit values. </w:t>
      </w:r>
    </w:p>
    <w:p w:rsidR="00BF14E0" w:rsidRPr="006A444B" w:rsidRDefault="00BF14E0" w:rsidP="00BF14E0">
      <w:pPr>
        <w:pStyle w:val="Heading3"/>
        <w:rPr>
          <w:lang w:val="en-US"/>
        </w:rPr>
      </w:pPr>
      <w:bookmarkStart w:id="69" w:name="_Toc262725285"/>
      <w:bookmarkStart w:id="70" w:name="_Toc265129583"/>
      <w:r w:rsidRPr="006A444B">
        <w:rPr>
          <w:lang w:val="en-US"/>
        </w:rPr>
        <w:t>A3.2.1.6</w:t>
      </w:r>
      <w:r w:rsidRPr="006A444B">
        <w:rPr>
          <w:lang w:val="en-US"/>
        </w:rPr>
        <w:tab/>
        <w:t>Field strength with vertical polarization</w:t>
      </w:r>
      <w:bookmarkEnd w:id="69"/>
      <w:bookmarkEnd w:id="70"/>
    </w:p>
    <w:p w:rsidR="00BF14E0" w:rsidRPr="0053748E" w:rsidRDefault="00BF14E0" w:rsidP="0053748E">
      <w:pPr>
        <w:pStyle w:val="FigureNo"/>
        <w:rPr>
          <w:sz w:val="20"/>
          <w:lang w:val="en-US"/>
        </w:rPr>
      </w:pPr>
      <w:r w:rsidRPr="0053748E">
        <w:rPr>
          <w:sz w:val="20"/>
          <w:lang w:val="en-US"/>
        </w:rPr>
        <w:t>Figure 9</w:t>
      </w:r>
    </w:p>
    <w:p w:rsidR="00BF14E0" w:rsidRPr="0053748E" w:rsidRDefault="00BF14E0" w:rsidP="0053748E">
      <w:pPr>
        <w:pStyle w:val="Figuretitle"/>
        <w:rPr>
          <w:sz w:val="20"/>
          <w:lang w:val="en-US"/>
        </w:rPr>
      </w:pPr>
      <w:r w:rsidRPr="0053748E">
        <w:rPr>
          <w:sz w:val="20"/>
          <w:lang w:val="en-US"/>
        </w:rPr>
        <w:t>Peak values of vertically polarized field strength in dBµV/m</w:t>
      </w:r>
    </w:p>
    <w:p w:rsidR="00BF14E0" w:rsidRPr="006A444B" w:rsidRDefault="00566A7F" w:rsidP="00BF14E0">
      <w:pPr>
        <w:keepNext/>
        <w:spacing w:line="360" w:lineRule="auto"/>
        <w:jc w:val="center"/>
        <w:rPr>
          <w:color w:val="800000"/>
          <w:lang w:val="en-US"/>
        </w:rPr>
      </w:pPr>
      <w:r w:rsidRPr="00EF1C76">
        <w:rPr>
          <w:noProof/>
          <w:lang w:val="en-US"/>
        </w:rPr>
        <w:pict>
          <v:shape id="Picture 12" o:spid="_x0000_i1102" type="#_x0000_t75" style="width:477pt;height:180.75pt;visibility:visible">
            <v:imagedata r:id="rId99" o:title=""/>
          </v:shape>
        </w:pict>
      </w:r>
    </w:p>
    <w:p w:rsidR="00BF14E0" w:rsidRPr="006A444B" w:rsidRDefault="00BF14E0" w:rsidP="00BF14E0">
      <w:pPr>
        <w:spacing w:before="0"/>
        <w:rPr>
          <w:lang w:val="en-US"/>
        </w:rPr>
      </w:pPr>
    </w:p>
    <w:p w:rsidR="00BF14E0" w:rsidRPr="006A444B" w:rsidRDefault="00BF14E0" w:rsidP="00BF14E0">
      <w:pPr>
        <w:rPr>
          <w:lang w:val="en-US"/>
        </w:rPr>
      </w:pPr>
      <w:r w:rsidRPr="006A444B">
        <w:rPr>
          <w:lang w:val="en-US"/>
        </w:rPr>
        <w:t xml:space="preserve">The values in Fig. 7 also apply for the field-strength values in Fig. 9. The DAB signals at 220 MHz and 229 MHz are higher since they are transmitted at a vertical polarization. The peak values of the modems’ interference during data transfer as well as in idle mode are above the limit values in the entire frequency range. </w:t>
      </w:r>
    </w:p>
    <w:p w:rsidR="00BF14E0" w:rsidRPr="00B22903" w:rsidRDefault="00BF14E0" w:rsidP="00B22903">
      <w:pPr>
        <w:pStyle w:val="FigureNo"/>
        <w:rPr>
          <w:sz w:val="20"/>
          <w:lang w:val="en-US"/>
        </w:rPr>
      </w:pPr>
      <w:r w:rsidRPr="00B22903">
        <w:rPr>
          <w:sz w:val="20"/>
          <w:lang w:val="en-US"/>
        </w:rPr>
        <w:t>Figure 10</w:t>
      </w:r>
    </w:p>
    <w:p w:rsidR="00BF14E0" w:rsidRPr="00B22903" w:rsidRDefault="00BF14E0" w:rsidP="00B22903">
      <w:pPr>
        <w:pStyle w:val="Figuretitle"/>
        <w:rPr>
          <w:sz w:val="20"/>
          <w:lang w:val="en-US"/>
        </w:rPr>
      </w:pPr>
      <w:r w:rsidRPr="00B22903">
        <w:rPr>
          <w:sz w:val="20"/>
          <w:lang w:val="en-US"/>
        </w:rPr>
        <w:t>RMS values of the vertically polarized field strength in dBµV/m</w:t>
      </w:r>
    </w:p>
    <w:p w:rsidR="00BF14E0" w:rsidRPr="006A444B" w:rsidRDefault="00566A7F" w:rsidP="00BF14E0">
      <w:pPr>
        <w:jc w:val="center"/>
        <w:rPr>
          <w:color w:val="800000"/>
          <w:lang w:val="en-US"/>
        </w:rPr>
      </w:pPr>
      <w:r w:rsidRPr="00EF1C76">
        <w:rPr>
          <w:noProof/>
          <w:lang w:val="en-US"/>
        </w:rPr>
        <w:pict>
          <v:shape id="Picture 13" o:spid="_x0000_i1103" type="#_x0000_t75" style="width:481.5pt;height:183pt;visibility:visible">
            <v:imagedata r:id="rId100" o:title=""/>
          </v:shape>
        </w:pict>
      </w:r>
    </w:p>
    <w:p w:rsidR="00BF14E0" w:rsidRPr="006A444B" w:rsidRDefault="00BF14E0" w:rsidP="00BF14E0">
      <w:pPr>
        <w:spacing w:before="0" w:line="360" w:lineRule="auto"/>
        <w:rPr>
          <w:lang w:val="en-US"/>
        </w:rPr>
      </w:pPr>
    </w:p>
    <w:p w:rsidR="00BF14E0" w:rsidRPr="006A444B" w:rsidRDefault="00BF14E0" w:rsidP="00BF14E0">
      <w:pPr>
        <w:rPr>
          <w:lang w:val="en-US"/>
        </w:rPr>
      </w:pPr>
      <w:r w:rsidRPr="006A444B">
        <w:rPr>
          <w:lang w:val="en-US"/>
        </w:rPr>
        <w:t>The comment on Fig. 8 also applies to Fig. 10. The RMS values of the modems’ interference during data transfer touch the limits in the 30 to 200 MHz range, the quasi-peak values are above this range at any rate.</w:t>
      </w:r>
    </w:p>
    <w:p w:rsidR="00BF14E0" w:rsidRPr="006A444B" w:rsidRDefault="00BF14E0" w:rsidP="00BF14E0">
      <w:pPr>
        <w:pStyle w:val="Heading4"/>
        <w:rPr>
          <w:sz w:val="32"/>
          <w:szCs w:val="32"/>
          <w:lang w:val="en-US"/>
        </w:rPr>
      </w:pPr>
      <w:bookmarkStart w:id="71" w:name="_Toc262725286"/>
      <w:bookmarkStart w:id="72" w:name="_Toc265129584"/>
      <w:r w:rsidRPr="006A444B">
        <w:rPr>
          <w:lang w:val="en-US"/>
        </w:rPr>
        <w:t>A3.2.1.7</w:t>
      </w:r>
      <w:r w:rsidRPr="006A444B">
        <w:rPr>
          <w:lang w:val="en-US"/>
        </w:rPr>
        <w:tab/>
        <w:t>Conclusion from the IRT measurements</w:t>
      </w:r>
      <w:bookmarkEnd w:id="71"/>
      <w:bookmarkEnd w:id="72"/>
    </w:p>
    <w:p w:rsidR="00BF14E0" w:rsidRPr="006A444B" w:rsidRDefault="00BF14E0" w:rsidP="00BF14E0">
      <w:pPr>
        <w:rPr>
          <w:lang w:val="en-US"/>
        </w:rPr>
      </w:pPr>
      <w:r w:rsidRPr="006A444B">
        <w:rPr>
          <w:lang w:val="en-US"/>
        </w:rPr>
        <w:t>The spectral measurements made on the PLT adapters “Powerline Gigabit” F5D4076 S by Belkin on the one hand show the occupation of frequencies up to 305 MHz, which includes the FM band as well as the DAB band. On the other hand, the interference measurements show that interference due to the modems is stronger than the EN 55022 standard allows in the 30-300 MHz frequency range. One possible solution would be the use of frequency notching in the affected ban</w:t>
      </w:r>
      <w:r w:rsidR="00B22903">
        <w:rPr>
          <w:lang w:val="en-US"/>
        </w:rPr>
        <w:t>ds. The </w:t>
      </w:r>
      <w:r w:rsidRPr="006A444B">
        <w:rPr>
          <w:lang w:val="en-US"/>
        </w:rPr>
        <w:t>manufacturer of the mediaxtream chip set, Gigle, has already offered such consequential actions in case of appropriate feedback.</w:t>
      </w:r>
    </w:p>
    <w:p w:rsidR="00BF14E0" w:rsidRPr="006A444B" w:rsidRDefault="00BF14E0" w:rsidP="00BF14E0">
      <w:pPr>
        <w:pStyle w:val="Heading3"/>
        <w:rPr>
          <w:lang w:val="en-US" w:eastAsia="ja-JP"/>
        </w:rPr>
      </w:pPr>
      <w:bookmarkStart w:id="73" w:name="_Toc223320533"/>
      <w:bookmarkStart w:id="74" w:name="_Toc223575542"/>
      <w:bookmarkStart w:id="75" w:name="_Toc223579819"/>
      <w:bookmarkStart w:id="76" w:name="_Toc241300461"/>
      <w:bookmarkStart w:id="77" w:name="_Toc250971423"/>
      <w:bookmarkStart w:id="78" w:name="_Toc250986709"/>
      <w:bookmarkStart w:id="79" w:name="_Toc251590049"/>
      <w:bookmarkStart w:id="80" w:name="_Toc262725287"/>
      <w:bookmarkStart w:id="81" w:name="_Toc265129585"/>
      <w:r w:rsidRPr="006A444B">
        <w:rPr>
          <w:lang w:val="en-US" w:eastAsia="ja-JP"/>
        </w:rPr>
        <w:t>A3.2.2</w:t>
      </w:r>
      <w:r w:rsidRPr="006A444B">
        <w:rPr>
          <w:lang w:val="en-US" w:eastAsia="ja-JP"/>
        </w:rPr>
        <w:tab/>
        <w:t>Communication Research Centre (</w:t>
      </w:r>
      <w:smartTag w:uri="urn:schemas-microsoft-com:office:smarttags" w:element="country-region">
        <w:smartTag w:uri="urn:schemas-microsoft-com:office:smarttags" w:element="place">
          <w:r w:rsidRPr="006A444B">
            <w:rPr>
              <w:lang w:val="en-US" w:eastAsia="ja-JP"/>
            </w:rPr>
            <w:t>Canada</w:t>
          </w:r>
        </w:smartTag>
      </w:smartTag>
      <w:r w:rsidRPr="006A444B">
        <w:rPr>
          <w:lang w:val="en-US" w:eastAsia="ja-JP"/>
        </w:rPr>
        <w:t>) measurement</w:t>
      </w:r>
      <w:bookmarkEnd w:id="73"/>
      <w:bookmarkEnd w:id="74"/>
      <w:bookmarkEnd w:id="75"/>
      <w:bookmarkEnd w:id="76"/>
      <w:bookmarkEnd w:id="77"/>
      <w:bookmarkEnd w:id="78"/>
      <w:bookmarkEnd w:id="79"/>
      <w:r w:rsidRPr="006A444B">
        <w:rPr>
          <w:lang w:val="en-US" w:eastAsia="ja-JP"/>
        </w:rPr>
        <w:t>s of PLT modems</w:t>
      </w:r>
      <w:bookmarkEnd w:id="80"/>
      <w:bookmarkEnd w:id="81"/>
    </w:p>
    <w:p w:rsidR="00BF14E0" w:rsidRPr="006A444B" w:rsidRDefault="00BF14E0" w:rsidP="00BF14E0">
      <w:pPr>
        <w:rPr>
          <w:lang w:val="en-US" w:eastAsia="ja-JP"/>
        </w:rPr>
      </w:pPr>
      <w:r w:rsidRPr="006A444B">
        <w:rPr>
          <w:lang w:val="en-US" w:eastAsia="ja-JP"/>
        </w:rPr>
        <w:t xml:space="preserve">The Communications Research Centre (CRC, </w:t>
      </w:r>
      <w:smartTag w:uri="urn:schemas-microsoft-com:office:smarttags" w:element="country-region">
        <w:smartTag w:uri="urn:schemas-microsoft-com:office:smarttags" w:element="place">
          <w:r w:rsidRPr="006A444B">
            <w:rPr>
              <w:lang w:val="en-US" w:eastAsia="ja-JP"/>
            </w:rPr>
            <w:t>Canada</w:t>
          </w:r>
        </w:smartTag>
      </w:smartTag>
      <w:r w:rsidRPr="006A444B">
        <w:rPr>
          <w:lang w:val="en-US" w:eastAsia="ja-JP"/>
        </w:rPr>
        <w:t xml:space="preserve">) evaluated a total of eight commercially-available PLT devices representing the various PLT standards. These devices were readily available in the </w:t>
      </w:r>
      <w:smartTag w:uri="urn:schemas-microsoft-com:office:smarttags" w:element="country-region">
        <w:r w:rsidRPr="006A444B">
          <w:rPr>
            <w:lang w:val="en-US" w:eastAsia="ja-JP"/>
          </w:rPr>
          <w:t>United States of America</w:t>
        </w:r>
      </w:smartTag>
      <w:r w:rsidRPr="006A444B">
        <w:rPr>
          <w:lang w:val="en-US" w:eastAsia="ja-JP"/>
        </w:rPr>
        <w:t xml:space="preserve">, </w:t>
      </w:r>
      <w:smartTag w:uri="urn:schemas-microsoft-com:office:smarttags" w:element="country-region">
        <w:r w:rsidRPr="006A444B">
          <w:rPr>
            <w:lang w:val="en-US" w:eastAsia="ja-JP"/>
          </w:rPr>
          <w:t>Canada</w:t>
        </w:r>
      </w:smartTag>
      <w:r w:rsidRPr="006A444B">
        <w:rPr>
          <w:lang w:val="en-US" w:eastAsia="ja-JP"/>
        </w:rPr>
        <w:t xml:space="preserve">, and </w:t>
      </w:r>
      <w:smartTag w:uri="urn:schemas-microsoft-com:office:smarttags" w:element="country-region">
        <w:smartTag w:uri="urn:schemas-microsoft-com:office:smarttags" w:element="place">
          <w:r w:rsidRPr="006A444B">
            <w:rPr>
              <w:lang w:val="en-US" w:eastAsia="ja-JP"/>
            </w:rPr>
            <w:t>Japan</w:t>
          </w:r>
        </w:smartTag>
      </w:smartTag>
      <w:r w:rsidRPr="006A444B">
        <w:rPr>
          <w:lang w:val="en-US" w:eastAsia="ja-JP"/>
        </w:rPr>
        <w:t xml:space="preserve">. The test measurement details and results can be found in the report “Measurements of EM radiation from in-house Power Line Telecommunication (PLT) devices operating in a residential environment − Field Test Report”, Communications Research Centre (Canada), 24 March 2009 at URL: </w:t>
      </w:r>
      <w:hyperlink r:id="rId101" w:history="1">
        <w:r w:rsidRPr="00AC2D76">
          <w:rPr>
            <w:rStyle w:val="Hyperlink"/>
            <w:lang w:val="en-US"/>
          </w:rPr>
          <w:t>http://www.nabanet.com/nabaweb/members/pdf/itur/CRCReport.pdf</w:t>
        </w:r>
      </w:hyperlink>
      <w:r w:rsidRPr="00AC2D76">
        <w:rPr>
          <w:rStyle w:val="Hyperlink"/>
          <w:lang w:val="en-US"/>
        </w:rPr>
        <w:t xml:space="preserve"> </w:t>
      </w:r>
      <w:r w:rsidRPr="006A444B">
        <w:rPr>
          <w:lang w:val="en-US" w:eastAsia="ja-JP"/>
        </w:rPr>
        <w:t xml:space="preserve">or </w:t>
      </w:r>
      <w:hyperlink r:id="rId102" w:history="1">
        <w:r w:rsidRPr="006A444B">
          <w:rPr>
            <w:lang w:val="en-US" w:eastAsia="ja-JP"/>
          </w:rPr>
          <w:t>see the Attachment to the Annex of Document 6A/160</w:t>
        </w:r>
      </w:hyperlink>
      <w:r w:rsidRPr="006A444B">
        <w:rPr>
          <w:lang w:val="en-US" w:eastAsia="ja-JP"/>
        </w:rPr>
        <w:t>. A summary is available in Report ITU-R SM.2158. The tests included measurements up to 110 MHz in order to determine the impact of the PLT devices on the FM broadcasting band.</w:t>
      </w:r>
    </w:p>
    <w:p w:rsidR="00BF14E0" w:rsidRPr="006A444B" w:rsidRDefault="00BF14E0" w:rsidP="00BF14E0">
      <w:pPr>
        <w:pStyle w:val="Heading4"/>
        <w:rPr>
          <w:lang w:val="en-US"/>
        </w:rPr>
      </w:pPr>
      <w:bookmarkStart w:id="82" w:name="_Toc262725288"/>
      <w:bookmarkStart w:id="83" w:name="_Toc265129586"/>
      <w:r w:rsidRPr="006A444B">
        <w:rPr>
          <w:lang w:val="en-US"/>
        </w:rPr>
        <w:t>A3.2.2.1</w:t>
      </w:r>
      <w:r w:rsidRPr="006A444B">
        <w:rPr>
          <w:lang w:val="en-US"/>
        </w:rPr>
        <w:tab/>
        <w:t>CRC measurement procedure and conducted emission results</w:t>
      </w:r>
      <w:bookmarkEnd w:id="82"/>
      <w:bookmarkEnd w:id="83"/>
    </w:p>
    <w:p w:rsidR="00BF14E0" w:rsidRPr="006A444B" w:rsidRDefault="00BF14E0" w:rsidP="00BF14E0">
      <w:pPr>
        <w:rPr>
          <w:lang w:val="en-US"/>
        </w:rPr>
      </w:pPr>
      <w:r w:rsidRPr="006A444B">
        <w:rPr>
          <w:lang w:val="en-US"/>
        </w:rPr>
        <w:t>The measurement of the test bed noise floor from 50 kHz to 1</w:t>
      </w:r>
      <w:r w:rsidR="00B22903">
        <w:rPr>
          <w:lang w:val="en-US"/>
        </w:rPr>
        <w:t>10 MHz is shown in Fig. 11. The </w:t>
      </w:r>
      <w:r w:rsidRPr="006A444B">
        <w:rPr>
          <w:lang w:val="en-US"/>
        </w:rPr>
        <w:t>figure illustrates that the electrical line test setup acted as an antenna that captured signals from other radiocommunication systems. The spikes between 85 MHz and 108 MHz are from local FM radio stations, while other spikes at other frequencies were intermittent and probably caused by other radiocommunication systems. It was necessary to take this into account when looking at the conducted emission results.</w:t>
      </w:r>
    </w:p>
    <w:p w:rsidR="00BF14E0" w:rsidRPr="006A444B" w:rsidRDefault="00BF14E0" w:rsidP="00BF14E0">
      <w:pPr>
        <w:rPr>
          <w:lang w:val="en-US"/>
        </w:rPr>
      </w:pPr>
      <w:r w:rsidRPr="006A444B">
        <w:rPr>
          <w:lang w:val="en-US"/>
        </w:rPr>
        <w:t>The results for PLT devices 2, 3 and 6 are shown in Figs. 12, 13, and 14 respectively. The blue curve shows the conducted signal during data transfer and the green curve (generally, the lower trace) shows the conducted signal in the idle mode. As can be seen in the figures, the signal level in idle mode does not exceed the signal level in data transfer mode. Additionally, the devices tested don’t operate identically in idle mode. PLT devices 2 and 3 were transmitting occasional carriers to keep the channel open and synchronized, while device 6 was constantly transmitting its full signal bandwidth.</w:t>
      </w:r>
    </w:p>
    <w:p w:rsidR="00BF14E0" w:rsidRPr="00B22903" w:rsidRDefault="00BF14E0" w:rsidP="00B22903">
      <w:pPr>
        <w:pStyle w:val="FigureNo"/>
        <w:rPr>
          <w:sz w:val="20"/>
          <w:lang w:val="en-US"/>
        </w:rPr>
      </w:pPr>
      <w:r w:rsidRPr="00B22903">
        <w:rPr>
          <w:sz w:val="20"/>
          <w:lang w:val="en-US"/>
        </w:rPr>
        <w:t>Figure 11</w:t>
      </w:r>
    </w:p>
    <w:p w:rsidR="00BF14E0" w:rsidRPr="00B22903" w:rsidRDefault="00BF14E0" w:rsidP="00B22903">
      <w:pPr>
        <w:pStyle w:val="Figuretitle"/>
        <w:rPr>
          <w:sz w:val="20"/>
          <w:lang w:val="en-US"/>
        </w:rPr>
      </w:pPr>
      <w:r w:rsidRPr="00B22903">
        <w:rPr>
          <w:sz w:val="20"/>
          <w:lang w:val="en-US"/>
        </w:rPr>
        <w:t>Conducted measurements test setup noise floor</w:t>
      </w:r>
    </w:p>
    <w:p w:rsidR="00BF14E0" w:rsidRPr="006A444B" w:rsidRDefault="00566A7F" w:rsidP="00BF14E0">
      <w:pPr>
        <w:jc w:val="center"/>
        <w:rPr>
          <w:lang w:val="en-US"/>
        </w:rPr>
      </w:pPr>
      <w:r w:rsidRPr="00EF1C76">
        <w:rPr>
          <w:noProof/>
          <w:lang w:val="en-US"/>
        </w:rPr>
        <w:pict>
          <v:shape id="Picture 14" o:spid="_x0000_i1104" type="#_x0000_t75" style="width:463.5pt;height:216.75pt;visibility:visible">
            <v:imagedata r:id="rId103" o:title=""/>
          </v:shape>
        </w:pict>
      </w:r>
    </w:p>
    <w:p w:rsidR="00BF14E0" w:rsidRPr="00EB296E" w:rsidRDefault="00BF14E0" w:rsidP="00EB296E">
      <w:pPr>
        <w:pStyle w:val="FigureNo"/>
        <w:spacing w:before="720"/>
        <w:rPr>
          <w:sz w:val="20"/>
          <w:lang w:val="en-US"/>
        </w:rPr>
      </w:pPr>
      <w:r w:rsidRPr="00EB296E">
        <w:rPr>
          <w:sz w:val="20"/>
          <w:lang w:val="en-US"/>
        </w:rPr>
        <w:t>Figure 12</w:t>
      </w:r>
    </w:p>
    <w:p w:rsidR="00BF14E0" w:rsidRPr="00EB296E" w:rsidRDefault="00BF14E0" w:rsidP="00EB296E">
      <w:pPr>
        <w:pStyle w:val="Figuretitle"/>
        <w:rPr>
          <w:sz w:val="20"/>
          <w:lang w:val="en-US"/>
        </w:rPr>
      </w:pPr>
      <w:r w:rsidRPr="00EB296E">
        <w:rPr>
          <w:sz w:val="20"/>
          <w:lang w:val="en-US"/>
        </w:rPr>
        <w:t>Conducted power from Device 2 (HD-PLC standard)</w:t>
      </w:r>
    </w:p>
    <w:p w:rsidR="00BF14E0" w:rsidRPr="006A444B" w:rsidRDefault="00566A7F" w:rsidP="00BF14E0">
      <w:pPr>
        <w:jc w:val="center"/>
        <w:rPr>
          <w:lang w:val="en-US"/>
        </w:rPr>
      </w:pPr>
      <w:r w:rsidRPr="00EF1C76">
        <w:rPr>
          <w:noProof/>
          <w:lang w:val="en-US"/>
        </w:rPr>
        <w:pict>
          <v:shape id="Picture 15" o:spid="_x0000_i1105" type="#_x0000_t75" style="width:430.5pt;height:205.5pt;visibility:visible">
            <v:imagedata r:id="rId104" o:title=""/>
          </v:shape>
        </w:pict>
      </w:r>
    </w:p>
    <w:p w:rsidR="00EB296E" w:rsidRDefault="00EB296E">
      <w:pPr>
        <w:tabs>
          <w:tab w:val="clear" w:pos="794"/>
          <w:tab w:val="clear" w:pos="1191"/>
          <w:tab w:val="clear" w:pos="1588"/>
          <w:tab w:val="clear" w:pos="1985"/>
        </w:tabs>
        <w:overflowPunct/>
        <w:autoSpaceDE/>
        <w:autoSpaceDN/>
        <w:adjustRightInd/>
        <w:spacing w:before="0"/>
        <w:textAlignment w:val="auto"/>
        <w:rPr>
          <w:caps/>
          <w:lang w:val="en-US"/>
        </w:rPr>
      </w:pPr>
      <w:r>
        <w:rPr>
          <w:lang w:val="en-US"/>
        </w:rPr>
        <w:br w:type="page"/>
      </w:r>
    </w:p>
    <w:p w:rsidR="00BF14E0" w:rsidRPr="00EB296E" w:rsidRDefault="00BF14E0" w:rsidP="00EB296E">
      <w:pPr>
        <w:pStyle w:val="FigureNo"/>
        <w:rPr>
          <w:sz w:val="20"/>
          <w:lang w:val="en-US"/>
        </w:rPr>
      </w:pPr>
      <w:r w:rsidRPr="00EB296E">
        <w:rPr>
          <w:sz w:val="20"/>
          <w:lang w:val="en-US"/>
        </w:rPr>
        <w:t>Figure 13</w:t>
      </w:r>
    </w:p>
    <w:p w:rsidR="00BF14E0" w:rsidRPr="00EB296E" w:rsidRDefault="00BF14E0" w:rsidP="00EB296E">
      <w:pPr>
        <w:pStyle w:val="Figuretitle"/>
        <w:rPr>
          <w:sz w:val="20"/>
          <w:lang w:val="en-US"/>
        </w:rPr>
      </w:pPr>
      <w:r w:rsidRPr="00EB296E">
        <w:rPr>
          <w:sz w:val="20"/>
          <w:lang w:val="en-US"/>
        </w:rPr>
        <w:t>Conducted power from Device 3 (Homeplug AV standard)</w:t>
      </w:r>
    </w:p>
    <w:p w:rsidR="00BF14E0" w:rsidRPr="006A444B" w:rsidRDefault="00566A7F" w:rsidP="00BF14E0">
      <w:pPr>
        <w:jc w:val="center"/>
        <w:rPr>
          <w:lang w:val="en-US"/>
        </w:rPr>
      </w:pPr>
      <w:r w:rsidRPr="00EF1C76">
        <w:rPr>
          <w:noProof/>
          <w:lang w:val="en-US"/>
        </w:rPr>
        <w:pict>
          <v:shape id="Picture 16" o:spid="_x0000_i1106" type="#_x0000_t75" style="width:430.5pt;height:205.5pt;visibility:visible">
            <v:imagedata r:id="rId105" o:title=""/>
          </v:shape>
        </w:pict>
      </w:r>
    </w:p>
    <w:p w:rsidR="00BF14E0" w:rsidRPr="00EB296E" w:rsidRDefault="00BF14E0" w:rsidP="00EB296E">
      <w:pPr>
        <w:pStyle w:val="FigureNo"/>
        <w:spacing w:before="720"/>
        <w:rPr>
          <w:sz w:val="20"/>
          <w:lang w:val="en-US"/>
        </w:rPr>
      </w:pPr>
      <w:r w:rsidRPr="00EB296E">
        <w:rPr>
          <w:sz w:val="20"/>
          <w:lang w:val="en-US"/>
        </w:rPr>
        <w:t>Figure 14</w:t>
      </w:r>
    </w:p>
    <w:p w:rsidR="00BF14E0" w:rsidRPr="00EB296E" w:rsidRDefault="00BF14E0" w:rsidP="00EB296E">
      <w:pPr>
        <w:pStyle w:val="Figuretitle"/>
        <w:rPr>
          <w:sz w:val="20"/>
          <w:lang w:val="en-US"/>
        </w:rPr>
      </w:pPr>
      <w:r w:rsidRPr="00EB296E">
        <w:rPr>
          <w:sz w:val="20"/>
          <w:lang w:val="en-US"/>
        </w:rPr>
        <w:t>Conducted power from Device 6 (UPA standard)</w:t>
      </w:r>
    </w:p>
    <w:p w:rsidR="00BF14E0" w:rsidRPr="006A444B" w:rsidRDefault="00566A7F" w:rsidP="00BF14E0">
      <w:pPr>
        <w:jc w:val="center"/>
        <w:rPr>
          <w:lang w:val="en-US"/>
        </w:rPr>
      </w:pPr>
      <w:r w:rsidRPr="00EF1C76">
        <w:rPr>
          <w:noProof/>
          <w:lang w:val="en-US"/>
        </w:rPr>
        <w:pict>
          <v:shape id="Picture 17" o:spid="_x0000_i1107" type="#_x0000_t75" style="width:430.5pt;height:205.5pt;visibility:visible">
            <v:imagedata r:id="rId106" o:title=""/>
          </v:shape>
        </w:pict>
      </w:r>
    </w:p>
    <w:p w:rsidR="00BF14E0" w:rsidRPr="006A444B" w:rsidRDefault="00BF14E0" w:rsidP="00BF14E0">
      <w:pPr>
        <w:spacing w:before="0"/>
        <w:rPr>
          <w:lang w:val="en-US"/>
        </w:rPr>
      </w:pPr>
    </w:p>
    <w:p w:rsidR="00BF14E0" w:rsidRPr="006A444B" w:rsidRDefault="00BF14E0" w:rsidP="00BF14E0">
      <w:pPr>
        <w:pStyle w:val="Heading4"/>
        <w:rPr>
          <w:lang w:val="en-US"/>
        </w:rPr>
      </w:pPr>
      <w:bookmarkStart w:id="84" w:name="_Toc262725289"/>
      <w:bookmarkStart w:id="85" w:name="_Toc265129587"/>
      <w:r w:rsidRPr="006A444B">
        <w:rPr>
          <w:lang w:val="en-US"/>
        </w:rPr>
        <w:t>A3.2.2.2</w:t>
      </w:r>
      <w:r w:rsidRPr="006A444B">
        <w:rPr>
          <w:lang w:val="en-US"/>
        </w:rPr>
        <w:tab/>
        <w:t>Conclusions from the CRC measurements</w:t>
      </w:r>
      <w:bookmarkEnd w:id="84"/>
      <w:bookmarkEnd w:id="85"/>
    </w:p>
    <w:p w:rsidR="00BF14E0" w:rsidRPr="006A444B" w:rsidRDefault="00BF14E0" w:rsidP="00BF14E0">
      <w:pPr>
        <w:rPr>
          <w:lang w:val="en-US"/>
        </w:rPr>
      </w:pPr>
      <w:r w:rsidRPr="006A444B">
        <w:rPr>
          <w:lang w:val="en-US"/>
        </w:rPr>
        <w:t>These results illustrate that even if the PLT device is not transmitting data, the device is actively generating emissions. It is also observed that even if the PLT de</w:t>
      </w:r>
      <w:r w:rsidR="00EB296E">
        <w:rPr>
          <w:lang w:val="en-US"/>
        </w:rPr>
        <w:t>vice operates below 30 MHz, the </w:t>
      </w:r>
      <w:r w:rsidRPr="006A444B">
        <w:rPr>
          <w:lang w:val="en-US"/>
        </w:rPr>
        <w:t>device has emissions at least 20 dB above the noise floor up to 110 MHz.</w:t>
      </w:r>
    </w:p>
    <w:p w:rsidR="00BF14E0" w:rsidRPr="006A444B" w:rsidRDefault="00BF14E0" w:rsidP="00BF14E0">
      <w:pPr>
        <w:pStyle w:val="Heading3"/>
        <w:rPr>
          <w:lang w:val="en-US"/>
        </w:rPr>
      </w:pPr>
      <w:bookmarkStart w:id="86" w:name="_Toc262725290"/>
      <w:bookmarkStart w:id="87" w:name="_Toc265129588"/>
      <w:r w:rsidRPr="006A444B">
        <w:rPr>
          <w:lang w:val="en-US"/>
        </w:rPr>
        <w:t>A3.2.3</w:t>
      </w:r>
      <w:r w:rsidRPr="006A444B">
        <w:rPr>
          <w:lang w:val="en-US"/>
        </w:rPr>
        <w:tab/>
        <w:t>CBS Broadcasting and National Public Radio (NPR) measurements of a “Gigabit” PLT modem</w:t>
      </w:r>
      <w:bookmarkEnd w:id="86"/>
      <w:bookmarkEnd w:id="87"/>
    </w:p>
    <w:p w:rsidR="00BF14E0" w:rsidRPr="006A444B" w:rsidRDefault="00BF14E0" w:rsidP="00BF14E0">
      <w:pPr>
        <w:rPr>
          <w:lang w:val="en-US"/>
        </w:rPr>
      </w:pPr>
      <w:r w:rsidRPr="006A444B">
        <w:rPr>
          <w:lang w:val="en-US"/>
        </w:rPr>
        <w:t>CBS Broadcasting and National Public Radio (NPR) conducted a series of measurements at the NPR Labs similar to those of IRT described in Section 2.1 above. Measurements of conducted emissions were made from a pair of Belkin “Gigabit Powerline HD” F5D4076</w:t>
      </w:r>
      <w:r w:rsidRPr="006A444B">
        <w:rPr>
          <w:lang w:val="en-US"/>
        </w:rPr>
        <w:noBreakHyphen/>
        <w:t>S v2 PLT modems.</w:t>
      </w:r>
    </w:p>
    <w:p w:rsidR="00BF14E0" w:rsidRPr="006A444B" w:rsidRDefault="00BF14E0" w:rsidP="00BF14E0">
      <w:pPr>
        <w:pStyle w:val="Heading4"/>
        <w:rPr>
          <w:lang w:val="en-US"/>
        </w:rPr>
      </w:pPr>
      <w:bookmarkStart w:id="88" w:name="_Toc262725291"/>
      <w:bookmarkStart w:id="89" w:name="_Toc265129589"/>
      <w:r w:rsidRPr="006A444B">
        <w:rPr>
          <w:lang w:val="en-US"/>
        </w:rPr>
        <w:t>A3.2.3.1</w:t>
      </w:r>
      <w:r w:rsidRPr="006A444B">
        <w:rPr>
          <w:lang w:val="en-US"/>
        </w:rPr>
        <w:tab/>
        <w:t>Measurement procedure</w:t>
      </w:r>
      <w:bookmarkEnd w:id="88"/>
      <w:bookmarkEnd w:id="89"/>
    </w:p>
    <w:p w:rsidR="00BF14E0" w:rsidRPr="006A444B" w:rsidRDefault="00BF14E0" w:rsidP="00BF14E0">
      <w:pPr>
        <w:rPr>
          <w:lang w:val="en-US"/>
        </w:rPr>
      </w:pPr>
      <w:r w:rsidRPr="006A444B">
        <w:rPr>
          <w:lang w:val="en-US"/>
        </w:rPr>
        <w:t>A pair of Belkin “Gigabit Powerline HD” PLT modem adapters (Model: F5D4076-S v2) were connected with a two-wire 1.8 meter extension cord and placed within a shielded test box as illustrated in Fig. 15. The shielded box provided AC power line filtering and RF coaxial connections. The PLT adapters were connected to a desktop compu</w:t>
      </w:r>
      <w:r w:rsidR="00EB296E">
        <w:rPr>
          <w:lang w:val="en-US"/>
        </w:rPr>
        <w:t>ter and an Ethernet router to a </w:t>
      </w:r>
      <w:r w:rsidRPr="006A444B">
        <w:rPr>
          <w:lang w:val="en-US"/>
        </w:rPr>
        <w:t>server. File transfers were initiated from the server to the computer.</w:t>
      </w:r>
    </w:p>
    <w:p w:rsidR="00BF14E0" w:rsidRPr="006A444B" w:rsidRDefault="00BF14E0" w:rsidP="00BF14E0">
      <w:pPr>
        <w:rPr>
          <w:lang w:val="en-US"/>
        </w:rPr>
      </w:pPr>
      <w:r w:rsidRPr="006A444B">
        <w:rPr>
          <w:lang w:val="en-US"/>
        </w:rPr>
        <w:t>An Anritsu spectrum analyser Model MS2721A was used to rec</w:t>
      </w:r>
      <w:r w:rsidR="00EB296E">
        <w:rPr>
          <w:lang w:val="en-US"/>
        </w:rPr>
        <w:t>ord the frequency spectrum. The </w:t>
      </w:r>
      <w:r w:rsidRPr="006A444B">
        <w:rPr>
          <w:lang w:val="en-US"/>
        </w:rPr>
        <w:t>spectrum analyser settings were as follows (unless otherwise noted):</w:t>
      </w:r>
    </w:p>
    <w:p w:rsidR="00BF14E0" w:rsidRPr="006A444B" w:rsidRDefault="00BF14E0" w:rsidP="00BF14E0">
      <w:pPr>
        <w:pStyle w:val="enumlev1"/>
        <w:rPr>
          <w:lang w:val="en-US"/>
        </w:rPr>
      </w:pPr>
      <w:r w:rsidRPr="006A444B">
        <w:rPr>
          <w:lang w:val="en-US"/>
        </w:rPr>
        <w:t>−</w:t>
      </w:r>
      <w:r w:rsidRPr="006A444B">
        <w:rPr>
          <w:lang w:val="en-US"/>
        </w:rPr>
        <w:tab/>
        <w:t>Resolution bandwidth (RBW): 1 MHz</w:t>
      </w:r>
    </w:p>
    <w:p w:rsidR="00BF14E0" w:rsidRPr="006A444B" w:rsidRDefault="00BF14E0" w:rsidP="00BF14E0">
      <w:pPr>
        <w:pStyle w:val="enumlev1"/>
        <w:rPr>
          <w:lang w:val="en-US"/>
        </w:rPr>
      </w:pPr>
      <w:r w:rsidRPr="006A444B">
        <w:rPr>
          <w:lang w:val="en-US"/>
        </w:rPr>
        <w:t>−</w:t>
      </w:r>
      <w:r w:rsidRPr="006A444B">
        <w:rPr>
          <w:lang w:val="en-US"/>
        </w:rPr>
        <w:tab/>
        <w:t>Number of measurement steps: 551\</w:t>
      </w:r>
    </w:p>
    <w:p w:rsidR="00BF14E0" w:rsidRPr="006A444B" w:rsidRDefault="00BF14E0" w:rsidP="00BF14E0">
      <w:pPr>
        <w:pStyle w:val="enumlev1"/>
        <w:rPr>
          <w:lang w:val="en-US"/>
        </w:rPr>
      </w:pPr>
      <w:r w:rsidRPr="006A444B">
        <w:rPr>
          <w:lang w:val="en-US"/>
        </w:rPr>
        <w:t>−</w:t>
      </w:r>
      <w:r w:rsidRPr="006A444B">
        <w:rPr>
          <w:lang w:val="en-US"/>
        </w:rPr>
        <w:tab/>
        <w:t>Without preamplifier</w:t>
      </w:r>
    </w:p>
    <w:p w:rsidR="00BF14E0" w:rsidRPr="006A444B" w:rsidRDefault="00BF14E0" w:rsidP="00BF14E0">
      <w:pPr>
        <w:pStyle w:val="enumlev1"/>
        <w:rPr>
          <w:lang w:val="en-US"/>
        </w:rPr>
      </w:pPr>
      <w:r w:rsidRPr="006A444B">
        <w:rPr>
          <w:lang w:val="en-US"/>
        </w:rPr>
        <w:t>−</w:t>
      </w:r>
      <w:r w:rsidRPr="006A444B">
        <w:rPr>
          <w:lang w:val="en-US"/>
        </w:rPr>
        <w:tab/>
        <w:t>Attenuation: 0 dB</w:t>
      </w:r>
    </w:p>
    <w:p w:rsidR="00BF14E0" w:rsidRPr="006A444B" w:rsidRDefault="00BF14E0" w:rsidP="00BF14E0">
      <w:pPr>
        <w:pStyle w:val="enumlev1"/>
        <w:rPr>
          <w:lang w:val="en-US"/>
        </w:rPr>
      </w:pPr>
      <w:r w:rsidRPr="006A444B">
        <w:rPr>
          <w:lang w:val="en-US"/>
        </w:rPr>
        <w:t>−</w:t>
      </w:r>
      <w:r w:rsidRPr="006A444B">
        <w:rPr>
          <w:lang w:val="en-US"/>
        </w:rPr>
        <w:tab/>
        <w:t>Measurement detector: Peak</w:t>
      </w:r>
    </w:p>
    <w:p w:rsidR="00BF14E0" w:rsidRPr="006A444B" w:rsidRDefault="00BF14E0" w:rsidP="00BF14E0">
      <w:pPr>
        <w:pStyle w:val="enumlev1"/>
        <w:rPr>
          <w:lang w:val="en-US"/>
        </w:rPr>
      </w:pPr>
      <w:r w:rsidRPr="006A444B">
        <w:rPr>
          <w:lang w:val="en-US"/>
        </w:rPr>
        <w:t>−</w:t>
      </w:r>
      <w:r w:rsidRPr="006A444B">
        <w:rPr>
          <w:lang w:val="en-US"/>
        </w:rPr>
        <w:tab/>
        <w:t>Trace: Max hold</w:t>
      </w:r>
      <w:r w:rsidR="00EB296E">
        <w:rPr>
          <w:lang w:val="en-US"/>
        </w:rPr>
        <w:t>.</w:t>
      </w:r>
    </w:p>
    <w:p w:rsidR="00BF14E0" w:rsidRPr="006A444B" w:rsidRDefault="00BF14E0" w:rsidP="00BF14E0">
      <w:pPr>
        <w:rPr>
          <w:lang w:val="en-US"/>
        </w:rPr>
      </w:pPr>
      <w:r w:rsidRPr="006A444B">
        <w:rPr>
          <w:lang w:val="en-US"/>
        </w:rPr>
        <w:t>A double wire loop provided coupling from the hot side of the power line to the spectrum analyser. The following results illustrate the signal power as a function frequency as measured by the spectrum analyser.</w:t>
      </w:r>
    </w:p>
    <w:p w:rsidR="00BF14E0" w:rsidRPr="00EB296E" w:rsidRDefault="00BF14E0" w:rsidP="00EB296E">
      <w:pPr>
        <w:pStyle w:val="FigureNo"/>
        <w:rPr>
          <w:sz w:val="20"/>
          <w:lang w:val="en-US"/>
        </w:rPr>
      </w:pPr>
      <w:r w:rsidRPr="00EB296E">
        <w:rPr>
          <w:sz w:val="20"/>
          <w:lang w:val="en-US"/>
        </w:rPr>
        <w:t>Figure 15</w:t>
      </w:r>
    </w:p>
    <w:p w:rsidR="00BF14E0" w:rsidRDefault="00BF14E0" w:rsidP="00EB296E">
      <w:pPr>
        <w:pStyle w:val="Figuretitle"/>
        <w:rPr>
          <w:sz w:val="20"/>
          <w:lang w:val="en-US"/>
        </w:rPr>
      </w:pPr>
      <w:r w:rsidRPr="00EB296E">
        <w:rPr>
          <w:sz w:val="20"/>
          <w:lang w:val="en-US"/>
        </w:rPr>
        <w:t>Measurement setup using a shielded box</w:t>
      </w:r>
    </w:p>
    <w:p w:rsidR="00EB296E" w:rsidRPr="00EB296E" w:rsidRDefault="00EB296E" w:rsidP="00EB296E">
      <w:pPr>
        <w:rPr>
          <w:lang w:val="en-US"/>
        </w:rPr>
      </w:pPr>
    </w:p>
    <w:p w:rsidR="00BF14E0" w:rsidRPr="006A444B" w:rsidRDefault="00566A7F" w:rsidP="00BF14E0">
      <w:pPr>
        <w:jc w:val="center"/>
        <w:rPr>
          <w:lang w:val="en-US"/>
        </w:rPr>
      </w:pPr>
      <w:r w:rsidRPr="00EF1C76">
        <w:rPr>
          <w:noProof/>
          <w:lang w:val="en-US"/>
        </w:rPr>
        <w:pict>
          <v:shape id="Picture 18" o:spid="_x0000_i1108" type="#_x0000_t75" style="width:468.75pt;height:257.25pt;visibility:visible">
            <v:imagedata r:id="rId107" o:title=""/>
          </v:shape>
        </w:pict>
      </w:r>
    </w:p>
    <w:p w:rsidR="00BF14E0" w:rsidRPr="006A444B" w:rsidRDefault="00BF14E0" w:rsidP="00BF14E0">
      <w:pPr>
        <w:overflowPunct/>
        <w:autoSpaceDE/>
        <w:autoSpaceDN/>
        <w:adjustRightInd/>
        <w:spacing w:before="0"/>
        <w:textAlignment w:val="auto"/>
        <w:rPr>
          <w:lang w:val="en-US"/>
        </w:rPr>
      </w:pPr>
    </w:p>
    <w:p w:rsidR="00EB296E" w:rsidRDefault="00EB296E">
      <w:pPr>
        <w:tabs>
          <w:tab w:val="clear" w:pos="794"/>
          <w:tab w:val="clear" w:pos="1191"/>
          <w:tab w:val="clear" w:pos="1588"/>
          <w:tab w:val="clear" w:pos="1985"/>
        </w:tabs>
        <w:overflowPunct/>
        <w:autoSpaceDE/>
        <w:autoSpaceDN/>
        <w:adjustRightInd/>
        <w:spacing w:before="0"/>
        <w:textAlignment w:val="auto"/>
        <w:rPr>
          <w:b/>
          <w:lang w:val="en-US"/>
        </w:rPr>
      </w:pPr>
      <w:bookmarkStart w:id="90" w:name="_Toc262725292"/>
      <w:bookmarkStart w:id="91" w:name="_Toc265129590"/>
      <w:r>
        <w:rPr>
          <w:lang w:val="en-US"/>
        </w:rPr>
        <w:br w:type="page"/>
      </w:r>
    </w:p>
    <w:p w:rsidR="00BF14E0" w:rsidRPr="006A444B" w:rsidRDefault="00BF14E0" w:rsidP="00BF14E0">
      <w:pPr>
        <w:pStyle w:val="Heading4"/>
        <w:rPr>
          <w:lang w:val="en-US"/>
        </w:rPr>
      </w:pPr>
      <w:r w:rsidRPr="006A444B">
        <w:rPr>
          <w:lang w:val="en-US"/>
        </w:rPr>
        <w:t>A3.2.3.2</w:t>
      </w:r>
      <w:r w:rsidRPr="006A444B">
        <w:rPr>
          <w:lang w:val="en-US"/>
        </w:rPr>
        <w:tab/>
        <w:t>Conducted emission measurement results for the Belkin “Gigabit Powerline HD” F5D4076</w:t>
      </w:r>
      <w:r w:rsidRPr="006A444B">
        <w:rPr>
          <w:lang w:val="en-US"/>
        </w:rPr>
        <w:noBreakHyphen/>
        <w:t>S v2 PLT modem</w:t>
      </w:r>
      <w:bookmarkEnd w:id="90"/>
      <w:bookmarkEnd w:id="91"/>
    </w:p>
    <w:p w:rsidR="00BF14E0" w:rsidRPr="006A444B" w:rsidRDefault="00BF14E0" w:rsidP="00BF14E0">
      <w:pPr>
        <w:rPr>
          <w:lang w:val="en-US"/>
        </w:rPr>
      </w:pPr>
      <w:r w:rsidRPr="006A444B">
        <w:rPr>
          <w:lang w:val="en-US"/>
        </w:rPr>
        <w:t xml:space="preserve">Fig. 16 illustrates the signals being carried by the power line between two Belkin “Gigabit Powerline HD” PLT modems (Model: F5D4076 S v2) in the idle state </w:t>
      </w:r>
      <w:r w:rsidR="00EB296E">
        <w:rPr>
          <w:lang w:val="en-US"/>
        </w:rPr>
        <w:t>(no data being transferred). It </w:t>
      </w:r>
      <w:r w:rsidRPr="006A444B">
        <w:rPr>
          <w:lang w:val="en-US"/>
        </w:rPr>
        <w:t>is noted that the adapters have a substantial output up to 300 MHz as was reported by IRT. However, the emissions extend well beyond 300 MHz up to 930 MHz with an additional signal obvious at 1 970 MHz.</w:t>
      </w:r>
    </w:p>
    <w:p w:rsidR="00BF14E0" w:rsidRPr="00EB296E" w:rsidRDefault="00BF14E0" w:rsidP="00EB296E">
      <w:pPr>
        <w:pStyle w:val="FigureNo"/>
        <w:rPr>
          <w:sz w:val="20"/>
          <w:lang w:val="en-US"/>
        </w:rPr>
      </w:pPr>
      <w:r w:rsidRPr="00EB296E">
        <w:rPr>
          <w:sz w:val="20"/>
          <w:lang w:val="en-US"/>
        </w:rPr>
        <w:t>Figure 16</w:t>
      </w:r>
    </w:p>
    <w:p w:rsidR="00BF14E0" w:rsidRPr="00EB296E" w:rsidRDefault="00BF14E0" w:rsidP="00EB296E">
      <w:pPr>
        <w:pStyle w:val="Figuretitle"/>
        <w:rPr>
          <w:sz w:val="20"/>
          <w:lang w:val="en-US"/>
        </w:rPr>
      </w:pPr>
      <w:r w:rsidRPr="00EB296E">
        <w:rPr>
          <w:sz w:val="20"/>
          <w:lang w:val="en-US"/>
        </w:rPr>
        <w:t>Conducted emission from a pair of Belkin “Gigabit Powerline HD” PLT modems (Model: F5D4076</w:t>
      </w:r>
      <w:r w:rsidRPr="00EB296E">
        <w:rPr>
          <w:sz w:val="20"/>
          <w:lang w:val="en-US"/>
        </w:rPr>
        <w:noBreakHyphen/>
        <w:t xml:space="preserve">S v2) − </w:t>
      </w:r>
      <w:r w:rsidR="00EB296E">
        <w:rPr>
          <w:sz w:val="20"/>
          <w:lang w:val="en-US"/>
        </w:rPr>
        <w:br/>
      </w:r>
      <w:r w:rsidRPr="00EB296E">
        <w:rPr>
          <w:sz w:val="20"/>
          <w:lang w:val="en-US"/>
        </w:rPr>
        <w:t>Note that emissions occur up to 1 GHz and beyond at 1.9 GHz (RBW: 3 MHz, Reference level: −30 dBm)</w:t>
      </w:r>
    </w:p>
    <w:p w:rsidR="00BF14E0" w:rsidRPr="006A444B" w:rsidRDefault="00566A7F" w:rsidP="00BF14E0">
      <w:pPr>
        <w:jc w:val="center"/>
        <w:rPr>
          <w:lang w:val="en-US"/>
        </w:rPr>
      </w:pPr>
      <w:r w:rsidRPr="00EF1C76">
        <w:rPr>
          <w:noProof/>
          <w:lang w:val="en-US"/>
        </w:rPr>
        <w:pict>
          <v:shape id="Picture 19" o:spid="_x0000_i1109" type="#_x0000_t75" style="width:471.75pt;height:342.75pt;visibility:visible">
            <v:imagedata r:id="rId108" o:title=""/>
          </v:shape>
        </w:pict>
      </w:r>
    </w:p>
    <w:p w:rsidR="00BF14E0" w:rsidRPr="006A444B" w:rsidRDefault="00BF14E0" w:rsidP="00BF14E0">
      <w:pPr>
        <w:spacing w:before="0"/>
        <w:rPr>
          <w:lang w:val="en-US"/>
        </w:rPr>
      </w:pPr>
    </w:p>
    <w:p w:rsidR="00BF14E0" w:rsidRPr="006A444B" w:rsidRDefault="00BF14E0" w:rsidP="00BF14E0">
      <w:pPr>
        <w:rPr>
          <w:lang w:val="en-US"/>
        </w:rPr>
      </w:pPr>
      <w:r w:rsidRPr="006A444B">
        <w:rPr>
          <w:lang w:val="en-US"/>
        </w:rPr>
        <w:t>Fig. 17 illustrates the conducted emissions from a pair of Belkin “Powerline Gigabit” PLT modems (Model: F5D4076</w:t>
      </w:r>
      <w:r w:rsidRPr="006A444B">
        <w:rPr>
          <w:lang w:val="en-US"/>
        </w:rPr>
        <w:noBreakHyphen/>
        <w:t>S v2) up to 200 MHz with the PLT modems in the idle state (no data being transferred). The upper trace (black) is compared to the noise floor (lower trace in red) of the shielded test box. Note that the PLT modems have substantial emissions up to 27 MHz and again above 70 MHz.</w:t>
      </w:r>
    </w:p>
    <w:p w:rsidR="00EB296E" w:rsidRDefault="00EB296E">
      <w:pPr>
        <w:tabs>
          <w:tab w:val="clear" w:pos="794"/>
          <w:tab w:val="clear" w:pos="1191"/>
          <w:tab w:val="clear" w:pos="1588"/>
          <w:tab w:val="clear" w:pos="1985"/>
        </w:tabs>
        <w:overflowPunct/>
        <w:autoSpaceDE/>
        <w:autoSpaceDN/>
        <w:adjustRightInd/>
        <w:spacing w:before="0"/>
        <w:textAlignment w:val="auto"/>
        <w:rPr>
          <w:caps/>
          <w:sz w:val="20"/>
          <w:lang w:val="en-US"/>
        </w:rPr>
      </w:pPr>
      <w:r>
        <w:rPr>
          <w:sz w:val="20"/>
          <w:lang w:val="en-US"/>
        </w:rPr>
        <w:br w:type="page"/>
      </w:r>
    </w:p>
    <w:p w:rsidR="00BF14E0" w:rsidRPr="00EB296E" w:rsidRDefault="00BF14E0" w:rsidP="00EB296E">
      <w:pPr>
        <w:pStyle w:val="FigureNo"/>
        <w:rPr>
          <w:sz w:val="20"/>
          <w:lang w:val="en-US"/>
        </w:rPr>
      </w:pPr>
      <w:r w:rsidRPr="00EB296E">
        <w:rPr>
          <w:sz w:val="20"/>
          <w:lang w:val="en-US"/>
        </w:rPr>
        <w:t>Figure 17</w:t>
      </w:r>
    </w:p>
    <w:p w:rsidR="00BF14E0" w:rsidRPr="00EB296E" w:rsidRDefault="00BF14E0" w:rsidP="00EB296E">
      <w:pPr>
        <w:pStyle w:val="Figuretitle"/>
        <w:rPr>
          <w:sz w:val="20"/>
          <w:lang w:val="en-US"/>
        </w:rPr>
      </w:pPr>
      <w:r w:rsidRPr="00EB296E">
        <w:rPr>
          <w:sz w:val="20"/>
          <w:lang w:val="en-US"/>
        </w:rPr>
        <w:t>Conducted emissions from a pair of Belkin “Powerline Gigabit” PLT mode</w:t>
      </w:r>
      <w:r w:rsidR="00EB296E">
        <w:rPr>
          <w:sz w:val="20"/>
          <w:lang w:val="en-US"/>
        </w:rPr>
        <w:t>ms (Model: F5D4076</w:t>
      </w:r>
      <w:r w:rsidR="00EB296E">
        <w:rPr>
          <w:sz w:val="20"/>
          <w:lang w:val="en-US"/>
        </w:rPr>
        <w:noBreakHyphen/>
        <w:t>S v2) over a </w:t>
      </w:r>
      <w:r w:rsidRPr="00EB296E">
        <w:rPr>
          <w:sz w:val="20"/>
          <w:lang w:val="en-US"/>
        </w:rPr>
        <w:t>frequency range up to 200 MHz. The upper trace (black) represents th</w:t>
      </w:r>
      <w:r w:rsidR="00EB296E">
        <w:rPr>
          <w:sz w:val="20"/>
          <w:lang w:val="en-US"/>
        </w:rPr>
        <w:t>e emission of modems while idle</w:t>
      </w:r>
      <w:r w:rsidR="00EB296E">
        <w:rPr>
          <w:sz w:val="20"/>
          <w:lang w:val="en-US"/>
        </w:rPr>
        <w:br/>
      </w:r>
      <w:r w:rsidRPr="00EB296E">
        <w:rPr>
          <w:sz w:val="20"/>
          <w:lang w:val="en-US"/>
        </w:rPr>
        <w:t>(no data transfer); the lower trace (red) illustrates the noise floor of the shielded test box</w:t>
      </w:r>
    </w:p>
    <w:p w:rsidR="00BF14E0" w:rsidRPr="006A444B" w:rsidRDefault="00566A7F" w:rsidP="00BF14E0">
      <w:pPr>
        <w:jc w:val="center"/>
        <w:rPr>
          <w:lang w:val="en-US"/>
        </w:rPr>
      </w:pPr>
      <w:r w:rsidRPr="00EF1C76">
        <w:rPr>
          <w:noProof/>
          <w:lang w:val="en-US"/>
        </w:rPr>
        <w:pict>
          <v:shape id="Picture 20" o:spid="_x0000_i1110" type="#_x0000_t75" style="width:471.75pt;height:342.75pt;visibility:visible">
            <v:imagedata r:id="rId109" o:title=""/>
          </v:shape>
        </w:pict>
      </w:r>
    </w:p>
    <w:p w:rsidR="00BF14E0" w:rsidRPr="006A444B" w:rsidRDefault="00BF14E0" w:rsidP="00BF14E0">
      <w:pPr>
        <w:overflowPunct/>
        <w:autoSpaceDE/>
        <w:autoSpaceDN/>
        <w:adjustRightInd/>
        <w:spacing w:before="0"/>
        <w:textAlignment w:val="auto"/>
        <w:rPr>
          <w:lang w:val="en-US"/>
        </w:rPr>
      </w:pPr>
    </w:p>
    <w:p w:rsidR="00BF14E0" w:rsidRPr="006A444B" w:rsidRDefault="00BF14E0" w:rsidP="00BF14E0">
      <w:pPr>
        <w:rPr>
          <w:lang w:val="en-US"/>
        </w:rPr>
      </w:pPr>
      <w:r w:rsidRPr="006A444B">
        <w:rPr>
          <w:lang w:val="en-US"/>
        </w:rPr>
        <w:t>Fig. 18 illustrates the conducted emissions from a pair of Belkin “Powerline Gigabit” PLT modems (Model: F5D4076</w:t>
      </w:r>
      <w:r w:rsidRPr="006A444B">
        <w:rPr>
          <w:lang w:val="en-US"/>
        </w:rPr>
        <w:noBreakHyphen/>
        <w:t>S v2) up to 200 MHz with the PLT modems in the active state (data being transferred). The upper trace (black) is compared to the noise floor (lower trace in red) of the shielded test box. Note that the PLT modems have additional emissions between 27 MHz and 70 MHz.</w:t>
      </w:r>
    </w:p>
    <w:p w:rsidR="00EB296E" w:rsidRDefault="00EB296E">
      <w:pPr>
        <w:tabs>
          <w:tab w:val="clear" w:pos="794"/>
          <w:tab w:val="clear" w:pos="1191"/>
          <w:tab w:val="clear" w:pos="1588"/>
          <w:tab w:val="clear" w:pos="1985"/>
        </w:tabs>
        <w:overflowPunct/>
        <w:autoSpaceDE/>
        <w:autoSpaceDN/>
        <w:adjustRightInd/>
        <w:spacing w:before="0"/>
        <w:textAlignment w:val="auto"/>
        <w:rPr>
          <w:caps/>
          <w:lang w:val="en-US"/>
        </w:rPr>
      </w:pPr>
      <w:r>
        <w:rPr>
          <w:lang w:val="en-US"/>
        </w:rPr>
        <w:br w:type="page"/>
      </w:r>
    </w:p>
    <w:p w:rsidR="00BF14E0" w:rsidRPr="00EB296E" w:rsidRDefault="00BF14E0" w:rsidP="00EB296E">
      <w:pPr>
        <w:pStyle w:val="FigureNo"/>
        <w:rPr>
          <w:sz w:val="20"/>
          <w:lang w:val="en-US"/>
        </w:rPr>
      </w:pPr>
      <w:r w:rsidRPr="00EB296E">
        <w:rPr>
          <w:sz w:val="20"/>
          <w:lang w:val="en-US"/>
        </w:rPr>
        <w:t>Figure 18</w:t>
      </w:r>
    </w:p>
    <w:p w:rsidR="00BF14E0" w:rsidRPr="00EB296E" w:rsidRDefault="00BF14E0" w:rsidP="00EB296E">
      <w:pPr>
        <w:pStyle w:val="Figuretitle"/>
        <w:rPr>
          <w:sz w:val="20"/>
          <w:lang w:val="en-US"/>
        </w:rPr>
      </w:pPr>
      <w:r w:rsidRPr="00EB296E">
        <w:rPr>
          <w:sz w:val="20"/>
          <w:lang w:val="en-US"/>
        </w:rPr>
        <w:t>Conducted emissions from a pair of Belkin “Powerline Gigabit” PLT modems (Mod</w:t>
      </w:r>
      <w:r w:rsidR="00EB296E">
        <w:rPr>
          <w:sz w:val="20"/>
          <w:lang w:val="en-US"/>
        </w:rPr>
        <w:t>el: F5D4076</w:t>
      </w:r>
      <w:r w:rsidR="00EB296E">
        <w:rPr>
          <w:sz w:val="20"/>
          <w:lang w:val="en-US"/>
        </w:rPr>
        <w:noBreakHyphen/>
        <w:t>S v2) over a </w:t>
      </w:r>
      <w:r w:rsidRPr="00EB296E">
        <w:rPr>
          <w:sz w:val="20"/>
          <w:lang w:val="en-US"/>
        </w:rPr>
        <w:t xml:space="preserve">frequency range up to 200 MHz. The upper trace (black) represents the </w:t>
      </w:r>
      <w:r w:rsidR="00EB296E">
        <w:rPr>
          <w:sz w:val="20"/>
          <w:lang w:val="en-US"/>
        </w:rPr>
        <w:t>emission of modems while active</w:t>
      </w:r>
      <w:r w:rsidR="00EB296E">
        <w:rPr>
          <w:sz w:val="20"/>
          <w:lang w:val="en-US"/>
        </w:rPr>
        <w:br/>
      </w:r>
      <w:r w:rsidRPr="00EB296E">
        <w:rPr>
          <w:sz w:val="20"/>
          <w:lang w:val="en-US"/>
        </w:rPr>
        <w:t>(data transfer); the lower trace (red) illustrates the noise floor of the shielded test box</w:t>
      </w:r>
    </w:p>
    <w:p w:rsidR="00BF14E0" w:rsidRPr="006A444B" w:rsidRDefault="00566A7F" w:rsidP="00BF14E0">
      <w:pPr>
        <w:rPr>
          <w:lang w:val="en-US"/>
        </w:rPr>
      </w:pPr>
      <w:r w:rsidRPr="00EF1C76">
        <w:rPr>
          <w:noProof/>
          <w:lang w:val="en-US"/>
        </w:rPr>
        <w:pict>
          <v:shape id="Picture 9" o:spid="_x0000_i1111" type="#_x0000_t75" style="width:478.5pt;height:348pt;visibility:visible">
            <v:imagedata r:id="rId110" o:title=""/>
          </v:shape>
        </w:pict>
      </w:r>
    </w:p>
    <w:p w:rsidR="00BF14E0" w:rsidRPr="006A444B" w:rsidRDefault="00BF14E0" w:rsidP="00BF14E0">
      <w:pPr>
        <w:overflowPunct/>
        <w:autoSpaceDE/>
        <w:autoSpaceDN/>
        <w:adjustRightInd/>
        <w:spacing w:before="0"/>
        <w:textAlignment w:val="auto"/>
        <w:rPr>
          <w:lang w:val="en-US"/>
        </w:rPr>
      </w:pPr>
    </w:p>
    <w:p w:rsidR="00BF14E0" w:rsidRPr="006A444B" w:rsidRDefault="00BF14E0" w:rsidP="00BF14E0">
      <w:pPr>
        <w:pStyle w:val="Heading4"/>
        <w:rPr>
          <w:lang w:val="en-US"/>
        </w:rPr>
      </w:pPr>
      <w:bookmarkStart w:id="92" w:name="_Toc262725293"/>
      <w:bookmarkStart w:id="93" w:name="_Toc265129591"/>
      <w:r w:rsidRPr="006A444B">
        <w:rPr>
          <w:lang w:val="en-US"/>
        </w:rPr>
        <w:t>A3.2.3.3</w:t>
      </w:r>
      <w:r w:rsidRPr="006A444B">
        <w:rPr>
          <w:lang w:val="en-US"/>
        </w:rPr>
        <w:tab/>
        <w:t>FM receiver interference from the Belkin “Gigabit Powerline HD” F5D4076</w:t>
      </w:r>
      <w:r w:rsidRPr="006A444B">
        <w:rPr>
          <w:lang w:val="en-US"/>
        </w:rPr>
        <w:noBreakHyphen/>
        <w:t>S v2 PLT modem</w:t>
      </w:r>
      <w:bookmarkEnd w:id="92"/>
      <w:bookmarkEnd w:id="93"/>
    </w:p>
    <w:p w:rsidR="00BF14E0" w:rsidRPr="006A444B" w:rsidRDefault="00BF14E0" w:rsidP="00BF14E0">
      <w:pPr>
        <w:rPr>
          <w:lang w:val="en-US"/>
        </w:rPr>
      </w:pPr>
      <w:r w:rsidRPr="006A444B">
        <w:rPr>
          <w:lang w:val="en-US"/>
        </w:rPr>
        <w:t>Since it has been clearly shown that the PLT modems will radiate at frequencies well above 27 MHz, a test was performed using a Sony “boombox” FM broadcast receiver in the vicinity of the PLT devices. Fig. 19 illustrates the conducted emissions from a pair of Belkin “Powerline Gigabit” PLT modems (Model: F5D4076-S v2) at a single frequency of 88.1 MHz. The spectrum analyser shows a single sweep as the modems transition from an idle state to an active state (data transfer).</w:t>
      </w:r>
    </w:p>
    <w:p w:rsidR="00BF14E0" w:rsidRPr="006A444B" w:rsidRDefault="00BF14E0" w:rsidP="00BF14E0">
      <w:pPr>
        <w:rPr>
          <w:lang w:val="en-US"/>
        </w:rPr>
      </w:pPr>
      <w:r w:rsidRPr="006A444B">
        <w:rPr>
          <w:lang w:val="en-US"/>
        </w:rPr>
        <w:t>The impact of the PLT interference on the FM broadcast receiver is an annoying and unacceptable “motor-boating” in the audio output. The impulse rate at idle, shown on the left half of the sweep, was approximately 40 per second, which increased during data transfer as shown in the right half.</w:t>
      </w:r>
    </w:p>
    <w:p w:rsidR="00EB296E" w:rsidRDefault="00EB296E">
      <w:pPr>
        <w:tabs>
          <w:tab w:val="clear" w:pos="794"/>
          <w:tab w:val="clear" w:pos="1191"/>
          <w:tab w:val="clear" w:pos="1588"/>
          <w:tab w:val="clear" w:pos="1985"/>
        </w:tabs>
        <w:overflowPunct/>
        <w:autoSpaceDE/>
        <w:autoSpaceDN/>
        <w:adjustRightInd/>
        <w:spacing w:before="0"/>
        <w:textAlignment w:val="auto"/>
        <w:rPr>
          <w:caps/>
          <w:lang w:val="en-US"/>
        </w:rPr>
      </w:pPr>
      <w:r>
        <w:rPr>
          <w:lang w:val="en-US"/>
        </w:rPr>
        <w:br w:type="page"/>
      </w:r>
    </w:p>
    <w:p w:rsidR="00BF14E0" w:rsidRPr="00EB296E" w:rsidRDefault="00BF14E0" w:rsidP="00EB296E">
      <w:pPr>
        <w:pStyle w:val="FigureNo"/>
        <w:rPr>
          <w:sz w:val="20"/>
          <w:lang w:val="en-US"/>
        </w:rPr>
      </w:pPr>
      <w:r w:rsidRPr="00EB296E">
        <w:rPr>
          <w:sz w:val="20"/>
          <w:lang w:val="en-US"/>
        </w:rPr>
        <w:t>Figure 19</w:t>
      </w:r>
    </w:p>
    <w:p w:rsidR="00BF14E0" w:rsidRPr="00EB296E" w:rsidRDefault="00BF14E0" w:rsidP="00EB296E">
      <w:pPr>
        <w:pStyle w:val="Figuretitle"/>
        <w:rPr>
          <w:sz w:val="20"/>
          <w:lang w:val="en-US"/>
        </w:rPr>
      </w:pPr>
      <w:r w:rsidRPr="00EB296E">
        <w:rPr>
          <w:sz w:val="20"/>
          <w:lang w:val="en-US"/>
        </w:rPr>
        <w:t>Conducted emission over a one second interval from a pair of Belkin “Powerline Gigabit” PLT modems (Model: F5D4076</w:t>
      </w:r>
      <w:r w:rsidRPr="00EB296E">
        <w:rPr>
          <w:sz w:val="20"/>
          <w:lang w:val="en-US"/>
        </w:rPr>
        <w:noBreakHyphen/>
        <w:t>S v2) at a single frequency of 88.1 MHz in the FM broadcast band</w:t>
      </w:r>
      <w:r w:rsidR="00EB296E">
        <w:rPr>
          <w:sz w:val="20"/>
          <w:lang w:val="en-US"/>
        </w:rPr>
        <w:t>. The interference is exhibited</w:t>
      </w:r>
      <w:r w:rsidR="00EB296E">
        <w:rPr>
          <w:sz w:val="20"/>
          <w:lang w:val="en-US"/>
        </w:rPr>
        <w:br/>
      </w:r>
      <w:r w:rsidRPr="00EB296E">
        <w:rPr>
          <w:sz w:val="20"/>
          <w:lang w:val="en-US"/>
        </w:rPr>
        <w:t>as a “motor boating” effect in the audio output</w:t>
      </w:r>
    </w:p>
    <w:p w:rsidR="00BF14E0" w:rsidRPr="006A444B" w:rsidRDefault="00566A7F" w:rsidP="00BF14E0">
      <w:pPr>
        <w:jc w:val="center"/>
        <w:rPr>
          <w:lang w:val="en-US"/>
        </w:rPr>
      </w:pPr>
      <w:r w:rsidRPr="00EF1C76">
        <w:rPr>
          <w:noProof/>
          <w:lang w:val="en-US"/>
        </w:rPr>
        <w:pict>
          <v:shape id="_x0000_i1112" type="#_x0000_t75" alt="image(19) crop.jpg" style="width:417.75pt;height:377.25pt;visibility:visible">
            <v:imagedata r:id="rId111" o:title=""/>
          </v:shape>
        </w:pict>
      </w:r>
    </w:p>
    <w:p w:rsidR="00BF14E0" w:rsidRPr="006A444B" w:rsidRDefault="00BF14E0" w:rsidP="00BF14E0">
      <w:pPr>
        <w:rPr>
          <w:lang w:val="en-US"/>
        </w:rPr>
      </w:pPr>
    </w:p>
    <w:p w:rsidR="00BF14E0" w:rsidRPr="006A444B" w:rsidRDefault="00BF14E0" w:rsidP="00BF14E0">
      <w:pPr>
        <w:pStyle w:val="Heading4"/>
        <w:rPr>
          <w:lang w:val="en-US"/>
        </w:rPr>
      </w:pPr>
      <w:bookmarkStart w:id="94" w:name="_Toc262725294"/>
      <w:bookmarkStart w:id="95" w:name="_Toc265129592"/>
      <w:r w:rsidRPr="006A444B">
        <w:rPr>
          <w:lang w:val="en-US"/>
        </w:rPr>
        <w:t>A3.2.3.4</w:t>
      </w:r>
      <w:r w:rsidRPr="006A444B">
        <w:rPr>
          <w:lang w:val="en-US"/>
        </w:rPr>
        <w:tab/>
        <w:t>Conclusions from the CBS/NPR measurements</w:t>
      </w:r>
      <w:bookmarkEnd w:id="94"/>
      <w:bookmarkEnd w:id="95"/>
    </w:p>
    <w:p w:rsidR="00BF14E0" w:rsidRPr="006A444B" w:rsidRDefault="00BF14E0" w:rsidP="00BF14E0">
      <w:pPr>
        <w:rPr>
          <w:lang w:val="en-US"/>
        </w:rPr>
      </w:pPr>
      <w:r w:rsidRPr="006A444B">
        <w:rPr>
          <w:lang w:val="en-US"/>
        </w:rPr>
        <w:t>The CBS Broadcasting and National Public Radio (NPR) series of measurements at the NPR Labs confirm the results obtained by IRT. The Belkin “Gigabit Powerline HD” F5D4076-S v2 PLT modem clearly has emission throughout the radio-frequency spectrum below 1 000 MHz. Furthermore, it is the view of NABA that ITU-T Recommendation G.9960 provides no interference protection to radiocommunication services from these emissions.</w:t>
      </w:r>
    </w:p>
    <w:p w:rsidR="00BF14E0" w:rsidRPr="006A444B" w:rsidRDefault="00BF14E0" w:rsidP="00BF14E0">
      <w:pPr>
        <w:rPr>
          <w:lang w:val="en-US"/>
        </w:rPr>
      </w:pPr>
    </w:p>
    <w:p w:rsidR="00BF14E0" w:rsidRPr="006A444B" w:rsidRDefault="00BF14E0" w:rsidP="00BF14E0">
      <w:pPr>
        <w:rPr>
          <w:lang w:val="en-US"/>
        </w:rPr>
      </w:pPr>
    </w:p>
    <w:p w:rsidR="005F196E" w:rsidRDefault="005F196E">
      <w:pPr>
        <w:tabs>
          <w:tab w:val="clear" w:pos="794"/>
          <w:tab w:val="clear" w:pos="1191"/>
          <w:tab w:val="clear" w:pos="1588"/>
          <w:tab w:val="clear" w:pos="1985"/>
        </w:tabs>
        <w:overflowPunct/>
        <w:autoSpaceDE/>
        <w:autoSpaceDN/>
        <w:adjustRightInd/>
        <w:spacing w:before="0"/>
        <w:textAlignment w:val="auto"/>
        <w:rPr>
          <w:caps/>
          <w:sz w:val="28"/>
          <w:lang w:val="en-US"/>
        </w:rPr>
      </w:pPr>
      <w:r>
        <w:rPr>
          <w:lang w:val="en-US"/>
        </w:rPr>
        <w:br w:type="page"/>
      </w:r>
    </w:p>
    <w:p w:rsidR="00BF14E0" w:rsidRPr="006A444B" w:rsidRDefault="00BF14E0" w:rsidP="00BF14E0">
      <w:pPr>
        <w:pStyle w:val="AnnexNo"/>
        <w:rPr>
          <w:lang w:val="en-US"/>
        </w:rPr>
      </w:pPr>
      <w:r w:rsidRPr="006A444B">
        <w:rPr>
          <w:lang w:val="en-US"/>
        </w:rPr>
        <w:t>Annex 4</w:t>
      </w:r>
    </w:p>
    <w:p w:rsidR="00BF14E0" w:rsidRPr="006A444B" w:rsidRDefault="00BF14E0" w:rsidP="00BF14E0">
      <w:pPr>
        <w:pStyle w:val="Annextitle"/>
        <w:rPr>
          <w:lang w:val="en-US"/>
        </w:rPr>
      </w:pPr>
      <w:bookmarkStart w:id="96" w:name="_Toc265129593"/>
      <w:r w:rsidRPr="006A444B">
        <w:rPr>
          <w:lang w:val="en-US"/>
        </w:rPr>
        <w:t>Design examples of PLT technology using the VHF and UHF bands</w:t>
      </w:r>
      <w:bookmarkEnd w:id="96"/>
    </w:p>
    <w:p w:rsidR="005F196E" w:rsidRDefault="005F196E" w:rsidP="00BF14E0">
      <w:pPr>
        <w:rPr>
          <w:lang w:val="en-US"/>
        </w:rPr>
      </w:pPr>
    </w:p>
    <w:p w:rsidR="00BF14E0" w:rsidRPr="006A444B" w:rsidRDefault="00BF14E0" w:rsidP="00BF14E0">
      <w:pPr>
        <w:rPr>
          <w:lang w:val="en-US"/>
        </w:rPr>
      </w:pPr>
      <w:r w:rsidRPr="006A444B">
        <w:rPr>
          <w:lang w:val="en-US"/>
        </w:rPr>
        <w:t>[TBD]</w:t>
      </w:r>
    </w:p>
    <w:p w:rsidR="00BF14E0" w:rsidRPr="006A444B" w:rsidRDefault="00BF14E0" w:rsidP="00BF14E0">
      <w:pPr>
        <w:rPr>
          <w:lang w:val="en-US"/>
        </w:rPr>
      </w:pPr>
    </w:p>
    <w:p w:rsidR="00BF14E0" w:rsidRPr="00BF14E0" w:rsidRDefault="00BF14E0" w:rsidP="00BF14E0"/>
    <w:sectPr w:rsidR="00BF14E0" w:rsidRPr="00BF14E0" w:rsidSect="00005BA6">
      <w:headerReference w:type="default" r:id="rId112"/>
      <w:footerReference w:type="default" r:id="rId113"/>
      <w:headerReference w:type="first" r:id="rId114"/>
      <w:footerReference w:type="first" r:id="rId115"/>
      <w:pgSz w:w="11907" w:h="16834"/>
      <w:pgMar w:top="1418" w:right="1134" w:bottom="1418" w:left="1134" w:header="720" w:footer="720" w:gutter="0"/>
      <w:paperSrc w:first="15" w:other="15"/>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FF1" w:rsidRDefault="00580FF1">
      <w:r>
        <w:separator/>
      </w:r>
    </w:p>
  </w:endnote>
  <w:endnote w:type="continuationSeparator" w:id="0">
    <w:p w:rsidR="00580FF1" w:rsidRDefault="00580F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Malgun Gothic">
    <w:altName w:val="Dotum"/>
    <w:charset w:val="81"/>
    <w:family w:val="modern"/>
    <w:pitch w:val="variable"/>
    <w:sig w:usb0="00000000" w:usb1="0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reeBuchet MS">
    <w:altName w:val="Times New Roman"/>
    <w:panose1 w:val="00000000000000000000"/>
    <w:charset w:val="00"/>
    <w:family w:val="roman"/>
    <w:notTrueType/>
    <w:pitch w:val="default"/>
    <w:sig w:usb0="00000003" w:usb1="00000000" w:usb2="00000000" w:usb3="00000000" w:csb0="00000001" w:csb1="00000000"/>
  </w:font>
  <w:font w:name="宋体">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FF1" w:rsidRPr="00FF5E2D" w:rsidRDefault="00580FF1" w:rsidP="00BF14E0">
    <w:pPr>
      <w:pStyle w:val="Footer"/>
      <w:rPr>
        <w:lang w:val="pt-BR"/>
      </w:rPr>
    </w:pPr>
    <w:fldSimple w:instr=" FILENAME  \p  \* MERGEFORMAT ">
      <w:r>
        <w:rPr>
          <w:lang w:val="pt-BR"/>
        </w:rPr>
        <w:t>M:\BRSGD\TEXT2010\SG01\WP1A\300\311\311N01e.docx</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FF1" w:rsidRPr="00FF5E2D" w:rsidRDefault="00580FF1" w:rsidP="00BF14E0">
    <w:pPr>
      <w:pStyle w:val="Footer"/>
      <w:rPr>
        <w:lang w:val="pt-BR"/>
      </w:rPr>
    </w:pPr>
    <w:fldSimple w:instr=" FILENAME  \p  \* MERGEFORMAT ">
      <w:r>
        <w:rPr>
          <w:lang w:val="pt-BR"/>
        </w:rPr>
        <w:t>M:\BRSGD\TEXT2010\SG01\WP1A\300\311\311N01e.docx</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FF1" w:rsidRPr="00B23533" w:rsidRDefault="00580FF1" w:rsidP="00B23533">
    <w:pPr>
      <w:pStyle w:val="Footer"/>
    </w:pPr>
    <w:fldSimple w:instr=" FILENAME  \p  \* MERGEFORMAT ">
      <w:r>
        <w:t>M:\BRSGD\TEXT2010\SG01\WP1A\300\311\311N01e.docx</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FF1" w:rsidRPr="00580FF1" w:rsidRDefault="00580FF1" w:rsidP="00580FF1">
    <w:pPr>
      <w:pStyle w:val="Footer"/>
    </w:pPr>
    <w:fldSimple w:instr=" FILENAME  \p  \* MERGEFORMAT ">
      <w:r>
        <w:t>M:\BRSGD\TEXT2010\SG01\WP1A\300\311\311N01e.docx</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FF1" w:rsidRDefault="00580FF1">
      <w:r>
        <w:t>____________________</w:t>
      </w:r>
    </w:p>
  </w:footnote>
  <w:footnote w:type="continuationSeparator" w:id="0">
    <w:p w:rsidR="00580FF1" w:rsidRDefault="00580FF1">
      <w:r>
        <w:continuationSeparator/>
      </w:r>
    </w:p>
  </w:footnote>
  <w:footnote w:id="1">
    <w:p w:rsidR="00580FF1" w:rsidRPr="00580FF1" w:rsidRDefault="00580FF1" w:rsidP="00BF14E0">
      <w:pPr>
        <w:pStyle w:val="FootnoteText"/>
        <w:rPr>
          <w:sz w:val="24"/>
          <w:szCs w:val="24"/>
        </w:rPr>
      </w:pPr>
      <w:r>
        <w:rPr>
          <w:rStyle w:val="FootnoteReference"/>
        </w:rPr>
        <w:footnoteRef/>
      </w:r>
      <w:r>
        <w:tab/>
      </w:r>
      <w:r w:rsidRPr="00580FF1">
        <w:rPr>
          <w:sz w:val="24"/>
          <w:szCs w:val="24"/>
        </w:rPr>
        <w:t xml:space="preserve">RR Nos. </w:t>
      </w:r>
      <w:smartTag w:uri="urn:schemas-microsoft-com:office:smarttags" w:element="PersonName">
        <w:r w:rsidRPr="00580FF1">
          <w:rPr>
            <w:b/>
            <w:bCs/>
            <w:color w:val="000000"/>
            <w:sz w:val="24"/>
            <w:szCs w:val="24"/>
            <w:lang w:val="en-US"/>
          </w:rPr>
          <w:t>1</w:t>
        </w:r>
        <w:smartTag w:uri="urn:schemas-microsoft-com:office:smarttags" w:element="PersonName"/>
        <w:r w:rsidRPr="00580FF1">
          <w:rPr>
            <w:b/>
            <w:bCs/>
            <w:color w:val="000000"/>
            <w:sz w:val="24"/>
            <w:szCs w:val="24"/>
            <w:lang w:val="en-US"/>
          </w:rPr>
          <w:t>5</w:t>
        </w:r>
      </w:smartTag>
      <w:r w:rsidRPr="00580FF1">
        <w:rPr>
          <w:b/>
          <w:bCs/>
          <w:color w:val="000000"/>
          <w:sz w:val="24"/>
          <w:szCs w:val="24"/>
          <w:lang w:val="en-US"/>
        </w:rPr>
        <w:t>.</w:t>
      </w:r>
      <w:smartTag w:uri="urn:schemas-microsoft-com:office:smarttags" w:element="PersonName">
        <w:r w:rsidRPr="00580FF1">
          <w:rPr>
            <w:b/>
            <w:bCs/>
            <w:color w:val="000000"/>
            <w:sz w:val="24"/>
            <w:szCs w:val="24"/>
            <w:lang w:val="en-US"/>
          </w:rPr>
          <w:t>1</w:t>
        </w:r>
        <w:smartTag w:uri="urn:schemas-microsoft-com:office:smarttags" w:element="PersonName"/>
        <w:r w:rsidRPr="00580FF1">
          <w:rPr>
            <w:b/>
            <w:bCs/>
            <w:color w:val="000000"/>
            <w:sz w:val="24"/>
            <w:szCs w:val="24"/>
            <w:lang w:val="en-US"/>
          </w:rPr>
          <w:t>2</w:t>
        </w:r>
      </w:smartTag>
      <w:r w:rsidRPr="00580FF1">
        <w:rPr>
          <w:b/>
          <w:bCs/>
          <w:color w:val="000000"/>
          <w:sz w:val="24"/>
          <w:szCs w:val="24"/>
          <w:lang w:val="en-US"/>
        </w:rPr>
        <w:t>.</w:t>
      </w:r>
      <w:smartTag w:uri="urn:schemas-microsoft-com:office:smarttags" w:element="PersonName">
        <w:r w:rsidRPr="00580FF1">
          <w:rPr>
            <w:b/>
            <w:bCs/>
            <w:color w:val="000000"/>
            <w:sz w:val="24"/>
            <w:szCs w:val="24"/>
            <w:lang w:val="en-US"/>
          </w:rPr>
          <w:t>1</w:t>
        </w:r>
      </w:smartTag>
      <w:r w:rsidRPr="00580FF1">
        <w:rPr>
          <w:color w:val="000000"/>
          <w:sz w:val="24"/>
          <w:szCs w:val="24"/>
          <w:lang w:val="en-US"/>
        </w:rPr>
        <w:t xml:space="preserve"> and </w:t>
      </w:r>
      <w:smartTag w:uri="urn:schemas-microsoft-com:office:smarttags" w:element="PersonName">
        <w:r w:rsidRPr="00580FF1">
          <w:rPr>
            <w:b/>
            <w:bCs/>
            <w:color w:val="000000"/>
            <w:sz w:val="24"/>
            <w:szCs w:val="24"/>
            <w:lang w:val="en-US"/>
          </w:rPr>
          <w:t>1</w:t>
        </w:r>
        <w:smartTag w:uri="urn:schemas-microsoft-com:office:smarttags" w:element="PersonName"/>
        <w:r w:rsidRPr="00580FF1">
          <w:rPr>
            <w:b/>
            <w:bCs/>
            <w:color w:val="000000"/>
            <w:sz w:val="24"/>
            <w:szCs w:val="24"/>
            <w:lang w:val="en-US"/>
          </w:rPr>
          <w:t>5</w:t>
        </w:r>
      </w:smartTag>
      <w:r w:rsidRPr="00580FF1">
        <w:rPr>
          <w:b/>
          <w:bCs/>
          <w:color w:val="000000"/>
          <w:sz w:val="24"/>
          <w:szCs w:val="24"/>
          <w:lang w:val="en-US"/>
        </w:rPr>
        <w:t>.</w:t>
      </w:r>
      <w:smartTag w:uri="urn:schemas-microsoft-com:office:smarttags" w:element="PersonName">
        <w:r w:rsidRPr="00580FF1">
          <w:rPr>
            <w:b/>
            <w:bCs/>
            <w:color w:val="000000"/>
            <w:sz w:val="24"/>
            <w:szCs w:val="24"/>
            <w:lang w:val="en-US"/>
          </w:rPr>
          <w:t>1</w:t>
        </w:r>
      </w:smartTag>
      <w:r w:rsidRPr="00580FF1">
        <w:rPr>
          <w:b/>
          <w:bCs/>
          <w:color w:val="000000"/>
          <w:sz w:val="24"/>
          <w:szCs w:val="24"/>
          <w:lang w:val="en-US"/>
        </w:rPr>
        <w:t>3.1</w:t>
      </w:r>
      <w:r w:rsidRPr="00580FF1">
        <w:rPr>
          <w:color w:val="000000"/>
          <w:sz w:val="24"/>
          <w:szCs w:val="24"/>
          <w:lang w:val="en-US"/>
        </w:rPr>
        <w:t xml:space="preserve">   In this matter, administrations should be guided by the latest relevant ITU</w:t>
      </w:r>
      <w:r w:rsidRPr="00580FF1">
        <w:rPr>
          <w:color w:val="000000"/>
          <w:sz w:val="24"/>
          <w:szCs w:val="24"/>
          <w:lang w:val="en-US"/>
        </w:rPr>
        <w:noBreakHyphen/>
        <w:t>R Recommendations.”</w:t>
      </w:r>
    </w:p>
  </w:footnote>
  <w:footnote w:id="2">
    <w:p w:rsidR="00580FF1" w:rsidRDefault="00580FF1" w:rsidP="00BF14E0">
      <w:pPr>
        <w:pStyle w:val="FootnoteText"/>
      </w:pPr>
      <w:r>
        <w:rPr>
          <w:rStyle w:val="FootnoteReference"/>
        </w:rPr>
        <w:footnoteRef/>
      </w:r>
      <w:r>
        <w:tab/>
      </w:r>
      <w:r w:rsidRPr="00916DC1">
        <w:rPr>
          <w:sz w:val="24"/>
          <w:szCs w:val="24"/>
        </w:rPr>
        <w:t>M. Kitagawa and T. Ohira, “Mixed-mode scattering matrix of a balanced transmission line unilaterally loaded with a stub in series</w:t>
      </w:r>
      <w:r w:rsidRPr="00916DC1">
        <w:rPr>
          <w:sz w:val="24"/>
          <w:szCs w:val="24"/>
          <w:lang w:eastAsia="ja-JP"/>
        </w:rPr>
        <w:t xml:space="preserve"> − Pencil-and-paper formulation −</w:t>
      </w:r>
      <w:r w:rsidRPr="00916DC1">
        <w:rPr>
          <w:sz w:val="24"/>
          <w:szCs w:val="24"/>
        </w:rPr>
        <w:t xml:space="preserve">”, IEICE </w:t>
      </w:r>
      <w:r w:rsidRPr="00916DC1">
        <w:rPr>
          <w:sz w:val="24"/>
          <w:szCs w:val="24"/>
          <w:lang w:eastAsia="ja-JP"/>
        </w:rPr>
        <w:t xml:space="preserve">Tech. Rep. </w:t>
      </w:r>
      <w:r w:rsidRPr="00916DC1">
        <w:rPr>
          <w:sz w:val="24"/>
          <w:szCs w:val="24"/>
        </w:rPr>
        <w:t>MW (July 2010).</w:t>
      </w:r>
    </w:p>
  </w:footnote>
  <w:footnote w:id="3">
    <w:p w:rsidR="00580FF1" w:rsidRDefault="00580FF1" w:rsidP="00580FF1">
      <w:pPr>
        <w:pStyle w:val="FootnoteText"/>
        <w:ind w:right="-567"/>
      </w:pPr>
      <w:r>
        <w:rPr>
          <w:rStyle w:val="FootnoteReference"/>
        </w:rPr>
        <w:footnoteRef/>
      </w:r>
      <w:r w:rsidRPr="00211DE5">
        <w:t xml:space="preserve"> </w:t>
      </w:r>
      <w:r>
        <w:tab/>
      </w:r>
      <w:r w:rsidRPr="00580FF1">
        <w:rPr>
          <w:rFonts w:asciiTheme="majorBidi" w:hAnsiTheme="majorBidi" w:cstheme="majorBidi"/>
          <w:sz w:val="24"/>
          <w:szCs w:val="24"/>
        </w:rPr>
        <w:t xml:space="preserve">ECC Report 024 (2003), PLT, DSL, Cable Communications (including Cable TV), LANs and their effect on Radio Services, </w:t>
      </w:r>
      <w:hyperlink r:id="rId1" w:history="1">
        <w:r w:rsidRPr="00580FF1">
          <w:rPr>
            <w:rStyle w:val="Hyperlink"/>
            <w:rFonts w:asciiTheme="majorBidi" w:hAnsiTheme="majorBidi" w:cstheme="majorBidi"/>
            <w:sz w:val="24"/>
            <w:szCs w:val="24"/>
          </w:rPr>
          <w:t>http://www.erodocdb.dk/doks/doccategoryECC.aspx?doccatid=4&amp;alldata=1</w:t>
        </w:r>
      </w:hyperlink>
      <w:r w:rsidRPr="00580FF1">
        <w:rPr>
          <w:rFonts w:asciiTheme="majorBidi" w:hAnsiTheme="majorBidi" w:cstheme="majorBidi"/>
          <w:sz w:val="24"/>
          <w:szCs w:val="24"/>
        </w:rPr>
        <w:t>.</w:t>
      </w:r>
      <w:r>
        <w:rPr>
          <w:rFonts w:ascii="TreeBuchet MS" w:hAnsi="TreeBuchet MS"/>
        </w:rPr>
        <w:t xml:space="preserve"> </w:t>
      </w:r>
    </w:p>
  </w:footnote>
  <w:footnote w:id="4">
    <w:p w:rsidR="00580FF1" w:rsidRPr="00CE3B3C" w:rsidRDefault="00580FF1" w:rsidP="004F110A">
      <w:pPr>
        <w:pStyle w:val="FootnoteText"/>
        <w:rPr>
          <w:sz w:val="24"/>
          <w:szCs w:val="24"/>
        </w:rPr>
      </w:pPr>
      <w:r>
        <w:rPr>
          <w:rStyle w:val="FootnoteReference"/>
        </w:rPr>
        <w:footnoteRef/>
      </w:r>
      <w:r w:rsidRPr="008F236C">
        <w:t xml:space="preserve"> </w:t>
      </w:r>
      <w:r>
        <w:tab/>
      </w:r>
      <w:r w:rsidRPr="00CE3B3C">
        <w:rPr>
          <w:sz w:val="24"/>
          <w:szCs w:val="24"/>
        </w:rPr>
        <w:t>ITU-R, Document 1A/157, Compatibility between HF aeron</w:t>
      </w:r>
      <w:r w:rsidR="00CE3B3C">
        <w:rPr>
          <w:sz w:val="24"/>
          <w:szCs w:val="24"/>
        </w:rPr>
        <w:t>autical Mobile radio and PLT In</w:t>
      </w:r>
      <w:r w:rsidR="00CE3B3C">
        <w:rPr>
          <w:sz w:val="24"/>
          <w:szCs w:val="24"/>
        </w:rPr>
        <w:noBreakHyphen/>
      </w:r>
      <w:r w:rsidRPr="00CE3B3C">
        <w:rPr>
          <w:sz w:val="24"/>
          <w:szCs w:val="24"/>
        </w:rPr>
        <w:t xml:space="preserve">house devices, 2009, </w:t>
      </w:r>
      <w:smartTag w:uri="urn:schemas-microsoft-com:office:smarttags" w:element="country-region">
        <w:smartTag w:uri="urn:schemas-microsoft-com:office:smarttags" w:element="place">
          <w:r w:rsidRPr="00CE3B3C">
            <w:rPr>
              <w:sz w:val="24"/>
              <w:szCs w:val="24"/>
            </w:rPr>
            <w:t>Germany</w:t>
          </w:r>
        </w:smartTag>
      </w:smartTag>
      <w:r w:rsidRPr="00CE3B3C">
        <w:rPr>
          <w:sz w:val="24"/>
          <w:szCs w:val="24"/>
        </w:rPr>
        <w:t>.</w:t>
      </w:r>
    </w:p>
  </w:footnote>
  <w:footnote w:id="5">
    <w:p w:rsidR="00580FF1" w:rsidRPr="00580FF1" w:rsidRDefault="00580FF1" w:rsidP="00BF14E0">
      <w:pPr>
        <w:pStyle w:val="FootnoteText"/>
        <w:rPr>
          <w:sz w:val="24"/>
          <w:szCs w:val="24"/>
        </w:rPr>
      </w:pPr>
      <w:r w:rsidRPr="00DE76E3">
        <w:rPr>
          <w:rStyle w:val="FootnoteReference"/>
        </w:rPr>
        <w:footnoteRef/>
      </w:r>
      <w:r>
        <w:tab/>
      </w:r>
      <w:r w:rsidRPr="00580FF1">
        <w:rPr>
          <w:sz w:val="24"/>
          <w:szCs w:val="24"/>
        </w:rPr>
        <w:t>CENELEC EN 55022: 2006; Information technology equipment − Radio interference characteristics − Limits and methods of measurement (CISPR 22: 2005 (modified)).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FF1" w:rsidRDefault="00580FF1" w:rsidP="00BF14E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r>
      <w:rPr>
        <w:rStyle w:val="PageNumber"/>
      </w:rPr>
      <w:t xml:space="preserve"> -</w:t>
    </w:r>
  </w:p>
  <w:p w:rsidR="00580FF1" w:rsidRDefault="00580FF1" w:rsidP="00BF14E0">
    <w:pPr>
      <w:pStyle w:val="Header"/>
      <w:rPr>
        <w:lang w:val="en-US"/>
      </w:rPr>
    </w:pPr>
    <w:r>
      <w:rPr>
        <w:lang w:val="en-US"/>
      </w:rPr>
      <w:t>1A/311(Annex 1) -E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FF1" w:rsidRDefault="00580FF1"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CE3B3C">
      <w:rPr>
        <w:rStyle w:val="PageNumber"/>
        <w:noProof/>
      </w:rPr>
      <w:t>32</w:t>
    </w:r>
    <w:r>
      <w:rPr>
        <w:rStyle w:val="PageNumber"/>
      </w:rPr>
      <w:fldChar w:fldCharType="end"/>
    </w:r>
    <w:r>
      <w:rPr>
        <w:rStyle w:val="PageNumber"/>
      </w:rPr>
      <w:t xml:space="preserve"> -</w:t>
    </w:r>
  </w:p>
  <w:p w:rsidR="00580FF1" w:rsidRDefault="00580FF1" w:rsidP="00580FF1">
    <w:pPr>
      <w:pStyle w:val="Header"/>
      <w:rPr>
        <w:lang w:val="en-US"/>
      </w:rPr>
    </w:pPr>
    <w:r>
      <w:rPr>
        <w:lang w:val="en-US"/>
      </w:rPr>
      <w:t>1A/311 (Annex 1)-E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FF1" w:rsidRDefault="00580FF1">
    <w:pPr>
      <w:pStyle w:val="Header"/>
    </w:pPr>
    <w:r>
      <w:t xml:space="preserve">- </w:t>
    </w:r>
    <w:sdt>
      <w:sdtPr>
        <w:id w:val="248803563"/>
        <w:docPartObj>
          <w:docPartGallery w:val="Page Numbers (Top of Page)"/>
          <w:docPartUnique/>
        </w:docPartObj>
      </w:sdtPr>
      <w:sdtContent>
        <w:fldSimple w:instr=" PAGE   \* MERGEFORMAT ">
          <w:r>
            <w:rPr>
              <w:noProof/>
            </w:rPr>
            <w:t>9</w:t>
          </w:r>
        </w:fldSimple>
        <w:r>
          <w:t xml:space="preserve"> -</w:t>
        </w:r>
      </w:sdtContent>
    </w:sdt>
  </w:p>
  <w:p w:rsidR="00580FF1" w:rsidRDefault="00580FF1">
    <w:pPr>
      <w:pStyle w:val="Header"/>
    </w:pPr>
    <w:r>
      <w:t>1A/311 (Annex 1)-E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6"/>
      <w:numFmt w:val="decimal"/>
      <w:lvlText w:val="%1."/>
      <w:lvlJc w:val="left"/>
      <w:pPr>
        <w:tabs>
          <w:tab w:val="num" w:pos="705"/>
        </w:tabs>
        <w:ind w:left="705" w:hanging="705"/>
      </w:pPr>
      <w:rPr>
        <w:rFonts w:cs="Times New Roman"/>
      </w:rPr>
    </w:lvl>
    <w:lvl w:ilvl="1">
      <w:start w:val="1"/>
      <w:numFmt w:val="decimal"/>
      <w:lvlText w:val="(%2)"/>
      <w:lvlJc w:val="left"/>
      <w:pPr>
        <w:tabs>
          <w:tab w:val="num" w:pos="780"/>
        </w:tabs>
        <w:ind w:left="780" w:hanging="360"/>
      </w:pPr>
      <w:rPr>
        <w:rFonts w:cs="Times New Roman"/>
      </w:rPr>
    </w:lvl>
    <w:lvl w:ilvl="2">
      <w:start w:val="1"/>
      <w:numFmt w:val="decimal"/>
      <w:lvlText w:val="%3"/>
      <w:lvlJc w:val="lef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decimal"/>
      <w:lvlText w:val="(%5)"/>
      <w:lvlJc w:val="left"/>
      <w:pPr>
        <w:tabs>
          <w:tab w:val="num" w:pos="2100"/>
        </w:tabs>
        <w:ind w:left="2100" w:hanging="420"/>
      </w:pPr>
      <w:rPr>
        <w:rFonts w:cs="Times New Roman"/>
      </w:rPr>
    </w:lvl>
    <w:lvl w:ilvl="5">
      <w:start w:val="1"/>
      <w:numFmt w:val="decimal"/>
      <w:lvlText w:val="%6"/>
      <w:lvlJc w:val="lef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decimal"/>
      <w:lvlText w:val="(%8)"/>
      <w:lvlJc w:val="left"/>
      <w:pPr>
        <w:tabs>
          <w:tab w:val="num" w:pos="3360"/>
        </w:tabs>
        <w:ind w:left="3360" w:hanging="420"/>
      </w:pPr>
      <w:rPr>
        <w:rFonts w:cs="Times New Roman"/>
      </w:rPr>
    </w:lvl>
    <w:lvl w:ilvl="8">
      <w:start w:val="1"/>
      <w:numFmt w:val="decimal"/>
      <w:lvlText w:val="%9"/>
      <w:lvlJc w:val="left"/>
      <w:pPr>
        <w:tabs>
          <w:tab w:val="num" w:pos="3780"/>
        </w:tabs>
        <w:ind w:left="3780" w:hanging="420"/>
      </w:pPr>
      <w:rPr>
        <w:rFonts w:cs="Times New Roman"/>
      </w:rPr>
    </w:lvl>
  </w:abstractNum>
  <w:abstractNum w:abstractNumId="1">
    <w:nsid w:val="00000002"/>
    <w:multiLevelType w:val="multilevel"/>
    <w:tmpl w:val="00000002"/>
    <w:name w:val="WW8Num2"/>
    <w:lvl w:ilvl="0">
      <w:start w:val="3"/>
      <w:numFmt w:val="decimal"/>
      <w:lvlText w:val="%1."/>
      <w:lvlJc w:val="left"/>
      <w:pPr>
        <w:tabs>
          <w:tab w:val="num" w:pos="283"/>
        </w:tabs>
        <w:ind w:left="283" w:hanging="283"/>
      </w:pPr>
      <w:rPr>
        <w:rFonts w:cs="Times New Roman"/>
      </w:rPr>
    </w:lvl>
    <w:lvl w:ilvl="1">
      <w:start w:val="1"/>
      <w:numFmt w:val="decimal"/>
      <w:lvlText w:val="%2."/>
      <w:lvlJc w:val="left"/>
      <w:pPr>
        <w:tabs>
          <w:tab w:val="num" w:pos="567"/>
        </w:tabs>
        <w:ind w:left="567" w:hanging="283"/>
      </w:pPr>
      <w:rPr>
        <w:rFonts w:cs="Times New Roman"/>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CA" w:vendorID="64" w:dllVersion="131078" w:nlCheck="1" w:checkStyle="1"/>
  <w:attachedTemplate r:id="rId1"/>
  <w:stylePaneFormatFilter w:val="3F01"/>
  <w:defaultTabStop w:val="720"/>
  <w:doNotHyphenateCaps/>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rsids>
    <w:rsidRoot w:val="00513A51"/>
    <w:rsid w:val="00002C66"/>
    <w:rsid w:val="00005BA6"/>
    <w:rsid w:val="000069D4"/>
    <w:rsid w:val="000174AD"/>
    <w:rsid w:val="00064B65"/>
    <w:rsid w:val="000741AD"/>
    <w:rsid w:val="00092136"/>
    <w:rsid w:val="00095F85"/>
    <w:rsid w:val="000A7D55"/>
    <w:rsid w:val="000E0E7C"/>
    <w:rsid w:val="000F1B4B"/>
    <w:rsid w:val="0012744F"/>
    <w:rsid w:val="00132665"/>
    <w:rsid w:val="00156F66"/>
    <w:rsid w:val="00182528"/>
    <w:rsid w:val="0018500B"/>
    <w:rsid w:val="00202DC1"/>
    <w:rsid w:val="002116EE"/>
    <w:rsid w:val="00215CEB"/>
    <w:rsid w:val="002309D8"/>
    <w:rsid w:val="00275EB0"/>
    <w:rsid w:val="00282049"/>
    <w:rsid w:val="002A7FE2"/>
    <w:rsid w:val="002E1B4F"/>
    <w:rsid w:val="002F084A"/>
    <w:rsid w:val="002F2E67"/>
    <w:rsid w:val="002F52A4"/>
    <w:rsid w:val="0030626E"/>
    <w:rsid w:val="00315546"/>
    <w:rsid w:val="00317D47"/>
    <w:rsid w:val="00330567"/>
    <w:rsid w:val="00386A9D"/>
    <w:rsid w:val="00391081"/>
    <w:rsid w:val="00395811"/>
    <w:rsid w:val="003A1D96"/>
    <w:rsid w:val="003B2789"/>
    <w:rsid w:val="003C13CE"/>
    <w:rsid w:val="003E2518"/>
    <w:rsid w:val="003F0310"/>
    <w:rsid w:val="003F16EA"/>
    <w:rsid w:val="0040159C"/>
    <w:rsid w:val="00405AEF"/>
    <w:rsid w:val="00410519"/>
    <w:rsid w:val="0042198D"/>
    <w:rsid w:val="004335E1"/>
    <w:rsid w:val="00433A62"/>
    <w:rsid w:val="00456C5D"/>
    <w:rsid w:val="0045744B"/>
    <w:rsid w:val="004616E5"/>
    <w:rsid w:val="00476850"/>
    <w:rsid w:val="004976F5"/>
    <w:rsid w:val="004B009D"/>
    <w:rsid w:val="004B1EF7"/>
    <w:rsid w:val="004B3FAD"/>
    <w:rsid w:val="004C622E"/>
    <w:rsid w:val="004F110A"/>
    <w:rsid w:val="00501DCA"/>
    <w:rsid w:val="00513A47"/>
    <w:rsid w:val="00513A51"/>
    <w:rsid w:val="0053401B"/>
    <w:rsid w:val="0053748E"/>
    <w:rsid w:val="005408DF"/>
    <w:rsid w:val="00566A7F"/>
    <w:rsid w:val="00580FF1"/>
    <w:rsid w:val="00583F9B"/>
    <w:rsid w:val="005A6941"/>
    <w:rsid w:val="005E5C10"/>
    <w:rsid w:val="005F196E"/>
    <w:rsid w:val="005F2C78"/>
    <w:rsid w:val="00611DAB"/>
    <w:rsid w:val="006144E4"/>
    <w:rsid w:val="006236A9"/>
    <w:rsid w:val="00625F64"/>
    <w:rsid w:val="00650299"/>
    <w:rsid w:val="006675BD"/>
    <w:rsid w:val="00674D74"/>
    <w:rsid w:val="006917B2"/>
    <w:rsid w:val="006F3337"/>
    <w:rsid w:val="00790234"/>
    <w:rsid w:val="007D433B"/>
    <w:rsid w:val="0081373A"/>
    <w:rsid w:val="00822581"/>
    <w:rsid w:val="008309DD"/>
    <w:rsid w:val="0083227A"/>
    <w:rsid w:val="00832910"/>
    <w:rsid w:val="00851670"/>
    <w:rsid w:val="00866900"/>
    <w:rsid w:val="00875B63"/>
    <w:rsid w:val="00881BA1"/>
    <w:rsid w:val="008A45B0"/>
    <w:rsid w:val="0090595B"/>
    <w:rsid w:val="00916DC1"/>
    <w:rsid w:val="009601AF"/>
    <w:rsid w:val="00982084"/>
    <w:rsid w:val="00995963"/>
    <w:rsid w:val="009A0E82"/>
    <w:rsid w:val="009A2294"/>
    <w:rsid w:val="009B61EB"/>
    <w:rsid w:val="009C2064"/>
    <w:rsid w:val="009D1697"/>
    <w:rsid w:val="009D2753"/>
    <w:rsid w:val="009F5B03"/>
    <w:rsid w:val="00A014F8"/>
    <w:rsid w:val="00A479B6"/>
    <w:rsid w:val="00A47E14"/>
    <w:rsid w:val="00A5173C"/>
    <w:rsid w:val="00A52F69"/>
    <w:rsid w:val="00A61AEF"/>
    <w:rsid w:val="00A7692C"/>
    <w:rsid w:val="00AB53BF"/>
    <w:rsid w:val="00AC6D70"/>
    <w:rsid w:val="00B066A4"/>
    <w:rsid w:val="00B07A13"/>
    <w:rsid w:val="00B22903"/>
    <w:rsid w:val="00B23533"/>
    <w:rsid w:val="00B238E9"/>
    <w:rsid w:val="00B4279B"/>
    <w:rsid w:val="00B45FC9"/>
    <w:rsid w:val="00BA3523"/>
    <w:rsid w:val="00BA7AEC"/>
    <w:rsid w:val="00BC7CCF"/>
    <w:rsid w:val="00BC7ECF"/>
    <w:rsid w:val="00BE470B"/>
    <w:rsid w:val="00BF14E0"/>
    <w:rsid w:val="00C228F1"/>
    <w:rsid w:val="00C57A91"/>
    <w:rsid w:val="00C9476F"/>
    <w:rsid w:val="00CC01C2"/>
    <w:rsid w:val="00CE3B3C"/>
    <w:rsid w:val="00CF21F2"/>
    <w:rsid w:val="00D13F0B"/>
    <w:rsid w:val="00D214D0"/>
    <w:rsid w:val="00D6546B"/>
    <w:rsid w:val="00DB5BA7"/>
    <w:rsid w:val="00DD4BED"/>
    <w:rsid w:val="00DE39F0"/>
    <w:rsid w:val="00DE76F3"/>
    <w:rsid w:val="00DF0AF3"/>
    <w:rsid w:val="00E26BBE"/>
    <w:rsid w:val="00E27D7E"/>
    <w:rsid w:val="00E304D8"/>
    <w:rsid w:val="00E42E13"/>
    <w:rsid w:val="00E6257C"/>
    <w:rsid w:val="00EB296E"/>
    <w:rsid w:val="00EF1C76"/>
    <w:rsid w:val="00F04A56"/>
    <w:rsid w:val="00F40DE1"/>
    <w:rsid w:val="00F86D68"/>
    <w:rsid w:val="00F92FEC"/>
    <w:rsid w:val="00F937E0"/>
    <w:rsid w:val="00FA1033"/>
    <w:rsid w:val="00FA124A"/>
    <w:rsid w:val="00FC08DD"/>
    <w:rsid w:val="00FC2316"/>
    <w:rsid w:val="00FC2CFD"/>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ersonName"/>
  <w:smartTagType w:namespaceuri="urn:schemas-microsoft-com:office:smarttags" w:name="stockticker"/>
  <w:smartTagType w:namespaceuri="urn:schemas-microsoft-com:office:smarttags" w:name="country-region"/>
  <w:shapeDefaults>
    <o:shapedefaults v:ext="edit" spidmax="112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5BA6"/>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título 1,1,l1,Chapter"/>
    <w:basedOn w:val="Normal"/>
    <w:next w:val="Normal"/>
    <w:link w:val="Heading1Char"/>
    <w:qFormat/>
    <w:rsid w:val="00005BA6"/>
    <w:pPr>
      <w:keepNext/>
      <w:keepLines/>
      <w:spacing w:before="360"/>
      <w:ind w:left="794" w:hanging="794"/>
      <w:outlineLvl w:val="0"/>
    </w:pPr>
    <w:rPr>
      <w:b/>
    </w:rPr>
  </w:style>
  <w:style w:type="paragraph" w:styleId="Heading2">
    <w:name w:val="heading 2"/>
    <w:aliases w:val="Titolo 2 Carattere Carattere,l2,título 2,h2"/>
    <w:basedOn w:val="Heading1"/>
    <w:next w:val="Normal"/>
    <w:link w:val="Heading2Char"/>
    <w:qFormat/>
    <w:rsid w:val="00005BA6"/>
    <w:pPr>
      <w:spacing w:before="240"/>
      <w:outlineLvl w:val="1"/>
    </w:pPr>
  </w:style>
  <w:style w:type="paragraph" w:styleId="Heading3">
    <w:name w:val="heading 3"/>
    <w:aliases w:val="h3"/>
    <w:basedOn w:val="Heading1"/>
    <w:next w:val="Normal"/>
    <w:link w:val="Heading3Char"/>
    <w:qFormat/>
    <w:rsid w:val="00005BA6"/>
    <w:pPr>
      <w:spacing w:before="160"/>
      <w:outlineLvl w:val="2"/>
    </w:pPr>
  </w:style>
  <w:style w:type="paragraph" w:styleId="Heading4">
    <w:name w:val="heading 4"/>
    <w:basedOn w:val="Heading3"/>
    <w:next w:val="Normal"/>
    <w:link w:val="Heading4Char"/>
    <w:qFormat/>
    <w:rsid w:val="00005BA6"/>
    <w:pPr>
      <w:tabs>
        <w:tab w:val="clear" w:pos="794"/>
        <w:tab w:val="left" w:pos="1021"/>
      </w:tabs>
      <w:ind w:left="1021" w:hanging="1021"/>
      <w:outlineLvl w:val="3"/>
    </w:pPr>
  </w:style>
  <w:style w:type="paragraph" w:styleId="Heading5">
    <w:name w:val="heading 5"/>
    <w:basedOn w:val="Heading4"/>
    <w:next w:val="Normal"/>
    <w:link w:val="Heading5Char"/>
    <w:qFormat/>
    <w:rsid w:val="00005BA6"/>
    <w:pPr>
      <w:outlineLvl w:val="4"/>
    </w:pPr>
  </w:style>
  <w:style w:type="paragraph" w:styleId="Heading6">
    <w:name w:val="heading 6"/>
    <w:basedOn w:val="Heading4"/>
    <w:next w:val="Normal"/>
    <w:link w:val="Heading6Char"/>
    <w:qFormat/>
    <w:rsid w:val="00005BA6"/>
    <w:pPr>
      <w:tabs>
        <w:tab w:val="clear" w:pos="1021"/>
        <w:tab w:val="clear" w:pos="1191"/>
      </w:tabs>
      <w:ind w:left="1588" w:hanging="1588"/>
      <w:outlineLvl w:val="5"/>
    </w:pPr>
  </w:style>
  <w:style w:type="paragraph" w:styleId="Heading7">
    <w:name w:val="heading 7"/>
    <w:basedOn w:val="Heading6"/>
    <w:next w:val="Normal"/>
    <w:link w:val="Heading7Char"/>
    <w:qFormat/>
    <w:rsid w:val="00005BA6"/>
    <w:pPr>
      <w:outlineLvl w:val="6"/>
    </w:pPr>
  </w:style>
  <w:style w:type="paragraph" w:styleId="Heading8">
    <w:name w:val="heading 8"/>
    <w:basedOn w:val="Heading6"/>
    <w:next w:val="Normal"/>
    <w:link w:val="Heading8Char"/>
    <w:qFormat/>
    <w:rsid w:val="00005BA6"/>
    <w:pPr>
      <w:outlineLvl w:val="7"/>
    </w:pPr>
  </w:style>
  <w:style w:type="paragraph" w:styleId="Heading9">
    <w:name w:val="heading 9"/>
    <w:basedOn w:val="Heading6"/>
    <w:next w:val="Normal"/>
    <w:link w:val="Heading9Char"/>
    <w:qFormat/>
    <w:rsid w:val="00005BA6"/>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005BA6"/>
    <w:pPr>
      <w:spacing w:before="360"/>
    </w:pPr>
  </w:style>
  <w:style w:type="paragraph" w:customStyle="1" w:styleId="Artheading">
    <w:name w:val="Art_heading"/>
    <w:basedOn w:val="Normal"/>
    <w:next w:val="Normalaftertitle"/>
    <w:rsid w:val="00005BA6"/>
    <w:pPr>
      <w:spacing w:before="480"/>
      <w:jc w:val="center"/>
    </w:pPr>
    <w:rPr>
      <w:b/>
      <w:sz w:val="28"/>
    </w:rPr>
  </w:style>
  <w:style w:type="paragraph" w:customStyle="1" w:styleId="ArtNo">
    <w:name w:val="Art_No"/>
    <w:basedOn w:val="Normal"/>
    <w:next w:val="Arttitle"/>
    <w:rsid w:val="00005BA6"/>
    <w:pPr>
      <w:keepNext/>
      <w:keepLines/>
      <w:spacing w:before="480"/>
      <w:jc w:val="center"/>
    </w:pPr>
    <w:rPr>
      <w:caps/>
      <w:sz w:val="28"/>
    </w:rPr>
  </w:style>
  <w:style w:type="paragraph" w:customStyle="1" w:styleId="Arttitle">
    <w:name w:val="Art_title"/>
    <w:basedOn w:val="Normal"/>
    <w:next w:val="Normalaftertitle"/>
    <w:rsid w:val="00005BA6"/>
    <w:pPr>
      <w:keepNext/>
      <w:keepLines/>
      <w:spacing w:before="240"/>
      <w:jc w:val="center"/>
    </w:pPr>
    <w:rPr>
      <w:b/>
      <w:sz w:val="28"/>
    </w:rPr>
  </w:style>
  <w:style w:type="paragraph" w:customStyle="1" w:styleId="ASN1">
    <w:name w:val="ASN.1"/>
    <w:basedOn w:val="Normal"/>
    <w:rsid w:val="00005BA6"/>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005BA6"/>
    <w:pPr>
      <w:keepNext/>
      <w:keepLines/>
      <w:spacing w:before="160"/>
      <w:ind w:left="794"/>
    </w:pPr>
    <w:rPr>
      <w:i/>
    </w:rPr>
  </w:style>
  <w:style w:type="paragraph" w:customStyle="1" w:styleId="ChapNo">
    <w:name w:val="Chap_No"/>
    <w:basedOn w:val="Normal"/>
    <w:next w:val="Chaptitle"/>
    <w:rsid w:val="00005BA6"/>
    <w:pPr>
      <w:keepNext/>
      <w:keepLines/>
      <w:spacing w:before="480"/>
      <w:jc w:val="center"/>
    </w:pPr>
    <w:rPr>
      <w:b/>
      <w:caps/>
      <w:sz w:val="28"/>
    </w:rPr>
  </w:style>
  <w:style w:type="paragraph" w:customStyle="1" w:styleId="Chaptitle">
    <w:name w:val="Chap_title"/>
    <w:basedOn w:val="Normal"/>
    <w:next w:val="Normalaftertitle"/>
    <w:rsid w:val="00005BA6"/>
    <w:pPr>
      <w:keepNext/>
      <w:keepLines/>
      <w:spacing w:before="240"/>
      <w:jc w:val="center"/>
    </w:pPr>
    <w:rPr>
      <w:b/>
      <w:sz w:val="28"/>
    </w:rPr>
  </w:style>
  <w:style w:type="character" w:styleId="EndnoteReference">
    <w:name w:val="endnote reference"/>
    <w:basedOn w:val="DefaultParagraphFont"/>
    <w:semiHidden/>
    <w:rsid w:val="00005BA6"/>
    <w:rPr>
      <w:vertAlign w:val="superscript"/>
    </w:rPr>
  </w:style>
  <w:style w:type="paragraph" w:customStyle="1" w:styleId="enumlev1">
    <w:name w:val="enumlev1"/>
    <w:basedOn w:val="Normal"/>
    <w:link w:val="enumlev1Char"/>
    <w:rsid w:val="00005BA6"/>
    <w:pPr>
      <w:spacing w:before="80"/>
      <w:ind w:left="794" w:hanging="794"/>
    </w:pPr>
  </w:style>
  <w:style w:type="paragraph" w:customStyle="1" w:styleId="enumlev2">
    <w:name w:val="enumlev2"/>
    <w:basedOn w:val="enumlev1"/>
    <w:rsid w:val="00005BA6"/>
    <w:pPr>
      <w:ind w:left="1191" w:hanging="397"/>
    </w:pPr>
  </w:style>
  <w:style w:type="paragraph" w:customStyle="1" w:styleId="enumlev3">
    <w:name w:val="enumlev3"/>
    <w:basedOn w:val="enumlev2"/>
    <w:rsid w:val="00005BA6"/>
    <w:pPr>
      <w:ind w:left="1588"/>
    </w:pPr>
  </w:style>
  <w:style w:type="paragraph" w:customStyle="1" w:styleId="Equation">
    <w:name w:val="Equation"/>
    <w:basedOn w:val="Normal"/>
    <w:rsid w:val="00005BA6"/>
    <w:pPr>
      <w:tabs>
        <w:tab w:val="clear" w:pos="1191"/>
        <w:tab w:val="clear" w:pos="1588"/>
        <w:tab w:val="clear" w:pos="1985"/>
        <w:tab w:val="center" w:pos="4820"/>
        <w:tab w:val="right" w:pos="9639"/>
      </w:tabs>
    </w:pPr>
  </w:style>
  <w:style w:type="paragraph" w:customStyle="1" w:styleId="Equationlegend">
    <w:name w:val="Equation_legend"/>
    <w:basedOn w:val="Normal"/>
    <w:rsid w:val="00005BA6"/>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005BA6"/>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005BA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rsid w:val="00005BA6"/>
    <w:pPr>
      <w:keepLines/>
      <w:spacing w:before="240" w:after="120"/>
      <w:jc w:val="center"/>
    </w:pPr>
  </w:style>
  <w:style w:type="paragraph" w:styleId="Footer">
    <w:name w:val="footer"/>
    <w:aliases w:val="f"/>
    <w:basedOn w:val="Normal"/>
    <w:link w:val="FooterChar"/>
    <w:rsid w:val="00005BA6"/>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05BA6"/>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
    <w:basedOn w:val="DefaultParagraphFont"/>
    <w:rsid w:val="00005BA6"/>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te"/>
    <w:link w:val="FootnoteTextChar"/>
    <w:rsid w:val="00005BA6"/>
    <w:pPr>
      <w:keepLines/>
      <w:tabs>
        <w:tab w:val="left" w:pos="255"/>
      </w:tabs>
      <w:ind w:left="255" w:hanging="255"/>
    </w:pPr>
  </w:style>
  <w:style w:type="paragraph" w:customStyle="1" w:styleId="Note">
    <w:name w:val="Note"/>
    <w:basedOn w:val="Normal"/>
    <w:link w:val="NoteChar"/>
    <w:rsid w:val="00005BA6"/>
    <w:pPr>
      <w:spacing w:before="80"/>
    </w:pPr>
    <w:rPr>
      <w:sz w:val="22"/>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005BA6"/>
    <w:pPr>
      <w:tabs>
        <w:tab w:val="clear" w:pos="794"/>
        <w:tab w:val="clear" w:pos="1191"/>
        <w:tab w:val="clear" w:pos="1588"/>
        <w:tab w:val="clear" w:pos="1985"/>
      </w:tabs>
      <w:spacing w:before="0"/>
      <w:jc w:val="center"/>
    </w:pPr>
    <w:rPr>
      <w:sz w:val="18"/>
    </w:rPr>
  </w:style>
  <w:style w:type="paragraph" w:customStyle="1" w:styleId="AnnexNoTitle">
    <w:name w:val="Annex_NoTitle"/>
    <w:basedOn w:val="Normal"/>
    <w:next w:val="Normalaftertitle"/>
    <w:link w:val="AnnexNoTitleChar"/>
    <w:rsid w:val="00005BA6"/>
    <w:pPr>
      <w:keepNext/>
      <w:keepLines/>
      <w:spacing w:before="480"/>
      <w:jc w:val="center"/>
    </w:pPr>
    <w:rPr>
      <w:b/>
      <w:sz w:val="28"/>
    </w:rPr>
  </w:style>
  <w:style w:type="paragraph" w:customStyle="1" w:styleId="AppendixNoTitle">
    <w:name w:val="Appendix_NoTitle"/>
    <w:basedOn w:val="AnnexNoTitle"/>
    <w:next w:val="Normalaftertitle"/>
    <w:rsid w:val="00005BA6"/>
  </w:style>
  <w:style w:type="paragraph" w:styleId="Index1">
    <w:name w:val="index 1"/>
    <w:basedOn w:val="Normal"/>
    <w:next w:val="Normal"/>
    <w:semiHidden/>
    <w:rsid w:val="00005BA6"/>
  </w:style>
  <w:style w:type="paragraph" w:styleId="Index2">
    <w:name w:val="index 2"/>
    <w:basedOn w:val="Normal"/>
    <w:next w:val="Normal"/>
    <w:semiHidden/>
    <w:rsid w:val="00005BA6"/>
    <w:pPr>
      <w:ind w:left="283"/>
    </w:pPr>
  </w:style>
  <w:style w:type="paragraph" w:styleId="Index3">
    <w:name w:val="index 3"/>
    <w:basedOn w:val="Normal"/>
    <w:next w:val="Normal"/>
    <w:semiHidden/>
    <w:rsid w:val="00005BA6"/>
    <w:pPr>
      <w:ind w:left="566"/>
    </w:pPr>
  </w:style>
  <w:style w:type="paragraph" w:customStyle="1" w:styleId="PartNo">
    <w:name w:val="Part_No"/>
    <w:basedOn w:val="Normal"/>
    <w:next w:val="Partref"/>
    <w:rsid w:val="00005BA6"/>
    <w:pPr>
      <w:keepNext/>
      <w:keepLines/>
      <w:spacing w:before="480" w:after="80"/>
      <w:jc w:val="center"/>
    </w:pPr>
    <w:rPr>
      <w:caps/>
      <w:sz w:val="28"/>
    </w:rPr>
  </w:style>
  <w:style w:type="paragraph" w:customStyle="1" w:styleId="Partref">
    <w:name w:val="Part_ref"/>
    <w:basedOn w:val="Normal"/>
    <w:next w:val="Parttitle"/>
    <w:rsid w:val="00005BA6"/>
    <w:pPr>
      <w:keepNext/>
      <w:keepLines/>
      <w:spacing w:before="280"/>
      <w:jc w:val="center"/>
    </w:pPr>
  </w:style>
  <w:style w:type="paragraph" w:customStyle="1" w:styleId="Parttitle">
    <w:name w:val="Part_title"/>
    <w:basedOn w:val="Normal"/>
    <w:next w:val="Normalaftertitle"/>
    <w:rsid w:val="00005BA6"/>
    <w:pPr>
      <w:keepNext/>
      <w:keepLines/>
      <w:spacing w:before="240" w:after="280"/>
      <w:jc w:val="center"/>
    </w:pPr>
    <w:rPr>
      <w:b/>
      <w:sz w:val="28"/>
    </w:rPr>
  </w:style>
  <w:style w:type="paragraph" w:customStyle="1" w:styleId="RecNo">
    <w:name w:val="Rec_No"/>
    <w:basedOn w:val="Normal"/>
    <w:next w:val="Rectitle"/>
    <w:rsid w:val="00005BA6"/>
    <w:pPr>
      <w:keepNext/>
      <w:keepLines/>
      <w:spacing w:before="480"/>
      <w:jc w:val="center"/>
    </w:pPr>
    <w:rPr>
      <w:caps/>
      <w:sz w:val="28"/>
    </w:rPr>
  </w:style>
  <w:style w:type="paragraph" w:customStyle="1" w:styleId="Rectitle">
    <w:name w:val="Rec_title"/>
    <w:basedOn w:val="Normal"/>
    <w:next w:val="Normalaftertitle"/>
    <w:link w:val="RectitleChar"/>
    <w:rsid w:val="00005BA6"/>
    <w:pPr>
      <w:keepNext/>
      <w:keepLines/>
      <w:spacing w:before="360"/>
      <w:jc w:val="center"/>
    </w:pPr>
    <w:rPr>
      <w:b/>
      <w:sz w:val="28"/>
    </w:rPr>
  </w:style>
  <w:style w:type="paragraph" w:customStyle="1" w:styleId="Recref">
    <w:name w:val="Rec_ref"/>
    <w:basedOn w:val="Normal"/>
    <w:next w:val="Recdate"/>
    <w:rsid w:val="00005BA6"/>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005BA6"/>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005BA6"/>
  </w:style>
  <w:style w:type="paragraph" w:customStyle="1" w:styleId="QuestionNo">
    <w:name w:val="Question_No"/>
    <w:basedOn w:val="RecNo"/>
    <w:next w:val="Questiontitle"/>
    <w:rsid w:val="00005BA6"/>
  </w:style>
  <w:style w:type="paragraph" w:customStyle="1" w:styleId="Questiontitle">
    <w:name w:val="Question_title"/>
    <w:basedOn w:val="Rectitle"/>
    <w:next w:val="Questionref"/>
    <w:rsid w:val="00005BA6"/>
  </w:style>
  <w:style w:type="paragraph" w:customStyle="1" w:styleId="Questionref">
    <w:name w:val="Question_ref"/>
    <w:basedOn w:val="Recref"/>
    <w:next w:val="Questiondate"/>
    <w:rsid w:val="00005BA6"/>
  </w:style>
  <w:style w:type="paragraph" w:customStyle="1" w:styleId="Reftext">
    <w:name w:val="Ref_text"/>
    <w:basedOn w:val="Normal"/>
    <w:rsid w:val="00005BA6"/>
    <w:pPr>
      <w:ind w:left="794" w:hanging="794"/>
    </w:pPr>
    <w:rPr>
      <w:sz w:val="22"/>
    </w:rPr>
  </w:style>
  <w:style w:type="paragraph" w:customStyle="1" w:styleId="Reftitle">
    <w:name w:val="Ref_title"/>
    <w:basedOn w:val="Normal"/>
    <w:next w:val="Reftext"/>
    <w:rsid w:val="00005BA6"/>
    <w:pPr>
      <w:spacing w:before="480"/>
      <w:jc w:val="center"/>
    </w:pPr>
    <w:rPr>
      <w:b/>
      <w:sz w:val="28"/>
    </w:rPr>
  </w:style>
  <w:style w:type="paragraph" w:customStyle="1" w:styleId="Repdate">
    <w:name w:val="Rep_date"/>
    <w:basedOn w:val="Recdate"/>
    <w:next w:val="Normalaftertitle"/>
    <w:rsid w:val="00005BA6"/>
  </w:style>
  <w:style w:type="paragraph" w:customStyle="1" w:styleId="RepNo">
    <w:name w:val="Rep_No"/>
    <w:basedOn w:val="RecNo"/>
    <w:next w:val="Reptitle"/>
    <w:rsid w:val="00005BA6"/>
  </w:style>
  <w:style w:type="paragraph" w:customStyle="1" w:styleId="Reptitle">
    <w:name w:val="Rep_title"/>
    <w:basedOn w:val="Rectitle"/>
    <w:next w:val="Repref"/>
    <w:rsid w:val="00005BA6"/>
  </w:style>
  <w:style w:type="paragraph" w:customStyle="1" w:styleId="Repref">
    <w:name w:val="Rep_ref"/>
    <w:basedOn w:val="Recref"/>
    <w:next w:val="Repdate"/>
    <w:rsid w:val="00005BA6"/>
  </w:style>
  <w:style w:type="paragraph" w:customStyle="1" w:styleId="Resdate">
    <w:name w:val="Res_date"/>
    <w:basedOn w:val="Recdate"/>
    <w:next w:val="Normalaftertitle"/>
    <w:rsid w:val="00005BA6"/>
  </w:style>
  <w:style w:type="paragraph" w:customStyle="1" w:styleId="ResNo">
    <w:name w:val="Res_No"/>
    <w:basedOn w:val="RecNo"/>
    <w:next w:val="Restitle"/>
    <w:link w:val="ResNoChar"/>
    <w:rsid w:val="00005BA6"/>
  </w:style>
  <w:style w:type="paragraph" w:customStyle="1" w:styleId="Restitle">
    <w:name w:val="Res_title"/>
    <w:basedOn w:val="Rectitle"/>
    <w:next w:val="Resref"/>
    <w:rsid w:val="00005BA6"/>
  </w:style>
  <w:style w:type="paragraph" w:customStyle="1" w:styleId="Resref">
    <w:name w:val="Res_ref"/>
    <w:basedOn w:val="Recref"/>
    <w:next w:val="Resdate"/>
    <w:rsid w:val="00005BA6"/>
  </w:style>
  <w:style w:type="paragraph" w:customStyle="1" w:styleId="SectionNo">
    <w:name w:val="Section_No"/>
    <w:basedOn w:val="Normal"/>
    <w:next w:val="Sectiontitle"/>
    <w:rsid w:val="00005BA6"/>
    <w:pPr>
      <w:keepNext/>
      <w:keepLines/>
      <w:spacing w:before="480" w:after="80"/>
      <w:jc w:val="center"/>
    </w:pPr>
    <w:rPr>
      <w:caps/>
      <w:sz w:val="28"/>
    </w:rPr>
  </w:style>
  <w:style w:type="paragraph" w:customStyle="1" w:styleId="Sectiontitle">
    <w:name w:val="Section_title"/>
    <w:basedOn w:val="Normal"/>
    <w:next w:val="Normalaftertitle"/>
    <w:rsid w:val="00005BA6"/>
    <w:pPr>
      <w:keepNext/>
      <w:keepLines/>
      <w:spacing w:before="480" w:after="280"/>
      <w:jc w:val="center"/>
    </w:pPr>
    <w:rPr>
      <w:b/>
      <w:sz w:val="28"/>
    </w:rPr>
  </w:style>
  <w:style w:type="paragraph" w:customStyle="1" w:styleId="Source">
    <w:name w:val="Source"/>
    <w:basedOn w:val="Normal"/>
    <w:next w:val="Normalaftertitle"/>
    <w:link w:val="SourceChar"/>
    <w:rsid w:val="00005BA6"/>
    <w:pPr>
      <w:spacing w:before="840" w:after="200"/>
      <w:jc w:val="center"/>
    </w:pPr>
    <w:rPr>
      <w:b/>
      <w:sz w:val="28"/>
    </w:rPr>
  </w:style>
  <w:style w:type="paragraph" w:customStyle="1" w:styleId="SpecialFooter">
    <w:name w:val="Special Footer"/>
    <w:basedOn w:val="Footer"/>
    <w:rsid w:val="00005BA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rsid w:val="00005BA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05BA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rsid w:val="00005BA6"/>
    <w:pPr>
      <w:keepNext/>
      <w:spacing w:before="560" w:after="120"/>
      <w:jc w:val="center"/>
    </w:pPr>
    <w:rPr>
      <w:caps/>
    </w:rPr>
  </w:style>
  <w:style w:type="paragraph" w:customStyle="1" w:styleId="Tabletitle">
    <w:name w:val="Table_title"/>
    <w:basedOn w:val="Normal"/>
    <w:next w:val="Tablehead"/>
    <w:link w:val="TabletitleChar"/>
    <w:rsid w:val="00005BA6"/>
    <w:pPr>
      <w:keepNext/>
      <w:keepLines/>
      <w:spacing w:before="0" w:after="120"/>
      <w:jc w:val="center"/>
    </w:pPr>
    <w:rPr>
      <w:b/>
    </w:rPr>
  </w:style>
  <w:style w:type="paragraph" w:customStyle="1" w:styleId="Tableref">
    <w:name w:val="Table_ref"/>
    <w:basedOn w:val="Normal"/>
    <w:next w:val="Tabletitle"/>
    <w:rsid w:val="00005BA6"/>
    <w:pPr>
      <w:keepNext/>
      <w:spacing w:before="0" w:after="120"/>
      <w:jc w:val="center"/>
    </w:pPr>
  </w:style>
  <w:style w:type="paragraph" w:customStyle="1" w:styleId="Title1">
    <w:name w:val="Title 1"/>
    <w:basedOn w:val="Source"/>
    <w:next w:val="Title2"/>
    <w:link w:val="Title1Char"/>
    <w:rsid w:val="00005BA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005BA6"/>
  </w:style>
  <w:style w:type="paragraph" w:customStyle="1" w:styleId="Title3">
    <w:name w:val="Title 3"/>
    <w:basedOn w:val="Title2"/>
    <w:next w:val="Title4"/>
    <w:rsid w:val="00005BA6"/>
    <w:rPr>
      <w:caps w:val="0"/>
    </w:rPr>
  </w:style>
  <w:style w:type="paragraph" w:customStyle="1" w:styleId="Title4">
    <w:name w:val="Title 4"/>
    <w:basedOn w:val="Title3"/>
    <w:next w:val="Heading1"/>
    <w:rsid w:val="00005BA6"/>
    <w:rPr>
      <w:b/>
    </w:rPr>
  </w:style>
  <w:style w:type="paragraph" w:customStyle="1" w:styleId="toc0">
    <w:name w:val="toc 0"/>
    <w:basedOn w:val="Normal"/>
    <w:next w:val="TOC1"/>
    <w:rsid w:val="00005BA6"/>
    <w:pPr>
      <w:tabs>
        <w:tab w:val="clear" w:pos="794"/>
        <w:tab w:val="clear" w:pos="1191"/>
        <w:tab w:val="clear" w:pos="1588"/>
        <w:tab w:val="clear" w:pos="1985"/>
        <w:tab w:val="right" w:pos="9639"/>
      </w:tabs>
    </w:pPr>
    <w:rPr>
      <w:b/>
    </w:rPr>
  </w:style>
  <w:style w:type="paragraph" w:styleId="TOC1">
    <w:name w:val="toc 1"/>
    <w:basedOn w:val="Normal"/>
    <w:rsid w:val="00005BA6"/>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005BA6"/>
    <w:pPr>
      <w:spacing w:before="80"/>
      <w:ind w:left="1531" w:hanging="851"/>
    </w:pPr>
  </w:style>
  <w:style w:type="paragraph" w:styleId="TOC3">
    <w:name w:val="toc 3"/>
    <w:basedOn w:val="TOC2"/>
    <w:rsid w:val="00005BA6"/>
  </w:style>
  <w:style w:type="paragraph" w:styleId="TOC4">
    <w:name w:val="toc 4"/>
    <w:basedOn w:val="TOC3"/>
    <w:rsid w:val="00005BA6"/>
  </w:style>
  <w:style w:type="paragraph" w:styleId="TOC5">
    <w:name w:val="toc 5"/>
    <w:basedOn w:val="TOC4"/>
    <w:rsid w:val="00005BA6"/>
  </w:style>
  <w:style w:type="paragraph" w:styleId="TOC6">
    <w:name w:val="toc 6"/>
    <w:basedOn w:val="TOC4"/>
    <w:semiHidden/>
    <w:rsid w:val="00005BA6"/>
  </w:style>
  <w:style w:type="paragraph" w:styleId="TOC7">
    <w:name w:val="toc 7"/>
    <w:basedOn w:val="TOC4"/>
    <w:semiHidden/>
    <w:rsid w:val="00005BA6"/>
  </w:style>
  <w:style w:type="paragraph" w:styleId="TOC8">
    <w:name w:val="toc 8"/>
    <w:basedOn w:val="TOC4"/>
    <w:semiHidden/>
    <w:rsid w:val="00005BA6"/>
  </w:style>
  <w:style w:type="character" w:customStyle="1" w:styleId="Appdef">
    <w:name w:val="App_def"/>
    <w:basedOn w:val="DefaultParagraphFont"/>
    <w:rsid w:val="00005BA6"/>
    <w:rPr>
      <w:rFonts w:ascii="Times New Roman" w:hAnsi="Times New Roman"/>
      <w:b/>
    </w:rPr>
  </w:style>
  <w:style w:type="character" w:customStyle="1" w:styleId="Appref">
    <w:name w:val="App_ref"/>
    <w:basedOn w:val="DefaultParagraphFont"/>
    <w:rsid w:val="00005BA6"/>
  </w:style>
  <w:style w:type="character" w:customStyle="1" w:styleId="Artdef">
    <w:name w:val="Art_def"/>
    <w:basedOn w:val="DefaultParagraphFont"/>
    <w:rsid w:val="00005BA6"/>
    <w:rPr>
      <w:rFonts w:ascii="Times New Roman" w:hAnsi="Times New Roman"/>
      <w:b/>
    </w:rPr>
  </w:style>
  <w:style w:type="character" w:customStyle="1" w:styleId="Artref">
    <w:name w:val="Art_ref"/>
    <w:basedOn w:val="DefaultParagraphFont"/>
    <w:rsid w:val="00005BA6"/>
  </w:style>
  <w:style w:type="character" w:customStyle="1" w:styleId="Recdef">
    <w:name w:val="Rec_def"/>
    <w:basedOn w:val="DefaultParagraphFont"/>
    <w:rsid w:val="00005BA6"/>
    <w:rPr>
      <w:b/>
    </w:rPr>
  </w:style>
  <w:style w:type="character" w:customStyle="1" w:styleId="Resdef">
    <w:name w:val="Res_def"/>
    <w:basedOn w:val="DefaultParagraphFont"/>
    <w:rsid w:val="00005BA6"/>
    <w:rPr>
      <w:rFonts w:ascii="Times New Roman" w:hAnsi="Times New Roman"/>
      <w:b/>
    </w:rPr>
  </w:style>
  <w:style w:type="character" w:customStyle="1" w:styleId="Tablefreq">
    <w:name w:val="Table_freq"/>
    <w:basedOn w:val="DefaultParagraphFont"/>
    <w:rsid w:val="00005BA6"/>
    <w:rPr>
      <w:b/>
      <w:color w:val="auto"/>
    </w:rPr>
  </w:style>
  <w:style w:type="paragraph" w:customStyle="1" w:styleId="Formal">
    <w:name w:val="Formal"/>
    <w:basedOn w:val="ASN1"/>
    <w:rsid w:val="00005BA6"/>
    <w:rPr>
      <w:b w:val="0"/>
    </w:rPr>
  </w:style>
  <w:style w:type="paragraph" w:customStyle="1" w:styleId="Section1">
    <w:name w:val="Section_1"/>
    <w:basedOn w:val="Normal"/>
    <w:next w:val="Normal"/>
    <w:rsid w:val="00005BA6"/>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05BA6"/>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rsid w:val="00005BA6"/>
    <w:pPr>
      <w:keepNext/>
      <w:spacing w:before="160"/>
    </w:pPr>
    <w:rPr>
      <w:i/>
    </w:rPr>
  </w:style>
  <w:style w:type="paragraph" w:customStyle="1" w:styleId="Headingb">
    <w:name w:val="Heading_b"/>
    <w:basedOn w:val="Normal"/>
    <w:next w:val="Normal"/>
    <w:link w:val="HeadingbChar"/>
    <w:rsid w:val="00005BA6"/>
    <w:pPr>
      <w:keepNext/>
      <w:spacing w:before="160"/>
    </w:pPr>
    <w:rPr>
      <w:b/>
    </w:rPr>
  </w:style>
  <w:style w:type="paragraph" w:customStyle="1" w:styleId="Figure">
    <w:name w:val="Figure"/>
    <w:basedOn w:val="Normal"/>
    <w:next w:val="Normal"/>
    <w:rsid w:val="00005BA6"/>
    <w:pPr>
      <w:keepNext/>
      <w:keepLines/>
      <w:spacing w:before="240" w:after="120"/>
      <w:jc w:val="center"/>
    </w:pPr>
  </w:style>
  <w:style w:type="character" w:styleId="PageNumber">
    <w:name w:val="page number"/>
    <w:aliases w:val="pn"/>
    <w:basedOn w:val="DefaultParagraphFont"/>
    <w:rsid w:val="00005BA6"/>
  </w:style>
  <w:style w:type="paragraph" w:customStyle="1" w:styleId="Figuretitle">
    <w:name w:val="Figure_title"/>
    <w:basedOn w:val="Tabletitle"/>
    <w:next w:val="Normal"/>
    <w:link w:val="FiguretitleChar"/>
    <w:rsid w:val="00005BA6"/>
    <w:pPr>
      <w:keepNext w:val="0"/>
    </w:pPr>
  </w:style>
  <w:style w:type="paragraph" w:customStyle="1" w:styleId="FigureNo">
    <w:name w:val="Figure_No"/>
    <w:basedOn w:val="Normal"/>
    <w:next w:val="Figuretitle"/>
    <w:rsid w:val="00005BA6"/>
    <w:pPr>
      <w:keepNext/>
      <w:keepLines/>
      <w:spacing w:before="480" w:after="120"/>
      <w:jc w:val="center"/>
    </w:pPr>
    <w:rPr>
      <w:caps/>
    </w:rPr>
  </w:style>
  <w:style w:type="paragraph" w:customStyle="1" w:styleId="AnnexNo">
    <w:name w:val="Annex_No"/>
    <w:basedOn w:val="Normal"/>
    <w:next w:val="Normal"/>
    <w:rsid w:val="0045744B"/>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ref">
    <w:name w:val="Annex_ref"/>
    <w:basedOn w:val="Normal"/>
    <w:next w:val="Normal"/>
    <w:rsid w:val="0045744B"/>
    <w:pPr>
      <w:keepNext/>
      <w:keepLines/>
      <w:tabs>
        <w:tab w:val="clear" w:pos="794"/>
        <w:tab w:val="clear" w:pos="1191"/>
        <w:tab w:val="clear" w:pos="1588"/>
        <w:tab w:val="clear" w:pos="1985"/>
        <w:tab w:val="left" w:pos="1134"/>
        <w:tab w:val="left" w:pos="1871"/>
        <w:tab w:val="left" w:pos="2268"/>
      </w:tabs>
      <w:spacing w:after="280"/>
      <w:jc w:val="center"/>
    </w:pPr>
  </w:style>
  <w:style w:type="paragraph" w:customStyle="1" w:styleId="Annextitle">
    <w:name w:val="Annex_title"/>
    <w:basedOn w:val="Normal"/>
    <w:next w:val="Normal"/>
    <w:rsid w:val="0045744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45744B"/>
  </w:style>
  <w:style w:type="paragraph" w:customStyle="1" w:styleId="Appendixref">
    <w:name w:val="Appendix_ref"/>
    <w:basedOn w:val="Annexref"/>
    <w:next w:val="Annextitle"/>
    <w:rsid w:val="0045744B"/>
  </w:style>
  <w:style w:type="paragraph" w:customStyle="1" w:styleId="Appendixtitle">
    <w:name w:val="Appendix_title"/>
    <w:basedOn w:val="Annextitle"/>
    <w:next w:val="Normal"/>
    <w:rsid w:val="0045744B"/>
  </w:style>
  <w:style w:type="paragraph" w:customStyle="1" w:styleId="Border">
    <w:name w:val="Border"/>
    <w:basedOn w:val="Tabletext"/>
    <w:rsid w:val="0045744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styleId="NormalIndent">
    <w:name w:val="Normal Indent"/>
    <w:basedOn w:val="Normal"/>
    <w:rsid w:val="0045744B"/>
    <w:pPr>
      <w:tabs>
        <w:tab w:val="clear" w:pos="794"/>
        <w:tab w:val="clear" w:pos="1191"/>
        <w:tab w:val="clear" w:pos="1588"/>
        <w:tab w:val="clear" w:pos="1985"/>
        <w:tab w:val="left" w:pos="1134"/>
        <w:tab w:val="left" w:pos="1871"/>
        <w:tab w:val="left" w:pos="2268"/>
      </w:tabs>
      <w:ind w:left="1134"/>
    </w:pPr>
  </w:style>
  <w:style w:type="paragraph" w:styleId="Index4">
    <w:name w:val="index 4"/>
    <w:basedOn w:val="Normal"/>
    <w:next w:val="Normal"/>
    <w:rsid w:val="0045744B"/>
    <w:pPr>
      <w:tabs>
        <w:tab w:val="clear" w:pos="794"/>
        <w:tab w:val="clear" w:pos="1191"/>
        <w:tab w:val="clear" w:pos="1588"/>
        <w:tab w:val="clear" w:pos="1985"/>
        <w:tab w:val="left" w:pos="1134"/>
        <w:tab w:val="left" w:pos="1871"/>
        <w:tab w:val="left" w:pos="2268"/>
      </w:tabs>
      <w:ind w:left="849"/>
    </w:pPr>
  </w:style>
  <w:style w:type="paragraph" w:styleId="Index5">
    <w:name w:val="index 5"/>
    <w:basedOn w:val="Normal"/>
    <w:next w:val="Normal"/>
    <w:rsid w:val="0045744B"/>
    <w:pPr>
      <w:tabs>
        <w:tab w:val="clear" w:pos="794"/>
        <w:tab w:val="clear" w:pos="1191"/>
        <w:tab w:val="clear" w:pos="1588"/>
        <w:tab w:val="clear" w:pos="1985"/>
        <w:tab w:val="left" w:pos="1134"/>
        <w:tab w:val="left" w:pos="1871"/>
        <w:tab w:val="left" w:pos="2268"/>
      </w:tabs>
      <w:ind w:left="1132"/>
    </w:pPr>
  </w:style>
  <w:style w:type="paragraph" w:styleId="Index6">
    <w:name w:val="index 6"/>
    <w:basedOn w:val="Normal"/>
    <w:next w:val="Normal"/>
    <w:rsid w:val="0045744B"/>
    <w:pPr>
      <w:tabs>
        <w:tab w:val="clear" w:pos="794"/>
        <w:tab w:val="clear" w:pos="1191"/>
        <w:tab w:val="clear" w:pos="1588"/>
        <w:tab w:val="clear" w:pos="1985"/>
        <w:tab w:val="left" w:pos="1134"/>
        <w:tab w:val="left" w:pos="1871"/>
        <w:tab w:val="left" w:pos="2268"/>
      </w:tabs>
      <w:ind w:left="1415"/>
    </w:pPr>
  </w:style>
  <w:style w:type="paragraph" w:styleId="Index7">
    <w:name w:val="index 7"/>
    <w:basedOn w:val="Normal"/>
    <w:next w:val="Normal"/>
    <w:rsid w:val="0045744B"/>
    <w:pPr>
      <w:tabs>
        <w:tab w:val="clear" w:pos="794"/>
        <w:tab w:val="clear" w:pos="1191"/>
        <w:tab w:val="clear" w:pos="1588"/>
        <w:tab w:val="clear" w:pos="1985"/>
        <w:tab w:val="left" w:pos="1134"/>
        <w:tab w:val="left" w:pos="1871"/>
        <w:tab w:val="left" w:pos="2268"/>
      </w:tabs>
      <w:ind w:left="1698"/>
    </w:pPr>
  </w:style>
  <w:style w:type="paragraph" w:styleId="IndexHeading">
    <w:name w:val="index heading"/>
    <w:basedOn w:val="Normal"/>
    <w:next w:val="Index1"/>
    <w:rsid w:val="0045744B"/>
    <w:pPr>
      <w:tabs>
        <w:tab w:val="clear" w:pos="794"/>
        <w:tab w:val="clear" w:pos="1191"/>
        <w:tab w:val="clear" w:pos="1588"/>
        <w:tab w:val="clear" w:pos="1985"/>
        <w:tab w:val="left" w:pos="1134"/>
        <w:tab w:val="left" w:pos="1871"/>
        <w:tab w:val="left" w:pos="2268"/>
      </w:tabs>
    </w:pPr>
  </w:style>
  <w:style w:type="character" w:styleId="LineNumber">
    <w:name w:val="line number"/>
    <w:basedOn w:val="DefaultParagraphFont"/>
    <w:rsid w:val="0045744B"/>
    <w:rPr>
      <w:rFonts w:cs="Times New Roman"/>
    </w:rPr>
  </w:style>
  <w:style w:type="paragraph" w:customStyle="1" w:styleId="Normalaftertitle0">
    <w:name w:val="Normal after title"/>
    <w:basedOn w:val="Normal"/>
    <w:next w:val="Normal"/>
    <w:link w:val="NormalaftertitleChar0"/>
    <w:rsid w:val="0045744B"/>
    <w:pPr>
      <w:tabs>
        <w:tab w:val="clear" w:pos="794"/>
        <w:tab w:val="clear" w:pos="1191"/>
        <w:tab w:val="clear" w:pos="1588"/>
        <w:tab w:val="clear" w:pos="1985"/>
        <w:tab w:val="left" w:pos="1134"/>
        <w:tab w:val="left" w:pos="1871"/>
        <w:tab w:val="left" w:pos="2268"/>
      </w:tabs>
      <w:spacing w:before="280"/>
    </w:pPr>
  </w:style>
  <w:style w:type="paragraph" w:customStyle="1" w:styleId="Proposal">
    <w:name w:val="Proposal"/>
    <w:basedOn w:val="Normal"/>
    <w:next w:val="Normal"/>
    <w:rsid w:val="0045744B"/>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rsid w:val="0045744B"/>
    <w:pPr>
      <w:tabs>
        <w:tab w:val="clear" w:pos="794"/>
        <w:tab w:val="clear" w:pos="1191"/>
        <w:tab w:val="left" w:pos="1134"/>
      </w:tabs>
    </w:pPr>
  </w:style>
  <w:style w:type="paragraph" w:customStyle="1" w:styleId="Section3">
    <w:name w:val="Section_3"/>
    <w:basedOn w:val="Section1"/>
    <w:rsid w:val="0045744B"/>
    <w:pPr>
      <w:tabs>
        <w:tab w:val="center" w:pos="4820"/>
      </w:tabs>
      <w:spacing w:before="360"/>
    </w:pPr>
    <w:rPr>
      <w:b w:val="0"/>
    </w:rPr>
  </w:style>
  <w:style w:type="paragraph" w:customStyle="1" w:styleId="TableTextS5">
    <w:name w:val="Table_TextS5"/>
    <w:basedOn w:val="Normal"/>
    <w:rsid w:val="0045744B"/>
    <w:pPr>
      <w:tabs>
        <w:tab w:val="clear" w:pos="794"/>
        <w:tab w:val="clear" w:pos="1191"/>
        <w:tab w:val="clear" w:pos="1588"/>
        <w:tab w:val="clear" w:pos="1985"/>
        <w:tab w:val="left" w:pos="170"/>
        <w:tab w:val="left" w:pos="567"/>
        <w:tab w:val="left" w:pos="737"/>
        <w:tab w:val="left" w:pos="2977"/>
        <w:tab w:val="left" w:pos="3266"/>
      </w:tabs>
      <w:spacing w:before="40" w:after="40"/>
    </w:pPr>
    <w:rPr>
      <w:sz w:val="20"/>
    </w:rPr>
  </w:style>
  <w:style w:type="character" w:customStyle="1" w:styleId="Heading1Char">
    <w:name w:val="Heading 1 Char"/>
    <w:aliases w:val="h1 Char,título 1 Char,1 Char,l1 Char,Chapter Char"/>
    <w:basedOn w:val="DefaultParagraphFont"/>
    <w:link w:val="Heading1"/>
    <w:locked/>
    <w:rsid w:val="0045744B"/>
    <w:rPr>
      <w:b/>
      <w:sz w:val="24"/>
      <w:lang w:val="en-GB" w:eastAsia="en-US" w:bidi="ar-SA"/>
    </w:rPr>
  </w:style>
  <w:style w:type="character" w:customStyle="1" w:styleId="Heading2Char">
    <w:name w:val="Heading 2 Char"/>
    <w:aliases w:val="Titolo 2 Carattere Carattere Char,l2 Char,título 2 Char,h2 Char"/>
    <w:basedOn w:val="DefaultParagraphFont"/>
    <w:link w:val="Heading2"/>
    <w:locked/>
    <w:rsid w:val="0045744B"/>
    <w:rPr>
      <w:b/>
      <w:sz w:val="24"/>
      <w:lang w:val="en-GB" w:eastAsia="en-US" w:bidi="ar-SA"/>
    </w:rPr>
  </w:style>
  <w:style w:type="character" w:customStyle="1" w:styleId="Heading3Char">
    <w:name w:val="Heading 3 Char"/>
    <w:aliases w:val="h3 Char"/>
    <w:basedOn w:val="DefaultParagraphFont"/>
    <w:link w:val="Heading3"/>
    <w:locked/>
    <w:rsid w:val="0045744B"/>
    <w:rPr>
      <w:b/>
      <w:sz w:val="24"/>
      <w:lang w:val="en-GB" w:eastAsia="en-US" w:bidi="ar-SA"/>
    </w:rPr>
  </w:style>
  <w:style w:type="character" w:customStyle="1" w:styleId="Heading4Char">
    <w:name w:val="Heading 4 Char"/>
    <w:basedOn w:val="DefaultParagraphFont"/>
    <w:link w:val="Heading4"/>
    <w:locked/>
    <w:rsid w:val="0045744B"/>
    <w:rPr>
      <w:b/>
      <w:sz w:val="24"/>
      <w:lang w:val="en-GB" w:eastAsia="en-US" w:bidi="ar-SA"/>
    </w:rPr>
  </w:style>
  <w:style w:type="character" w:customStyle="1" w:styleId="Heading5Char">
    <w:name w:val="Heading 5 Char"/>
    <w:basedOn w:val="DefaultParagraphFont"/>
    <w:link w:val="Heading5"/>
    <w:locked/>
    <w:rsid w:val="0045744B"/>
    <w:rPr>
      <w:b/>
      <w:sz w:val="24"/>
      <w:lang w:val="en-GB" w:eastAsia="en-US" w:bidi="ar-SA"/>
    </w:rPr>
  </w:style>
  <w:style w:type="character" w:customStyle="1" w:styleId="Heading6Char">
    <w:name w:val="Heading 6 Char"/>
    <w:basedOn w:val="DefaultParagraphFont"/>
    <w:link w:val="Heading6"/>
    <w:locked/>
    <w:rsid w:val="0045744B"/>
    <w:rPr>
      <w:b/>
      <w:sz w:val="24"/>
      <w:lang w:val="en-GB" w:eastAsia="en-US" w:bidi="ar-SA"/>
    </w:rPr>
  </w:style>
  <w:style w:type="character" w:customStyle="1" w:styleId="Heading7Char">
    <w:name w:val="Heading 7 Char"/>
    <w:basedOn w:val="DefaultParagraphFont"/>
    <w:link w:val="Heading7"/>
    <w:locked/>
    <w:rsid w:val="0045744B"/>
    <w:rPr>
      <w:b/>
      <w:sz w:val="24"/>
      <w:lang w:val="en-GB" w:eastAsia="en-US" w:bidi="ar-SA"/>
    </w:rPr>
  </w:style>
  <w:style w:type="character" w:customStyle="1" w:styleId="Heading8Char">
    <w:name w:val="Heading 8 Char"/>
    <w:basedOn w:val="DefaultParagraphFont"/>
    <w:link w:val="Heading8"/>
    <w:locked/>
    <w:rsid w:val="0045744B"/>
    <w:rPr>
      <w:b/>
      <w:sz w:val="24"/>
      <w:lang w:val="en-GB" w:eastAsia="en-US" w:bidi="ar-SA"/>
    </w:rPr>
  </w:style>
  <w:style w:type="character" w:customStyle="1" w:styleId="Heading9Char">
    <w:name w:val="Heading 9 Char"/>
    <w:basedOn w:val="DefaultParagraphFont"/>
    <w:link w:val="Heading9"/>
    <w:locked/>
    <w:rsid w:val="0045744B"/>
    <w:rPr>
      <w:b/>
      <w:sz w:val="24"/>
      <w:lang w:val="en-GB" w:eastAsia="en-US" w:bidi="ar-SA"/>
    </w:rPr>
  </w:style>
  <w:style w:type="character" w:customStyle="1" w:styleId="CallChar">
    <w:name w:val="Call Char"/>
    <w:basedOn w:val="DefaultParagraphFont"/>
    <w:link w:val="Call"/>
    <w:locked/>
    <w:rsid w:val="0045744B"/>
    <w:rPr>
      <w:i/>
      <w:sz w:val="24"/>
      <w:lang w:val="en-GB" w:eastAsia="en-US" w:bidi="ar-SA"/>
    </w:rPr>
  </w:style>
  <w:style w:type="character" w:customStyle="1" w:styleId="enumlev1Char">
    <w:name w:val="enumlev1 Char"/>
    <w:basedOn w:val="DefaultParagraphFont"/>
    <w:link w:val="enumlev1"/>
    <w:locked/>
    <w:rsid w:val="0045744B"/>
    <w:rPr>
      <w:sz w:val="24"/>
      <w:lang w:val="en-GB" w:eastAsia="en-US" w:bidi="ar-SA"/>
    </w:rPr>
  </w:style>
  <w:style w:type="character" w:customStyle="1" w:styleId="FooterChar">
    <w:name w:val="Footer Char"/>
    <w:aliases w:val="f Char"/>
    <w:basedOn w:val="DefaultParagraphFont"/>
    <w:link w:val="Footer"/>
    <w:locked/>
    <w:rsid w:val="0045744B"/>
    <w:rPr>
      <w:caps/>
      <w:noProof/>
      <w:sz w:val="16"/>
      <w:lang w:val="en-GB" w:eastAsia="en-US" w:bidi="ar-SA"/>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locked/>
    <w:rsid w:val="0045744B"/>
    <w:rPr>
      <w:sz w:val="22"/>
      <w:lang w:val="en-GB" w:eastAsia="en-US" w:bidi="ar-SA"/>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basedOn w:val="DefaultParagraphFont"/>
    <w:locked/>
    <w:rsid w:val="0045744B"/>
    <w:rPr>
      <w:rFonts w:cs="Times New Roman"/>
      <w:sz w:val="22"/>
      <w:lang w:val="en-GB" w:eastAsia="en-US" w:bidi="ar-SA"/>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locked/>
    <w:rsid w:val="0045744B"/>
    <w:rPr>
      <w:sz w:val="18"/>
      <w:lang w:val="en-GB" w:eastAsia="en-US" w:bidi="ar-SA"/>
    </w:rPr>
  </w:style>
  <w:style w:type="character" w:customStyle="1" w:styleId="TabletitleChar">
    <w:name w:val="Table_title Char"/>
    <w:basedOn w:val="DefaultParagraphFont"/>
    <w:link w:val="Tabletitle"/>
    <w:locked/>
    <w:rsid w:val="0045744B"/>
    <w:rPr>
      <w:b/>
      <w:sz w:val="24"/>
      <w:lang w:val="en-GB" w:eastAsia="en-US" w:bidi="ar-SA"/>
    </w:rPr>
  </w:style>
  <w:style w:type="character" w:customStyle="1" w:styleId="TableNoChar">
    <w:name w:val="Table_No Char"/>
    <w:basedOn w:val="DefaultParagraphFont"/>
    <w:link w:val="TableNo"/>
    <w:locked/>
    <w:rsid w:val="0045744B"/>
    <w:rPr>
      <w:caps/>
      <w:sz w:val="24"/>
      <w:lang w:val="en-GB" w:eastAsia="en-US" w:bidi="ar-SA"/>
    </w:rPr>
  </w:style>
  <w:style w:type="character" w:customStyle="1" w:styleId="Title1Char">
    <w:name w:val="Title 1 Char"/>
    <w:basedOn w:val="DefaultParagraphFont"/>
    <w:link w:val="Title1"/>
    <w:locked/>
    <w:rsid w:val="0045744B"/>
    <w:rPr>
      <w:caps/>
      <w:sz w:val="28"/>
      <w:lang w:val="en-GB" w:eastAsia="en-US" w:bidi="ar-SA"/>
    </w:rPr>
  </w:style>
  <w:style w:type="character" w:customStyle="1" w:styleId="FiguretitleChar">
    <w:name w:val="Figure_title Char"/>
    <w:basedOn w:val="TabletitleChar"/>
    <w:link w:val="Figuretitle"/>
    <w:locked/>
    <w:rsid w:val="0045744B"/>
  </w:style>
  <w:style w:type="paragraph" w:customStyle="1" w:styleId="Char1CharChar1Char">
    <w:name w:val="Char1 Char Char1 Char"/>
    <w:basedOn w:val="Normal"/>
    <w:rsid w:val="0045744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AnnexNotitle0">
    <w:name w:val="Annex_No &amp; title"/>
    <w:basedOn w:val="Normal"/>
    <w:next w:val="Normal"/>
    <w:rsid w:val="0045744B"/>
    <w:pPr>
      <w:keepNext/>
      <w:keepLines/>
      <w:spacing w:before="480"/>
      <w:jc w:val="center"/>
    </w:pPr>
    <w:rPr>
      <w:b/>
      <w:sz w:val="28"/>
    </w:rPr>
  </w:style>
  <w:style w:type="character" w:styleId="Hyperlink">
    <w:name w:val="Hyperlink"/>
    <w:basedOn w:val="DefaultParagraphFont"/>
    <w:rsid w:val="0045744B"/>
    <w:rPr>
      <w:rFonts w:cs="Times New Roman"/>
      <w:color w:val="0000FF"/>
      <w:u w:val="single"/>
    </w:rPr>
  </w:style>
  <w:style w:type="character" w:customStyle="1" w:styleId="WW-DefaultParagraphFont">
    <w:name w:val="WW-Default Paragraph Font"/>
    <w:rsid w:val="0045744B"/>
  </w:style>
  <w:style w:type="character" w:customStyle="1" w:styleId="Caractredenotedebasdepage">
    <w:name w:val="Caractère de note de bas de page"/>
    <w:basedOn w:val="WW-DefaultParagraphFont"/>
    <w:rsid w:val="0045744B"/>
    <w:rPr>
      <w:rFonts w:cs="Times New Roman"/>
      <w:position w:val="1"/>
      <w:sz w:val="18"/>
    </w:rPr>
  </w:style>
  <w:style w:type="character" w:customStyle="1" w:styleId="WW-Caractredenotedebasdepage">
    <w:name w:val="WW-Caractère de note de bas de page"/>
    <w:basedOn w:val="WW-DefaultParagraphFont"/>
    <w:rsid w:val="0045744B"/>
    <w:rPr>
      <w:rFonts w:cs="Times New Roman"/>
      <w:position w:val="1"/>
      <w:sz w:val="16"/>
    </w:rPr>
  </w:style>
  <w:style w:type="character" w:customStyle="1" w:styleId="msoins0">
    <w:name w:val="msoins0"/>
    <w:basedOn w:val="DefaultParagraphFont"/>
    <w:rsid w:val="0045744B"/>
    <w:rPr>
      <w:rFonts w:cs="Times New Roman"/>
    </w:rPr>
  </w:style>
  <w:style w:type="table" w:styleId="TableGrid">
    <w:name w:val="Table Grid"/>
    <w:basedOn w:val="TableNormal"/>
    <w:rsid w:val="0045744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rsid w:val="0045744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a">
    <w:name w:val="Знак Знак"/>
    <w:basedOn w:val="Normal"/>
    <w:rsid w:val="0045744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styleId="NormalWeb">
    <w:name w:val="Normal (Web)"/>
    <w:basedOn w:val="Normal"/>
    <w:rsid w:val="0045744B"/>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eastAsia="en-GB"/>
    </w:rPr>
  </w:style>
  <w:style w:type="paragraph" w:customStyle="1" w:styleId="dash041e0431044b0447043d044b0439">
    <w:name w:val="dash041e_0431_044b_0447_043d_044b_0439"/>
    <w:basedOn w:val="Normal"/>
    <w:rsid w:val="0045744B"/>
    <w:pPr>
      <w:tabs>
        <w:tab w:val="clear" w:pos="794"/>
        <w:tab w:val="clear" w:pos="1191"/>
        <w:tab w:val="clear" w:pos="1588"/>
        <w:tab w:val="clear" w:pos="1985"/>
      </w:tabs>
      <w:overflowPunct/>
      <w:autoSpaceDE/>
      <w:autoSpaceDN/>
      <w:adjustRightInd/>
      <w:textAlignment w:val="auto"/>
    </w:pPr>
    <w:rPr>
      <w:szCs w:val="24"/>
      <w:lang w:eastAsia="en-GB"/>
    </w:rPr>
  </w:style>
  <w:style w:type="character" w:customStyle="1" w:styleId="dash041e0431044b0447043d044b0439char1">
    <w:name w:val="dash041e_0431_044b_0447_043d_044b_0439__char1"/>
    <w:basedOn w:val="DefaultParagraphFont"/>
    <w:rsid w:val="0045744B"/>
    <w:rPr>
      <w:rFonts w:ascii="Times New Roman" w:hAnsi="Times New Roman" w:cs="Times New Roman"/>
      <w:sz w:val="24"/>
      <w:szCs w:val="24"/>
      <w:u w:val="none"/>
      <w:effect w:val="none"/>
    </w:rPr>
  </w:style>
  <w:style w:type="paragraph" w:customStyle="1" w:styleId="TegnTegnCharCharTegnTegn">
    <w:name w:val="Tegn Tegn Char Char Tegn Tegn"/>
    <w:basedOn w:val="Normal"/>
    <w:rsid w:val="0045744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1">
    <w:name w:val="Char Char1"/>
    <w:basedOn w:val="Normal"/>
    <w:rsid w:val="0045744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en-US"/>
    </w:rPr>
  </w:style>
  <w:style w:type="paragraph" w:styleId="BodyText2">
    <w:name w:val="Body Text 2"/>
    <w:basedOn w:val="Normal"/>
    <w:link w:val="BodyText2Char"/>
    <w:rsid w:val="0045744B"/>
    <w:pPr>
      <w:jc w:val="both"/>
    </w:pPr>
    <w:rPr>
      <w:lang w:val="en-US"/>
    </w:rPr>
  </w:style>
  <w:style w:type="character" w:customStyle="1" w:styleId="BodyText2Char">
    <w:name w:val="Body Text 2 Char"/>
    <w:basedOn w:val="DefaultParagraphFont"/>
    <w:link w:val="BodyText2"/>
    <w:locked/>
    <w:rsid w:val="0045744B"/>
    <w:rPr>
      <w:sz w:val="24"/>
      <w:lang w:val="en-US" w:eastAsia="en-US" w:bidi="ar-SA"/>
    </w:rPr>
  </w:style>
  <w:style w:type="paragraph" w:customStyle="1" w:styleId="CharChar2">
    <w:name w:val="Char Char2"/>
    <w:basedOn w:val="Normal"/>
    <w:rsid w:val="0045744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en-US"/>
    </w:rPr>
  </w:style>
  <w:style w:type="paragraph" w:styleId="Caption">
    <w:name w:val="caption"/>
    <w:basedOn w:val="Normal"/>
    <w:next w:val="Normal"/>
    <w:qFormat/>
    <w:rsid w:val="0045744B"/>
    <w:pPr>
      <w:tabs>
        <w:tab w:val="clear" w:pos="794"/>
        <w:tab w:val="clear" w:pos="1191"/>
        <w:tab w:val="clear" w:pos="1588"/>
        <w:tab w:val="clear" w:pos="1985"/>
      </w:tabs>
      <w:suppressAutoHyphens/>
      <w:autoSpaceDN/>
      <w:adjustRightInd/>
      <w:spacing w:after="120"/>
    </w:pPr>
    <w:rPr>
      <w:b/>
      <w:bCs/>
      <w:sz w:val="20"/>
      <w:lang w:eastAsia="ar-SA"/>
    </w:rPr>
  </w:style>
  <w:style w:type="paragraph" w:styleId="BodyText3">
    <w:name w:val="Body Text 3"/>
    <w:basedOn w:val="Normal"/>
    <w:link w:val="BodyText3Char"/>
    <w:rsid w:val="0045744B"/>
    <w:pPr>
      <w:spacing w:after="120"/>
    </w:pPr>
    <w:rPr>
      <w:sz w:val="16"/>
      <w:szCs w:val="16"/>
    </w:rPr>
  </w:style>
  <w:style w:type="character" w:customStyle="1" w:styleId="BodyText3Char">
    <w:name w:val="Body Text 3 Char"/>
    <w:basedOn w:val="DefaultParagraphFont"/>
    <w:link w:val="BodyText3"/>
    <w:locked/>
    <w:rsid w:val="0045744B"/>
    <w:rPr>
      <w:sz w:val="16"/>
      <w:szCs w:val="16"/>
      <w:lang w:val="en-GB" w:eastAsia="en-US" w:bidi="ar-SA"/>
    </w:rPr>
  </w:style>
  <w:style w:type="character" w:styleId="CommentReference">
    <w:name w:val="annotation reference"/>
    <w:basedOn w:val="DefaultParagraphFont"/>
    <w:rsid w:val="0045744B"/>
    <w:rPr>
      <w:rFonts w:cs="Times New Roman"/>
      <w:sz w:val="16"/>
      <w:szCs w:val="16"/>
    </w:rPr>
  </w:style>
  <w:style w:type="paragraph" w:styleId="CommentText">
    <w:name w:val="annotation text"/>
    <w:basedOn w:val="Normal"/>
    <w:link w:val="CommentTextChar"/>
    <w:rsid w:val="0045744B"/>
    <w:rPr>
      <w:sz w:val="20"/>
    </w:rPr>
  </w:style>
  <w:style w:type="character" w:customStyle="1" w:styleId="CommentTextChar">
    <w:name w:val="Comment Text Char"/>
    <w:basedOn w:val="DefaultParagraphFont"/>
    <w:link w:val="CommentText"/>
    <w:locked/>
    <w:rsid w:val="0045744B"/>
    <w:rPr>
      <w:lang w:val="en-GB" w:eastAsia="en-US" w:bidi="ar-SA"/>
    </w:rPr>
  </w:style>
  <w:style w:type="paragraph" w:styleId="CommentSubject">
    <w:name w:val="annotation subject"/>
    <w:basedOn w:val="CommentText"/>
    <w:next w:val="CommentText"/>
    <w:link w:val="CommentSubjectChar"/>
    <w:rsid w:val="0045744B"/>
    <w:rPr>
      <w:b/>
      <w:bCs/>
    </w:rPr>
  </w:style>
  <w:style w:type="character" w:customStyle="1" w:styleId="CommentSubjectChar">
    <w:name w:val="Comment Subject Char"/>
    <w:basedOn w:val="CommentTextChar"/>
    <w:link w:val="CommentSubject"/>
    <w:locked/>
    <w:rsid w:val="0045744B"/>
    <w:rPr>
      <w:b/>
      <w:bCs/>
    </w:rPr>
  </w:style>
  <w:style w:type="paragraph" w:customStyle="1" w:styleId="Char1CharCharChar">
    <w:name w:val="Char1 Char Char Char"/>
    <w:basedOn w:val="Normal"/>
    <w:rsid w:val="0045744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styleId="BalloonText">
    <w:name w:val="Balloon Text"/>
    <w:basedOn w:val="Normal"/>
    <w:link w:val="BalloonTextChar"/>
    <w:rsid w:val="0045744B"/>
    <w:pPr>
      <w:spacing w:before="0"/>
    </w:pPr>
    <w:rPr>
      <w:rFonts w:ascii="Tahoma" w:hAnsi="Tahoma" w:cs="Tahoma"/>
      <w:sz w:val="16"/>
      <w:szCs w:val="16"/>
    </w:rPr>
  </w:style>
  <w:style w:type="character" w:customStyle="1" w:styleId="BalloonTextChar">
    <w:name w:val="Balloon Text Char"/>
    <w:basedOn w:val="DefaultParagraphFont"/>
    <w:link w:val="BalloonText"/>
    <w:locked/>
    <w:rsid w:val="0045744B"/>
    <w:rPr>
      <w:rFonts w:ascii="Tahoma" w:hAnsi="Tahoma" w:cs="Tahoma"/>
      <w:sz w:val="16"/>
      <w:szCs w:val="16"/>
      <w:lang w:val="en-GB" w:eastAsia="en-US" w:bidi="ar-SA"/>
    </w:rPr>
  </w:style>
  <w:style w:type="character" w:customStyle="1" w:styleId="NormalaftertitleChar0">
    <w:name w:val="Normal after title Char"/>
    <w:basedOn w:val="DefaultParagraphFont"/>
    <w:link w:val="Normalaftertitle0"/>
    <w:locked/>
    <w:rsid w:val="0045744B"/>
    <w:rPr>
      <w:sz w:val="24"/>
      <w:lang w:val="en-GB" w:eastAsia="en-US" w:bidi="ar-SA"/>
    </w:rPr>
  </w:style>
  <w:style w:type="paragraph" w:customStyle="1" w:styleId="AnnexTitle0">
    <w:name w:val="Annex_Title"/>
    <w:basedOn w:val="Normal"/>
    <w:next w:val="Normalaftertitle0"/>
    <w:rsid w:val="0045744B"/>
    <w:pPr>
      <w:keepNext/>
      <w:keepLines/>
      <w:spacing w:before="240" w:after="280"/>
      <w:jc w:val="center"/>
    </w:pPr>
    <w:rPr>
      <w:rFonts w:eastAsia="Malgun Gothic"/>
      <w:b/>
      <w:sz w:val="28"/>
    </w:rPr>
  </w:style>
  <w:style w:type="character" w:customStyle="1" w:styleId="TabletextChar">
    <w:name w:val="Table_text Char"/>
    <w:basedOn w:val="DefaultParagraphFont"/>
    <w:link w:val="Tabletext"/>
    <w:locked/>
    <w:rsid w:val="002F52A4"/>
    <w:rPr>
      <w:sz w:val="22"/>
      <w:lang w:val="en-GB" w:eastAsia="en-US" w:bidi="ar-SA"/>
    </w:rPr>
  </w:style>
  <w:style w:type="character" w:customStyle="1" w:styleId="SourceChar">
    <w:name w:val="Source Char"/>
    <w:basedOn w:val="DefaultParagraphFont"/>
    <w:link w:val="Source"/>
    <w:locked/>
    <w:rsid w:val="002F52A4"/>
    <w:rPr>
      <w:b/>
      <w:sz w:val="28"/>
      <w:lang w:val="en-GB" w:eastAsia="en-US" w:bidi="ar-SA"/>
    </w:rPr>
  </w:style>
  <w:style w:type="paragraph" w:customStyle="1" w:styleId="ZchnZchn">
    <w:name w:val="Zchn Zchn"/>
    <w:basedOn w:val="Normal"/>
    <w:rsid w:val="007D43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customStyle="1" w:styleId="NormalaftertitleChar">
    <w:name w:val="Normal_after_title Char"/>
    <w:basedOn w:val="DefaultParagraphFont"/>
    <w:link w:val="Normalaftertitle"/>
    <w:locked/>
    <w:rsid w:val="007D433B"/>
    <w:rPr>
      <w:sz w:val="24"/>
      <w:lang w:val="en-GB" w:eastAsia="en-US" w:bidi="ar-SA"/>
    </w:rPr>
  </w:style>
  <w:style w:type="character" w:customStyle="1" w:styleId="RectitleChar">
    <w:name w:val="Rec_title Char"/>
    <w:basedOn w:val="DefaultParagraphFont"/>
    <w:link w:val="Rectitle"/>
    <w:locked/>
    <w:rsid w:val="007D433B"/>
    <w:rPr>
      <w:b/>
      <w:sz w:val="28"/>
      <w:lang w:val="en-GB" w:eastAsia="en-US" w:bidi="ar-SA"/>
    </w:rPr>
  </w:style>
  <w:style w:type="paragraph" w:customStyle="1" w:styleId="Head">
    <w:name w:val="Head"/>
    <w:rsid w:val="007D433B"/>
    <w:pPr>
      <w:widowControl w:val="0"/>
      <w:tabs>
        <w:tab w:val="left" w:pos="0"/>
        <w:tab w:val="left" w:pos="6662"/>
        <w:tab w:val="left" w:pos="7200"/>
        <w:tab w:val="left" w:pos="7920"/>
        <w:tab w:val="left" w:pos="8640"/>
        <w:tab w:val="left" w:pos="9360"/>
      </w:tabs>
      <w:snapToGrid w:val="0"/>
    </w:pPr>
    <w:rPr>
      <w:rFonts w:ascii="Times New Roman" w:hAnsi="Times New Roman"/>
      <w:sz w:val="24"/>
      <w:lang w:val="en-GB" w:eastAsia="en-US"/>
    </w:rPr>
  </w:style>
  <w:style w:type="character" w:customStyle="1" w:styleId="BodyTextIndentChar">
    <w:name w:val="Body Text Indent Char"/>
    <w:basedOn w:val="DefaultParagraphFont"/>
    <w:link w:val="BodyTextIndent"/>
    <w:locked/>
    <w:rsid w:val="007D433B"/>
    <w:rPr>
      <w:b/>
      <w:sz w:val="24"/>
      <w:lang w:val="en-GB" w:eastAsia="en-US" w:bidi="ar-SA"/>
    </w:rPr>
  </w:style>
  <w:style w:type="character" w:customStyle="1" w:styleId="href">
    <w:name w:val="href"/>
    <w:basedOn w:val="DefaultParagraphFont"/>
    <w:rsid w:val="007D433B"/>
    <w:rPr>
      <w:rFonts w:cs="Times New Roman"/>
    </w:rPr>
  </w:style>
  <w:style w:type="character" w:customStyle="1" w:styleId="AnnexNoTitleChar">
    <w:name w:val="Annex_NoTitle Char"/>
    <w:basedOn w:val="DefaultParagraphFont"/>
    <w:link w:val="AnnexNoTitle"/>
    <w:locked/>
    <w:rsid w:val="007D433B"/>
    <w:rPr>
      <w:b/>
      <w:sz w:val="28"/>
      <w:lang w:val="en-GB" w:eastAsia="en-US" w:bidi="ar-SA"/>
    </w:rPr>
  </w:style>
  <w:style w:type="character" w:customStyle="1" w:styleId="ResNoChar">
    <w:name w:val="Res_No Char"/>
    <w:basedOn w:val="DefaultParagraphFont"/>
    <w:link w:val="ResNo"/>
    <w:locked/>
    <w:rsid w:val="007D433B"/>
    <w:rPr>
      <w:caps/>
      <w:sz w:val="28"/>
      <w:lang w:val="en-GB" w:eastAsia="en-US" w:bidi="ar-SA"/>
    </w:rPr>
  </w:style>
  <w:style w:type="character" w:customStyle="1" w:styleId="NoteChar">
    <w:name w:val="Note Char"/>
    <w:basedOn w:val="DefaultParagraphFont"/>
    <w:link w:val="Note"/>
    <w:locked/>
    <w:rsid w:val="007D433B"/>
    <w:rPr>
      <w:sz w:val="22"/>
      <w:lang w:val="en-GB" w:eastAsia="en-US" w:bidi="ar-SA"/>
    </w:rPr>
  </w:style>
  <w:style w:type="paragraph" w:customStyle="1" w:styleId="HeadingSum">
    <w:name w:val="Heading_Sum"/>
    <w:basedOn w:val="Headingb"/>
    <w:next w:val="Normal"/>
    <w:rsid w:val="007D433B"/>
    <w:pPr>
      <w:keepLines/>
      <w:spacing w:before="240"/>
      <w:jc w:val="both"/>
    </w:pPr>
    <w:rPr>
      <w:rFonts w:eastAsia="SimSun"/>
      <w:sz w:val="22"/>
      <w:lang w:val="es-ES_tradnl"/>
    </w:rPr>
  </w:style>
  <w:style w:type="paragraph" w:customStyle="1" w:styleId="Summary">
    <w:name w:val="Summary"/>
    <w:basedOn w:val="Normal"/>
    <w:next w:val="Normalaftertitle"/>
    <w:rsid w:val="007D433B"/>
    <w:pPr>
      <w:spacing w:after="480"/>
      <w:jc w:val="both"/>
    </w:pPr>
    <w:rPr>
      <w:rFonts w:eastAsia="SimSun"/>
      <w:sz w:val="22"/>
      <w:lang w:val="es-ES_tradnl"/>
    </w:rPr>
  </w:style>
  <w:style w:type="paragraph" w:customStyle="1" w:styleId="Tablefin">
    <w:name w:val="Table_fin"/>
    <w:basedOn w:val="Normal"/>
    <w:next w:val="Normal"/>
    <w:rsid w:val="007D433B"/>
    <w:pPr>
      <w:spacing w:before="0"/>
      <w:jc w:val="both"/>
    </w:pPr>
    <w:rPr>
      <w:rFonts w:eastAsia="SimSun"/>
      <w:sz w:val="20"/>
    </w:rPr>
  </w:style>
  <w:style w:type="paragraph" w:customStyle="1" w:styleId="Blanc">
    <w:name w:val="Blanc"/>
    <w:basedOn w:val="Normal"/>
    <w:next w:val="Tabletext"/>
    <w:rsid w:val="007D433B"/>
    <w:pPr>
      <w:keepNext/>
      <w:keepLines/>
      <w:tabs>
        <w:tab w:val="clear" w:pos="794"/>
        <w:tab w:val="clear" w:pos="1191"/>
        <w:tab w:val="clear" w:pos="1588"/>
        <w:tab w:val="clear" w:pos="1985"/>
      </w:tabs>
      <w:spacing w:before="0"/>
      <w:jc w:val="both"/>
    </w:pPr>
    <w:rPr>
      <w:rFonts w:eastAsia="SimSun"/>
      <w:sz w:val="16"/>
    </w:rPr>
  </w:style>
  <w:style w:type="paragraph" w:customStyle="1" w:styleId="QuestionNoBR">
    <w:name w:val="Question_No_BR"/>
    <w:basedOn w:val="Normal"/>
    <w:next w:val="Normal"/>
    <w:rsid w:val="007D433B"/>
    <w:pPr>
      <w:keepNext/>
      <w:keepLines/>
      <w:spacing w:before="480"/>
      <w:jc w:val="center"/>
    </w:pPr>
    <w:rPr>
      <w:rFonts w:eastAsia="SimSun"/>
      <w:caps/>
      <w:sz w:val="28"/>
    </w:rPr>
  </w:style>
  <w:style w:type="character" w:customStyle="1" w:styleId="wordlink">
    <w:name w:val="wordlink"/>
    <w:basedOn w:val="DefaultParagraphFont"/>
    <w:rsid w:val="007D433B"/>
    <w:rPr>
      <w:rFonts w:cs="Times New Roman"/>
    </w:rPr>
  </w:style>
  <w:style w:type="paragraph" w:customStyle="1" w:styleId="recflds">
    <w:name w:val="recflds"/>
    <w:basedOn w:val="Normal"/>
    <w:rsid w:val="007D433B"/>
    <w:pPr>
      <w:tabs>
        <w:tab w:val="clear" w:pos="794"/>
        <w:tab w:val="clear" w:pos="1191"/>
        <w:tab w:val="clear" w:pos="1588"/>
        <w:tab w:val="clear" w:pos="1985"/>
      </w:tabs>
      <w:overflowPunct/>
      <w:autoSpaceDE/>
      <w:autoSpaceDN/>
      <w:adjustRightInd/>
      <w:spacing w:before="0" w:after="100" w:afterAutospacing="1"/>
      <w:textAlignment w:val="auto"/>
    </w:pPr>
    <w:rPr>
      <w:rFonts w:ascii="Verdana" w:hAnsi="Verdana" w:cs="Arial"/>
      <w:sz w:val="20"/>
      <w:lang w:eastAsia="en-GB"/>
    </w:rPr>
  </w:style>
  <w:style w:type="character" w:styleId="FollowedHyperlink">
    <w:name w:val="FollowedHyperlink"/>
    <w:basedOn w:val="DefaultParagraphFont"/>
    <w:rsid w:val="007D433B"/>
    <w:rPr>
      <w:rFonts w:cs="Times New Roman"/>
      <w:color w:val="800080"/>
      <w:u w:val="single"/>
    </w:rPr>
  </w:style>
  <w:style w:type="character" w:customStyle="1" w:styleId="HeadingbChar">
    <w:name w:val="Heading_b Char"/>
    <w:basedOn w:val="DefaultParagraphFont"/>
    <w:link w:val="Headingb"/>
    <w:locked/>
    <w:rsid w:val="007D433B"/>
    <w:rPr>
      <w:b/>
      <w:sz w:val="24"/>
      <w:lang w:val="en-GB" w:eastAsia="en-US" w:bidi="ar-SA"/>
    </w:rPr>
  </w:style>
  <w:style w:type="paragraph" w:styleId="BodyTextIndent">
    <w:name w:val="Body Text Indent"/>
    <w:basedOn w:val="Normal"/>
    <w:link w:val="BodyTextIndentChar"/>
    <w:rsid w:val="007D433B"/>
    <w:pPr>
      <w:widowControl w:val="0"/>
      <w:tabs>
        <w:tab w:val="clear" w:pos="794"/>
        <w:tab w:val="clear" w:pos="1191"/>
        <w:tab w:val="clear" w:pos="1588"/>
        <w:tab w:val="clear" w:pos="1985"/>
      </w:tabs>
      <w:suppressAutoHyphens/>
      <w:overflowPunct/>
      <w:autoSpaceDE/>
      <w:autoSpaceDN/>
      <w:adjustRightInd/>
      <w:spacing w:before="0"/>
      <w:ind w:leftChars="400" w:left="851"/>
      <w:textAlignment w:val="auto"/>
    </w:pPr>
    <w:rPr>
      <w:b/>
    </w:rPr>
  </w:style>
  <w:style w:type="character" w:customStyle="1" w:styleId="BodyTextIndentChar1">
    <w:name w:val="Body Text Indent Char1"/>
    <w:basedOn w:val="DefaultParagraphFont"/>
    <w:locked/>
    <w:rsid w:val="007D433B"/>
    <w:rPr>
      <w:rFonts w:ascii="Times New Roman" w:hAnsi="Times New Roman" w:cs="Times New Roman"/>
      <w:sz w:val="24"/>
      <w:lang w:val="en-GB" w:eastAsia="en-US"/>
    </w:rPr>
  </w:style>
  <w:style w:type="character" w:customStyle="1" w:styleId="WW-Absatz-Standardschriftart">
    <w:name w:val="WW-Absatz-Standardschriftart"/>
    <w:rsid w:val="007D433B"/>
  </w:style>
  <w:style w:type="character" w:customStyle="1" w:styleId="WW8Num4z0">
    <w:name w:val="WW8Num4z0"/>
    <w:rsid w:val="007D433B"/>
    <w:rPr>
      <w:rFonts w:ascii="Times New Roman" w:hAnsi="Times New Roman"/>
    </w:rPr>
  </w:style>
  <w:style w:type="character" w:customStyle="1" w:styleId="WW8Num5z0">
    <w:name w:val="WW8Num5z0"/>
    <w:rsid w:val="007D433B"/>
    <w:rPr>
      <w:rFonts w:ascii="MS Mincho" w:eastAsia="MS Mincho" w:hAnsi="MS Mincho"/>
    </w:rPr>
  </w:style>
  <w:style w:type="character" w:customStyle="1" w:styleId="WW8Num5z1">
    <w:name w:val="WW8Num5z1"/>
    <w:rsid w:val="007D433B"/>
    <w:rPr>
      <w:rFonts w:ascii="Wingdings" w:hAnsi="Wingdings"/>
    </w:rPr>
  </w:style>
  <w:style w:type="character" w:customStyle="1" w:styleId="WW8Num13z0">
    <w:name w:val="WW8Num13z0"/>
    <w:rsid w:val="007D433B"/>
    <w:rPr>
      <w:rFonts w:ascii="MS Mincho" w:eastAsia="MS Mincho" w:hAnsi="MS Mincho"/>
    </w:rPr>
  </w:style>
  <w:style w:type="character" w:customStyle="1" w:styleId="WW8Num13z1">
    <w:name w:val="WW8Num13z1"/>
    <w:rsid w:val="007D433B"/>
    <w:rPr>
      <w:rFonts w:ascii="Wingdings" w:hAnsi="Wingdings"/>
    </w:rPr>
  </w:style>
  <w:style w:type="character" w:customStyle="1" w:styleId="WW-">
    <w:name w:val="WW-段落フォント"/>
    <w:rsid w:val="007D433B"/>
  </w:style>
  <w:style w:type="character" w:customStyle="1" w:styleId="a0">
    <w:name w:val="番号付け記号"/>
    <w:rsid w:val="007D433B"/>
  </w:style>
  <w:style w:type="character" w:customStyle="1" w:styleId="WW-0">
    <w:name w:val="WW-番号付け記号"/>
    <w:rsid w:val="007D433B"/>
  </w:style>
  <w:style w:type="paragraph" w:styleId="BodyText">
    <w:name w:val="Body Text"/>
    <w:basedOn w:val="Normal"/>
    <w:link w:val="BodyTextChar"/>
    <w:rsid w:val="007D433B"/>
    <w:pPr>
      <w:widowControl w:val="0"/>
      <w:tabs>
        <w:tab w:val="clear" w:pos="794"/>
        <w:tab w:val="clear" w:pos="1191"/>
        <w:tab w:val="clear" w:pos="1588"/>
        <w:tab w:val="clear" w:pos="1985"/>
      </w:tabs>
      <w:suppressAutoHyphens/>
      <w:overflowPunct/>
      <w:autoSpaceDE/>
      <w:autoSpaceDN/>
      <w:adjustRightInd/>
      <w:spacing w:before="0" w:after="120"/>
      <w:textAlignment w:val="auto"/>
    </w:pPr>
    <w:rPr>
      <w:lang w:val="en-US"/>
    </w:rPr>
  </w:style>
  <w:style w:type="character" w:customStyle="1" w:styleId="BodyTextChar">
    <w:name w:val="Body Text Char"/>
    <w:basedOn w:val="DefaultParagraphFont"/>
    <w:link w:val="BodyText"/>
    <w:locked/>
    <w:rsid w:val="007D433B"/>
    <w:rPr>
      <w:sz w:val="24"/>
      <w:lang w:val="en-US" w:eastAsia="en-US" w:bidi="ar-SA"/>
    </w:rPr>
  </w:style>
  <w:style w:type="paragraph" w:styleId="List">
    <w:name w:val="List"/>
    <w:basedOn w:val="BodyText"/>
    <w:rsid w:val="007D433B"/>
    <w:rPr>
      <w:rFonts w:cs="Tahoma"/>
    </w:rPr>
  </w:style>
  <w:style w:type="paragraph" w:customStyle="1" w:styleId="1">
    <w:name w:val="図表番号1"/>
    <w:basedOn w:val="Normal"/>
    <w:rsid w:val="007D433B"/>
    <w:pPr>
      <w:widowControl w:val="0"/>
      <w:suppressLineNumbers/>
      <w:tabs>
        <w:tab w:val="clear" w:pos="794"/>
        <w:tab w:val="clear" w:pos="1191"/>
        <w:tab w:val="clear" w:pos="1588"/>
        <w:tab w:val="clear" w:pos="1985"/>
      </w:tabs>
      <w:suppressAutoHyphens/>
      <w:overflowPunct/>
      <w:autoSpaceDE/>
      <w:autoSpaceDN/>
      <w:adjustRightInd/>
      <w:spacing w:after="120"/>
      <w:textAlignment w:val="auto"/>
    </w:pPr>
    <w:rPr>
      <w:rFonts w:cs="Tahoma"/>
      <w:i/>
      <w:iCs/>
      <w:sz w:val="20"/>
      <w:lang w:val="en-US"/>
    </w:rPr>
  </w:style>
  <w:style w:type="paragraph" w:customStyle="1" w:styleId="a1">
    <w:name w:val="索引"/>
    <w:basedOn w:val="Normal"/>
    <w:rsid w:val="007D433B"/>
    <w:pPr>
      <w:widowControl w:val="0"/>
      <w:suppressLineNumbers/>
      <w:tabs>
        <w:tab w:val="clear" w:pos="794"/>
        <w:tab w:val="clear" w:pos="1191"/>
        <w:tab w:val="clear" w:pos="1588"/>
        <w:tab w:val="clear" w:pos="1985"/>
      </w:tabs>
      <w:suppressAutoHyphens/>
      <w:overflowPunct/>
      <w:autoSpaceDE/>
      <w:autoSpaceDN/>
      <w:adjustRightInd/>
      <w:spacing w:before="0"/>
      <w:textAlignment w:val="auto"/>
    </w:pPr>
    <w:rPr>
      <w:rFonts w:cs="Tahoma"/>
      <w:lang w:val="en-US"/>
    </w:rPr>
  </w:style>
  <w:style w:type="paragraph" w:customStyle="1" w:styleId="WW-1">
    <w:name w:val="WW-書式なし"/>
    <w:basedOn w:val="Normal"/>
    <w:rsid w:val="007D433B"/>
    <w:pPr>
      <w:widowControl w:val="0"/>
      <w:tabs>
        <w:tab w:val="clear" w:pos="794"/>
        <w:tab w:val="clear" w:pos="1191"/>
        <w:tab w:val="clear" w:pos="1588"/>
        <w:tab w:val="clear" w:pos="1985"/>
      </w:tabs>
      <w:suppressAutoHyphens/>
      <w:overflowPunct/>
      <w:autoSpaceDE/>
      <w:autoSpaceDN/>
      <w:adjustRightInd/>
      <w:spacing w:before="0"/>
      <w:jc w:val="both"/>
      <w:textAlignment w:val="auto"/>
    </w:pPr>
    <w:rPr>
      <w:rFonts w:ascii="MS Mincho" w:hAnsi="MS Mincho" w:cs="Courier New"/>
      <w:kern w:val="1"/>
      <w:sz w:val="21"/>
      <w:szCs w:val="21"/>
      <w:lang w:val="en-US"/>
    </w:rPr>
  </w:style>
  <w:style w:type="paragraph" w:customStyle="1" w:styleId="WW-2">
    <w:name w:val="WW-吹き出し"/>
    <w:basedOn w:val="Normal"/>
    <w:rsid w:val="007D433B"/>
    <w:pPr>
      <w:widowControl w:val="0"/>
      <w:tabs>
        <w:tab w:val="clear" w:pos="794"/>
        <w:tab w:val="clear" w:pos="1191"/>
        <w:tab w:val="clear" w:pos="1588"/>
        <w:tab w:val="clear" w:pos="1985"/>
      </w:tabs>
      <w:suppressAutoHyphens/>
      <w:overflowPunct/>
      <w:autoSpaceDE/>
      <w:autoSpaceDN/>
      <w:adjustRightInd/>
      <w:spacing w:before="0"/>
      <w:textAlignment w:val="auto"/>
    </w:pPr>
    <w:rPr>
      <w:rFonts w:ascii="Arial" w:eastAsia="MS Gothic" w:hAnsi="Arial"/>
      <w:sz w:val="18"/>
      <w:szCs w:val="18"/>
      <w:lang w:val="en-US"/>
    </w:rPr>
  </w:style>
  <w:style w:type="paragraph" w:customStyle="1" w:styleId="WW-10">
    <w:name w:val="WW-書式なし1"/>
    <w:basedOn w:val="Normal"/>
    <w:rsid w:val="007D433B"/>
    <w:pPr>
      <w:widowControl w:val="0"/>
      <w:tabs>
        <w:tab w:val="clear" w:pos="794"/>
        <w:tab w:val="clear" w:pos="1191"/>
        <w:tab w:val="clear" w:pos="1588"/>
        <w:tab w:val="clear" w:pos="1985"/>
      </w:tabs>
      <w:overflowPunct/>
      <w:autoSpaceDE/>
      <w:autoSpaceDN/>
      <w:adjustRightInd/>
      <w:spacing w:before="0"/>
      <w:jc w:val="both"/>
      <w:textAlignment w:val="auto"/>
    </w:pPr>
    <w:rPr>
      <w:rFonts w:ascii="MS Mincho" w:eastAsia="MS Mincho" w:hAnsi="MS Mincho" w:cs="Courier New"/>
      <w:kern w:val="1"/>
      <w:sz w:val="21"/>
      <w:szCs w:val="21"/>
      <w:lang w:val="en-US"/>
    </w:rPr>
  </w:style>
  <w:style w:type="paragraph" w:customStyle="1" w:styleId="WW-Web">
    <w:name w:val="WW-標準 (Web)"/>
    <w:basedOn w:val="Normal"/>
    <w:rsid w:val="007D433B"/>
    <w:pPr>
      <w:tabs>
        <w:tab w:val="clear" w:pos="794"/>
        <w:tab w:val="clear" w:pos="1191"/>
        <w:tab w:val="clear" w:pos="1588"/>
        <w:tab w:val="clear" w:pos="1985"/>
      </w:tabs>
      <w:overflowPunct/>
      <w:autoSpaceDE/>
      <w:autoSpaceDN/>
      <w:adjustRightInd/>
      <w:spacing w:before="280" w:after="280"/>
      <w:textAlignment w:val="auto"/>
    </w:pPr>
    <w:rPr>
      <w:rFonts w:ascii="MS Mincho" w:eastAsia="MS Mincho" w:hAnsi="MS Mincho"/>
      <w:szCs w:val="24"/>
      <w:lang w:val="en-US"/>
    </w:rPr>
  </w:style>
  <w:style w:type="paragraph" w:customStyle="1" w:styleId="a2">
    <w:name w:val="表の内容"/>
    <w:basedOn w:val="BodyText"/>
    <w:rsid w:val="007D433B"/>
    <w:pPr>
      <w:suppressLineNumbers/>
    </w:pPr>
  </w:style>
  <w:style w:type="paragraph" w:customStyle="1" w:styleId="a3">
    <w:name w:val="表の見出し"/>
    <w:basedOn w:val="a2"/>
    <w:rsid w:val="007D433B"/>
    <w:pPr>
      <w:jc w:val="center"/>
    </w:pPr>
    <w:rPr>
      <w:b/>
      <w:bCs/>
      <w:i/>
      <w:iCs/>
    </w:rPr>
  </w:style>
  <w:style w:type="paragraph" w:customStyle="1" w:styleId="a4">
    <w:name w:val="枠の内容"/>
    <w:basedOn w:val="BodyText"/>
    <w:rsid w:val="007D433B"/>
  </w:style>
  <w:style w:type="paragraph" w:customStyle="1" w:styleId="IEEEParagraph">
    <w:name w:val="IEEE Paragraph"/>
    <w:basedOn w:val="Normal"/>
    <w:link w:val="IEEEParagraphChar"/>
    <w:rsid w:val="007D433B"/>
    <w:pPr>
      <w:tabs>
        <w:tab w:val="clear" w:pos="794"/>
        <w:tab w:val="clear" w:pos="1191"/>
        <w:tab w:val="clear" w:pos="1588"/>
        <w:tab w:val="clear" w:pos="1985"/>
      </w:tabs>
      <w:overflowPunct/>
      <w:autoSpaceDE/>
      <w:autoSpaceDN/>
      <w:snapToGrid w:val="0"/>
      <w:spacing w:before="0"/>
      <w:ind w:firstLine="216"/>
      <w:jc w:val="both"/>
      <w:textAlignment w:val="auto"/>
    </w:pPr>
    <w:rPr>
      <w:rFonts w:eastAsia="SimSun"/>
      <w:sz w:val="20"/>
      <w:szCs w:val="24"/>
      <w:lang w:val="en-US" w:eastAsia="zh-CN"/>
    </w:rPr>
  </w:style>
  <w:style w:type="character" w:customStyle="1" w:styleId="IEEEParagraphChar">
    <w:name w:val="IEEE Paragraph Char"/>
    <w:basedOn w:val="DefaultParagraphFont"/>
    <w:link w:val="IEEEParagraph"/>
    <w:locked/>
    <w:rsid w:val="007D433B"/>
    <w:rPr>
      <w:rFonts w:eastAsia="SimSun"/>
      <w:szCs w:val="24"/>
      <w:lang w:val="en-US" w:eastAsia="zh-CN" w:bidi="ar-SA"/>
    </w:rPr>
  </w:style>
  <w:style w:type="paragraph" w:customStyle="1" w:styleId="IEEEReferenceItem">
    <w:name w:val="IEEE Reference Item"/>
    <w:basedOn w:val="Normal"/>
    <w:rsid w:val="007D433B"/>
    <w:pPr>
      <w:tabs>
        <w:tab w:val="clear" w:pos="794"/>
        <w:tab w:val="clear" w:pos="1191"/>
        <w:tab w:val="clear" w:pos="1588"/>
        <w:tab w:val="clear" w:pos="1985"/>
        <w:tab w:val="num" w:pos="432"/>
      </w:tabs>
      <w:overflowPunct/>
      <w:autoSpaceDE/>
      <w:autoSpaceDN/>
      <w:snapToGrid w:val="0"/>
      <w:spacing w:before="0"/>
      <w:ind w:left="432" w:hanging="432"/>
      <w:jc w:val="both"/>
      <w:textAlignment w:val="auto"/>
    </w:pPr>
    <w:rPr>
      <w:rFonts w:eastAsia="SimSun"/>
      <w:sz w:val="16"/>
      <w:szCs w:val="24"/>
      <w:lang w:val="en-US" w:eastAsia="zh-CN"/>
    </w:rPr>
  </w:style>
  <w:style w:type="paragraph" w:customStyle="1" w:styleId="headingi0">
    <w:name w:val="heading_i"/>
    <w:basedOn w:val="Heading3"/>
    <w:next w:val="Normal"/>
    <w:rsid w:val="007D433B"/>
    <w:pPr>
      <w:tabs>
        <w:tab w:val="clear" w:pos="1191"/>
        <w:tab w:val="clear" w:pos="1588"/>
        <w:tab w:val="clear" w:pos="1985"/>
        <w:tab w:val="left" w:pos="2127"/>
        <w:tab w:val="left" w:pos="2410"/>
        <w:tab w:val="left" w:pos="2921"/>
        <w:tab w:val="left" w:pos="3261"/>
      </w:tabs>
      <w:overflowPunct/>
      <w:autoSpaceDE/>
      <w:autoSpaceDN/>
      <w:adjustRightInd/>
      <w:ind w:left="0" w:firstLine="0"/>
      <w:textAlignment w:val="auto"/>
      <w:outlineLvl w:val="9"/>
    </w:pPr>
    <w:rPr>
      <w:rFonts w:eastAsia="MS Mincho"/>
      <w:b w:val="0"/>
      <w:i/>
    </w:rPr>
  </w:style>
  <w:style w:type="paragraph" w:styleId="EndnoteText">
    <w:name w:val="endnote text"/>
    <w:basedOn w:val="Normal"/>
    <w:link w:val="EndnoteTextChar"/>
    <w:rsid w:val="007D433B"/>
    <w:pPr>
      <w:widowControl w:val="0"/>
      <w:tabs>
        <w:tab w:val="clear" w:pos="794"/>
        <w:tab w:val="clear" w:pos="1191"/>
        <w:tab w:val="clear" w:pos="1588"/>
        <w:tab w:val="clear" w:pos="1985"/>
      </w:tabs>
      <w:overflowPunct/>
      <w:autoSpaceDE/>
      <w:autoSpaceDN/>
      <w:adjustRightInd/>
      <w:snapToGrid w:val="0"/>
      <w:spacing w:before="0"/>
      <w:textAlignment w:val="auto"/>
    </w:pPr>
    <w:rPr>
      <w:rFonts w:ascii="Century" w:eastAsia="MS Mincho" w:hAnsi="Century"/>
      <w:kern w:val="2"/>
      <w:sz w:val="21"/>
      <w:szCs w:val="24"/>
      <w:lang w:val="en-US" w:eastAsia="ja-JP"/>
    </w:rPr>
  </w:style>
  <w:style w:type="character" w:customStyle="1" w:styleId="EndnoteTextChar">
    <w:name w:val="Endnote Text Char"/>
    <w:basedOn w:val="DefaultParagraphFont"/>
    <w:link w:val="EndnoteText"/>
    <w:locked/>
    <w:rsid w:val="007D433B"/>
    <w:rPr>
      <w:rFonts w:ascii="Century" w:eastAsia="MS Mincho" w:hAnsi="Century"/>
      <w:kern w:val="2"/>
      <w:sz w:val="21"/>
      <w:szCs w:val="24"/>
      <w:lang w:val="en-US" w:eastAsia="ja-JP" w:bidi="ar-SA"/>
    </w:rPr>
  </w:style>
  <w:style w:type="character" w:customStyle="1" w:styleId="note0">
    <w:name w:val="note"/>
    <w:basedOn w:val="DefaultParagraphFont"/>
    <w:rsid w:val="007D433B"/>
    <w:rPr>
      <w:rFonts w:cs="Times New Roman"/>
    </w:rPr>
  </w:style>
  <w:style w:type="paragraph" w:customStyle="1" w:styleId="CharCharCharCharCharChar">
    <w:name w:val="Char Char Char Char Char Char"/>
    <w:basedOn w:val="Normal"/>
    <w:rsid w:val="007D43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both"/>
      <w:textAlignment w:val="auto"/>
    </w:pPr>
    <w:rPr>
      <w:rFonts w:ascii="Verdana" w:eastAsia="SimSun" w:hAnsi="Verdana"/>
      <w:lang w:val="en-US"/>
    </w:rPr>
  </w:style>
  <w:style w:type="paragraph" w:customStyle="1" w:styleId="ZchnZchn2">
    <w:name w:val="Zchn Zchn2"/>
    <w:basedOn w:val="Normal"/>
    <w:rsid w:val="007D43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SimSun" w:hAnsi="Verdana"/>
      <w:lang w:val="en-US"/>
    </w:rPr>
  </w:style>
  <w:style w:type="character" w:customStyle="1" w:styleId="ChapterCharChar">
    <w:name w:val="Chapter Char Char"/>
    <w:basedOn w:val="DefaultParagraphFont"/>
    <w:rsid w:val="007D433B"/>
    <w:rPr>
      <w:rFonts w:cs="Times New Roman"/>
      <w:b/>
      <w:sz w:val="24"/>
      <w:lang w:val="en-GB" w:eastAsia="en-US" w:bidi="ar-SA"/>
    </w:rPr>
  </w:style>
  <w:style w:type="character" w:customStyle="1" w:styleId="Title2Char">
    <w:name w:val="Title 2 Char"/>
    <w:basedOn w:val="DefaultParagraphFont"/>
    <w:link w:val="Title2"/>
    <w:locked/>
    <w:rsid w:val="007D433B"/>
    <w:rPr>
      <w:caps/>
      <w:sz w:val="28"/>
      <w:lang w:val="en-GB" w:eastAsia="en-US" w:bidi="ar-SA"/>
    </w:rPr>
  </w:style>
  <w:style w:type="paragraph" w:customStyle="1" w:styleId="Bullet">
    <w:name w:val="Bullet"/>
    <w:basedOn w:val="Normal"/>
    <w:rsid w:val="007D433B"/>
    <w:pPr>
      <w:tabs>
        <w:tab w:val="clear" w:pos="794"/>
        <w:tab w:val="clear" w:pos="1191"/>
        <w:tab w:val="clear" w:pos="1588"/>
        <w:tab w:val="clear" w:pos="1985"/>
        <w:tab w:val="num" w:pos="1080"/>
      </w:tabs>
      <w:overflowPunct/>
      <w:autoSpaceDE/>
      <w:autoSpaceDN/>
      <w:adjustRightInd/>
      <w:spacing w:before="0" w:after="60" w:line="264" w:lineRule="auto"/>
      <w:ind w:left="1080" w:hanging="360"/>
      <w:jc w:val="both"/>
      <w:textAlignment w:val="auto"/>
    </w:pPr>
    <w:rPr>
      <w:rFonts w:eastAsia="SimSun"/>
      <w:szCs w:val="24"/>
    </w:rPr>
  </w:style>
  <w:style w:type="paragraph" w:customStyle="1" w:styleId="RecNoBR">
    <w:name w:val="Rec_No_BR"/>
    <w:basedOn w:val="Normal"/>
    <w:next w:val="Normal"/>
    <w:rsid w:val="007D433B"/>
    <w:pPr>
      <w:keepNext/>
      <w:keepLines/>
      <w:spacing w:before="480"/>
      <w:jc w:val="center"/>
    </w:pPr>
    <w:rPr>
      <w:rFonts w:eastAsia="SimSun"/>
      <w:caps/>
      <w:sz w:val="28"/>
    </w:rPr>
  </w:style>
  <w:style w:type="paragraph" w:customStyle="1" w:styleId="s0">
    <w:name w:val="s0"/>
    <w:rsid w:val="007D433B"/>
    <w:pPr>
      <w:widowControl w:val="0"/>
      <w:autoSpaceDE w:val="0"/>
      <w:autoSpaceDN w:val="0"/>
      <w:adjustRightInd w:val="0"/>
    </w:pPr>
    <w:rPr>
      <w:rFonts w:ascii="Batang" w:eastAsia="Batang" w:hAnsi="Times New Roman"/>
      <w:sz w:val="24"/>
      <w:szCs w:val="24"/>
      <w:lang w:eastAsia="ko-KR"/>
    </w:rPr>
  </w:style>
  <w:style w:type="paragraph" w:styleId="DocumentMap">
    <w:name w:val="Document Map"/>
    <w:basedOn w:val="Normal"/>
    <w:link w:val="DocumentMapChar"/>
    <w:rsid w:val="007D433B"/>
    <w:pPr>
      <w:shd w:val="clear" w:color="auto" w:fill="000080"/>
    </w:pPr>
    <w:rPr>
      <w:rFonts w:ascii="Tahoma" w:hAnsi="Tahoma" w:cs="Tahoma"/>
      <w:sz w:val="20"/>
    </w:rPr>
  </w:style>
  <w:style w:type="character" w:customStyle="1" w:styleId="DocumentMapChar">
    <w:name w:val="Document Map Char"/>
    <w:basedOn w:val="DefaultParagraphFont"/>
    <w:link w:val="DocumentMap"/>
    <w:locked/>
    <w:rsid w:val="007D433B"/>
    <w:rPr>
      <w:rFonts w:ascii="Tahoma" w:hAnsi="Tahoma" w:cs="Tahoma"/>
      <w:lang w:val="en-GB" w:eastAsia="en-US" w:bidi="ar-SA"/>
    </w:rPr>
  </w:style>
  <w:style w:type="character" w:styleId="Strong">
    <w:name w:val="Strong"/>
    <w:basedOn w:val="DefaultParagraphFont"/>
    <w:qFormat/>
    <w:rsid w:val="00BF14E0"/>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png"/><Relationship Id="rId68" Type="http://schemas.openxmlformats.org/officeDocument/2006/relationships/image" Target="media/image58.wmf"/><Relationship Id="rId84" Type="http://schemas.openxmlformats.org/officeDocument/2006/relationships/image" Target="media/image70.jpeg"/><Relationship Id="rId89" Type="http://schemas.openxmlformats.org/officeDocument/2006/relationships/image" Target="media/image75.png"/><Relationship Id="rId112" Type="http://schemas.openxmlformats.org/officeDocument/2006/relationships/header" Target="header2.xml"/><Relationship Id="rId16" Type="http://schemas.openxmlformats.org/officeDocument/2006/relationships/image" Target="media/image6.png"/><Relationship Id="rId107" Type="http://schemas.openxmlformats.org/officeDocument/2006/relationships/image" Target="media/image91.emf"/><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3.wmf"/><Relationship Id="rId79" Type="http://schemas.openxmlformats.org/officeDocument/2006/relationships/oleObject" Target="embeddings/oleObject3.bin"/><Relationship Id="rId87" Type="http://schemas.openxmlformats.org/officeDocument/2006/relationships/image" Target="media/image73.jpeg"/><Relationship Id="rId102" Type="http://schemas.openxmlformats.org/officeDocument/2006/relationships/hyperlink" Target="http://www.itu.int/md/R07-WP1A-C-0176/en" TargetMode="External"/><Relationship Id="rId110" Type="http://schemas.openxmlformats.org/officeDocument/2006/relationships/image" Target="media/image94.emf"/><Relationship Id="rId115"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51.wmf"/><Relationship Id="rId82" Type="http://schemas.openxmlformats.org/officeDocument/2006/relationships/image" Target="media/image68.jpe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oleObject" Target="embeddings/oleObject1.bin"/><Relationship Id="rId77" Type="http://schemas.openxmlformats.org/officeDocument/2006/relationships/oleObject" Target="embeddings/oleObject2.bin"/><Relationship Id="rId100" Type="http://schemas.openxmlformats.org/officeDocument/2006/relationships/image" Target="media/image86.emf"/><Relationship Id="rId105" Type="http://schemas.openxmlformats.org/officeDocument/2006/relationships/image" Target="media/image89.emf"/><Relationship Id="rId113"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1.emf"/><Relationship Id="rId72" Type="http://schemas.openxmlformats.org/officeDocument/2006/relationships/image" Target="media/image61.wmf"/><Relationship Id="rId80" Type="http://schemas.openxmlformats.org/officeDocument/2006/relationships/image" Target="media/image67.wmf"/><Relationship Id="rId85" Type="http://schemas.openxmlformats.org/officeDocument/2006/relationships/image" Target="media/image71.jpeg"/><Relationship Id="rId93" Type="http://schemas.openxmlformats.org/officeDocument/2006/relationships/image" Target="media/image79.png"/><Relationship Id="rId98" Type="http://schemas.openxmlformats.org/officeDocument/2006/relationships/image" Target="media/image84.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wmf"/><Relationship Id="rId67" Type="http://schemas.openxmlformats.org/officeDocument/2006/relationships/image" Target="media/image57.png"/><Relationship Id="rId103" Type="http://schemas.openxmlformats.org/officeDocument/2006/relationships/image" Target="media/image87.emf"/><Relationship Id="rId108" Type="http://schemas.openxmlformats.org/officeDocument/2006/relationships/image" Target="media/image92.emf"/><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wmf"/><Relationship Id="rId70" Type="http://schemas.openxmlformats.org/officeDocument/2006/relationships/image" Target="media/image59.wmf"/><Relationship Id="rId75" Type="http://schemas.openxmlformats.org/officeDocument/2006/relationships/image" Target="media/image64.wmf"/><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png"/><Relationship Id="rId96" Type="http://schemas.openxmlformats.org/officeDocument/2006/relationships/image" Target="media/image82.jpeg"/><Relationship Id="rId111" Type="http://schemas.openxmlformats.org/officeDocument/2006/relationships/image" Target="media/image9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png"/><Relationship Id="rId106" Type="http://schemas.openxmlformats.org/officeDocument/2006/relationships/image" Target="media/image90.emf"/><Relationship Id="rId114" Type="http://schemas.openxmlformats.org/officeDocument/2006/relationships/header" Target="header3.xm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wmf"/><Relationship Id="rId65" Type="http://schemas.openxmlformats.org/officeDocument/2006/relationships/image" Target="media/image55.png"/><Relationship Id="rId73" Type="http://schemas.openxmlformats.org/officeDocument/2006/relationships/image" Target="media/image62.wmf"/><Relationship Id="rId78" Type="http://schemas.openxmlformats.org/officeDocument/2006/relationships/image" Target="media/image66.wmf"/><Relationship Id="rId81" Type="http://schemas.openxmlformats.org/officeDocument/2006/relationships/oleObject" Target="embeddings/oleObject4.bin"/><Relationship Id="rId86" Type="http://schemas.openxmlformats.org/officeDocument/2006/relationships/image" Target="media/image72.jpeg"/><Relationship Id="rId94" Type="http://schemas.openxmlformats.org/officeDocument/2006/relationships/image" Target="media/image80.png"/><Relationship Id="rId99" Type="http://schemas.openxmlformats.org/officeDocument/2006/relationships/image" Target="media/image85.emf"/><Relationship Id="rId101" Type="http://schemas.openxmlformats.org/officeDocument/2006/relationships/hyperlink" Target="http://www.nabanet.com/nabaweb/members/pdf/itur/CRCReport.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emf"/><Relationship Id="rId109" Type="http://schemas.openxmlformats.org/officeDocument/2006/relationships/image" Target="media/image93.emf"/><Relationship Id="rId34" Type="http://schemas.openxmlformats.org/officeDocument/2006/relationships/image" Target="media/image24.png"/><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5.wmf"/><Relationship Id="rId97" Type="http://schemas.openxmlformats.org/officeDocument/2006/relationships/image" Target="media/image83.emf"/><Relationship Id="rId104" Type="http://schemas.openxmlformats.org/officeDocument/2006/relationships/image" Target="media/image88.emf"/><Relationship Id="rId7" Type="http://schemas.openxmlformats.org/officeDocument/2006/relationships/endnotes" Target="endnotes.xml"/><Relationship Id="rId71" Type="http://schemas.openxmlformats.org/officeDocument/2006/relationships/image" Target="media/image60.wmf"/><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9.png"/></Relationships>
</file>

<file path=word/_rels/footnotes.xml.rels><?xml version="1.0" encoding="UTF-8" standalone="yes"?>
<Relationships xmlns="http://schemas.openxmlformats.org/package/2006/relationships"><Relationship Id="rId1" Type="http://schemas.openxmlformats.org/officeDocument/2006/relationships/hyperlink" Target="http://www.erodocdb.dk/doks/doccategoryECC.aspx?doccatid=4&amp;alldata=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Word2003\Pool\POOL%20-%20E\PE_B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0D337-94C1-4D12-A334-D1AA58FFD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82</TotalTime>
  <Pages>48</Pages>
  <Words>11672</Words>
  <Characters>64295</Characters>
  <Application>Microsoft Office Word</Application>
  <DocSecurity>0</DocSecurity>
  <Lines>535</Lines>
  <Paragraphs>151</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Radiocommunication Study Groups</vt:lpstr>
      <vt:lpstr>1	Introduction</vt:lpstr>
      <vt:lpstr>2	Characteristics of radio-frequency emission from PLT systems in the VHF and UH</vt:lpstr>
      <vt:lpstr>3	Radio system characteristics, protection criteria, and impact of PLT systems o</vt:lpstr>
      <vt:lpstr>    3.1	Broadcasting</vt:lpstr>
      <vt:lpstr>    3.2	Amateur and amateur-satellite</vt:lpstr>
      <vt:lpstr>        3.2.1	Background noise levels in the 144-148 MHz band</vt:lpstr>
      <vt:lpstr>        3.2.2	Characteristics of amateur stations in the 144-148 MHz band</vt:lpstr>
      <vt:lpstr>        3.2.3	Protection requirements</vt:lpstr>
      <vt:lpstr>        3.2.4	Conclusion</vt:lpstr>
      <vt:lpstr>    3.3	Maritime mobile service including Global Maritime Distress and Safety System</vt:lpstr>
      <vt:lpstr>        3.3.1	Initial maximum tolerable value of interference for systems operating in m</vt:lpstr>
      <vt:lpstr>    3.4	Land mobile</vt:lpstr>
      <vt:lpstr>    3.5	Radio astronomy</vt:lpstr>
      <vt:lpstr>    3.6	Fixed</vt:lpstr>
      <vt:lpstr>    3.7	Mobile-satellite service (MSS) and radionavigation-satellite service (RNSS)</vt:lpstr>
      <vt:lpstr>        3.7.1	Frequency bands</vt:lpstr>
      <vt:lpstr>        3.7.2	Protection criterion</vt:lpstr>
      <vt:lpstr>        3.7.3	System parameters</vt:lpstr>
      <vt:lpstr>    3.8	Meteorological-satellite</vt:lpstr>
      <vt:lpstr>    3.9	Space research</vt:lpstr>
      <vt:lpstr>    3.10	Space operation</vt:lpstr>
      <vt:lpstr>4	Potential means for preventing or eliminating interference</vt:lpstr>
      <vt:lpstr>5	Overall conclusions</vt:lpstr>
      <vt:lpstr>    A1.1	Detailed analysis of mode conversion at the switch branch</vt:lpstr>
      <vt:lpstr>        A1.1.1	Mixed-mode scattering matrix of a balanced transmission line unilaterally</vt:lpstr>
      <vt:lpstr>    A2.1	Interference to VHF/UHF radio systems from harmonics of power line telecomm</vt:lpstr>
      <vt:lpstr>        A2.1.1	Domestic radio systems</vt:lpstr>
      <vt:lpstr>        A2.1.2	Conclusion</vt:lpstr>
      <vt:lpstr>    A2.2	Compatibility between Aeronautical Radio and PLT in-house devices in the fr</vt:lpstr>
      <vt:lpstr>        A2.2.1	Compatibility analysis for interferences in aeronautical radio</vt:lpstr>
      <vt:lpstr>        A2.2.2	 Calculation of interference threshold for PLT due to aeronautical requir</vt:lpstr>
      <vt:lpstr>        A2.2.3	Calculation of power flux-density caused by limits provided by PLT system</vt:lpstr>
      <vt:lpstr>        A2.2.4	Comparison of interference threshold required for airborne receiver and i</vt:lpstr>
      <vt:lpstr>        A2.2.5	Conclusions</vt:lpstr>
      <vt:lpstr>    A2.3	PLT aggregation model applicable for aircraft radiocommunication and radion</vt:lpstr>
      <vt:lpstr>    A3.1	Introduction</vt:lpstr>
      <vt:lpstr>    A3.2	Radio-frequency emission measurements from PLT systems</vt:lpstr>
      <vt:lpstr>        A3.2.1	Institut für Rundfunktechnik GmbH (IRT) measurements of PLT modems</vt:lpstr>
      <vt:lpstr>        A3.2.1.5	Field strength with horizontal polarization</vt:lpstr>
      <vt:lpstr>        A3.2.1.6	Field strength with vertical polarization</vt:lpstr>
      <vt:lpstr>        A3.2.2	Communication Research Centre (Canada) measurements of PLT modems</vt:lpstr>
      <vt:lpstr>        A3.2.3	CBS Broadcasting and National Public Radio (NPR) measurements of a “Gigab</vt:lpstr>
    </vt:vector>
  </TitlesOfParts>
  <Manager/>
  <Company/>
  <LinksUpToDate>false</LinksUpToDate>
  <CharactersWithSpaces>75816</CharactersWithSpaces>
  <SharedDoc>false</SharedDoc>
  <HLinks>
    <vt:vector size="6" baseType="variant">
      <vt:variant>
        <vt:i4>5570603</vt:i4>
      </vt:variant>
      <vt:variant>
        <vt:i4>0</vt:i4>
      </vt:variant>
      <vt:variant>
        <vt:i4>0</vt:i4>
      </vt:variant>
      <vt:variant>
        <vt:i4>5</vt:i4>
      </vt:variant>
      <vt:variant>
        <vt:lpwstr>http://www.itu.int/md/choice_md.asp?id=R07-WP1A-C-0207!N12!MSW-E&amp;lang=en&amp;type=sitems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subject/>
  <dc:creator>capdessu</dc:creator>
  <cp:keywords/>
  <dc:description/>
  <cp:lastModifiedBy>capdessu</cp:lastModifiedBy>
  <cp:revision>7</cp:revision>
  <cp:lastPrinted>2010-07-09T08:15:00Z</cp:lastPrinted>
  <dcterms:created xsi:type="dcterms:W3CDTF">2010-07-12T10:42:00Z</dcterms:created>
  <dcterms:modified xsi:type="dcterms:W3CDTF">2010-07-12T13:16:00Z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