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3803"/>
        <w:gridCol w:w="3786"/>
      </w:tblGrid>
      <w:tr w:rsidR="00316243" w:rsidRPr="00A206AB" w:rsidTr="00FB3367">
        <w:trPr>
          <w:cantSplit/>
        </w:trPr>
        <w:tc>
          <w:tcPr>
            <w:tcW w:w="5574" w:type="dxa"/>
            <w:gridSpan w:val="2"/>
          </w:tcPr>
          <w:p w:rsidR="00316243" w:rsidRPr="00A206AB" w:rsidRDefault="00316243" w:rsidP="00FB3367">
            <w:pPr>
              <w:ind w:right="282"/>
              <w:rPr>
                <w:b/>
                <w:lang w:val="en-GB" w:eastAsia="de-DE"/>
              </w:rPr>
            </w:pPr>
            <w:r w:rsidRPr="00A206AB">
              <w:rPr>
                <w:b/>
                <w:lang w:val="en-GB"/>
              </w:rPr>
              <w:br w:type="page"/>
            </w:r>
            <w:r w:rsidRPr="00A206AB"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621155" cy="839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16243" w:rsidRPr="00A206AB" w:rsidRDefault="00316243" w:rsidP="00FB3367">
            <w:pPr>
              <w:ind w:right="110"/>
              <w:jc w:val="right"/>
              <w:rPr>
                <w:b/>
                <w:lang w:val="en-GB"/>
              </w:rPr>
            </w:pPr>
            <w:r w:rsidRPr="00A206AB">
              <w:rPr>
                <w:b/>
                <w:lang w:val="en-GB"/>
              </w:rPr>
              <w:t>SE43(11)</w:t>
            </w:r>
            <w:r w:rsidR="00EA04C7">
              <w:rPr>
                <w:b/>
                <w:lang w:val="en-GB"/>
              </w:rPr>
              <w:t>55</w:t>
            </w:r>
          </w:p>
          <w:p w:rsidR="00316243" w:rsidRPr="00A206AB" w:rsidRDefault="00316243" w:rsidP="00FB3367">
            <w:pPr>
              <w:ind w:right="110"/>
              <w:jc w:val="right"/>
              <w:rPr>
                <w:b/>
                <w:lang w:val="en-GB" w:eastAsia="de-DE"/>
              </w:rPr>
            </w:pPr>
          </w:p>
        </w:tc>
      </w:tr>
      <w:tr w:rsidR="00316243" w:rsidRPr="00EA04C7" w:rsidTr="00FB3367">
        <w:tc>
          <w:tcPr>
            <w:tcW w:w="55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316243" w:rsidP="00FB3367">
            <w:pPr>
              <w:pStyle w:val="Titre4"/>
              <w:ind w:right="-321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11</w:t>
            </w:r>
            <w:r w:rsidRPr="00A206AB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Pr="00A206AB">
              <w:rPr>
                <w:rFonts w:ascii="Times New Roman" w:hAnsi="Times New Roman"/>
                <w:szCs w:val="24"/>
              </w:rPr>
              <w:t xml:space="preserve"> meeting of SE43</w:t>
            </w:r>
          </w:p>
          <w:p w:rsidR="00316243" w:rsidRPr="00A206AB" w:rsidRDefault="00316243" w:rsidP="00316243">
            <w:pPr>
              <w:rPr>
                <w:b/>
                <w:lang w:val="en-GB" w:eastAsia="de-DE"/>
              </w:rPr>
            </w:pPr>
            <w:r w:rsidRPr="00A206AB">
              <w:rPr>
                <w:b/>
                <w:lang w:val="en-GB"/>
              </w:rPr>
              <w:t>Lisbon, 19 – 21 September 2011</w:t>
            </w:r>
          </w:p>
        </w:tc>
        <w:tc>
          <w:tcPr>
            <w:tcW w:w="3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316243" w:rsidP="00FB3367">
            <w:pPr>
              <w:pStyle w:val="Titre4"/>
              <w:ind w:right="324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316243" w:rsidRPr="00A206AB" w:rsidTr="00FB3367">
        <w:trPr>
          <w:trHeight w:val="454"/>
        </w:trPr>
        <w:tc>
          <w:tcPr>
            <w:tcW w:w="1771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316243" w:rsidP="00FB3367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Date issued:</w:t>
            </w:r>
          </w:p>
        </w:tc>
        <w:tc>
          <w:tcPr>
            <w:tcW w:w="7589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F959EC" w:rsidP="00F959EC">
            <w:pPr>
              <w:pStyle w:val="Titre4"/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316243" w:rsidRPr="00A206A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September</w:t>
            </w:r>
            <w:r w:rsidR="00316243" w:rsidRPr="00A206AB">
              <w:rPr>
                <w:rFonts w:ascii="Times New Roman" w:hAnsi="Times New Roman"/>
                <w:szCs w:val="24"/>
              </w:rPr>
              <w:t xml:space="preserve"> 2011</w:t>
            </w:r>
          </w:p>
        </w:tc>
      </w:tr>
      <w:tr w:rsidR="00316243" w:rsidRPr="00A206AB" w:rsidTr="00FB3367">
        <w:trPr>
          <w:trHeight w:val="454"/>
        </w:trPr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316243" w:rsidP="00FB3367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Source:</w:t>
            </w:r>
          </w:p>
        </w:tc>
        <w:tc>
          <w:tcPr>
            <w:tcW w:w="7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2E0300" w:rsidP="00FB3367">
            <w:pPr>
              <w:pStyle w:val="Titre4"/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BT</w:t>
            </w:r>
          </w:p>
        </w:tc>
      </w:tr>
      <w:tr w:rsidR="00316243" w:rsidRPr="00A206AB" w:rsidTr="00FB3367">
        <w:trPr>
          <w:trHeight w:val="454"/>
        </w:trPr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316243" w:rsidP="00FB3367">
            <w:pPr>
              <w:pStyle w:val="Titre4"/>
              <w:tabs>
                <w:tab w:val="left" w:pos="8789"/>
              </w:tabs>
              <w:spacing w:before="60" w:after="60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Subject:</w:t>
            </w:r>
          </w:p>
        </w:tc>
        <w:tc>
          <w:tcPr>
            <w:tcW w:w="75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243" w:rsidRPr="00A206AB" w:rsidRDefault="002E0300" w:rsidP="00FB3367">
            <w:pPr>
              <w:pStyle w:val="Titre4"/>
              <w:spacing w:before="60" w:after="60"/>
              <w:ind w:right="-108"/>
              <w:rPr>
                <w:rFonts w:ascii="Times New Roman" w:hAnsi="Times New Roman"/>
                <w:szCs w:val="24"/>
              </w:rPr>
            </w:pPr>
            <w:r w:rsidRPr="00A206AB">
              <w:rPr>
                <w:rFonts w:ascii="Times New Roman" w:hAnsi="Times New Roman"/>
                <w:szCs w:val="24"/>
              </w:rPr>
              <w:t>Parameters for TVWS devices</w:t>
            </w:r>
          </w:p>
        </w:tc>
      </w:tr>
    </w:tbl>
    <w:p w:rsidR="00316243" w:rsidRPr="00A206AB" w:rsidRDefault="00316243" w:rsidP="00316243">
      <w:pPr>
        <w:pStyle w:val="SimonsStyle"/>
        <w:jc w:val="both"/>
        <w:rPr>
          <w:rFonts w:ascii="Times New Roman" w:hAnsi="Times New Roman"/>
          <w:sz w:val="4"/>
          <w:szCs w:val="4"/>
        </w:rPr>
      </w:pPr>
    </w:p>
    <w:p w:rsidR="000B79A2" w:rsidRPr="00A206AB" w:rsidRDefault="000B79A2" w:rsidP="000B79A2">
      <w:pPr>
        <w:rPr>
          <w:lang w:val="en-GB"/>
        </w:rPr>
      </w:pPr>
    </w:p>
    <w:p w:rsidR="002E0300" w:rsidRPr="00A206AB" w:rsidRDefault="002E0300" w:rsidP="000B79A2">
      <w:pPr>
        <w:pStyle w:val="Paragraphedeliste"/>
        <w:numPr>
          <w:ilvl w:val="0"/>
          <w:numId w:val="2"/>
        </w:numPr>
        <w:ind w:left="0" w:firstLine="0"/>
        <w:rPr>
          <w:lang w:val="en-GB"/>
        </w:rPr>
      </w:pPr>
      <w:r w:rsidRPr="00A206AB">
        <w:rPr>
          <w:lang w:val="en-GB"/>
        </w:rPr>
        <w:t>INTRODUCTION</w:t>
      </w:r>
      <w:r w:rsidRPr="00A206AB">
        <w:rPr>
          <w:lang w:val="en-GB"/>
        </w:rPr>
        <w:tab/>
      </w:r>
    </w:p>
    <w:p w:rsidR="002E0300" w:rsidRPr="00A206AB" w:rsidRDefault="002E0300" w:rsidP="000B79A2">
      <w:pPr>
        <w:rPr>
          <w:lang w:val="en-GB"/>
        </w:rPr>
      </w:pPr>
    </w:p>
    <w:p w:rsidR="002E0300" w:rsidRPr="00A206AB" w:rsidRDefault="00314AC4" w:rsidP="000B79A2">
      <w:pPr>
        <w:rPr>
          <w:lang w:val="en-GB"/>
        </w:rPr>
      </w:pPr>
      <w:r w:rsidRPr="00A206AB">
        <w:rPr>
          <w:lang w:val="en-GB"/>
        </w:rPr>
        <w:t xml:space="preserve">The CEPT SE43 </w:t>
      </w:r>
      <w:r w:rsidR="000B79A2" w:rsidRPr="00A206AB">
        <w:rPr>
          <w:lang w:val="en-GB"/>
        </w:rPr>
        <w:t xml:space="preserve">working document </w:t>
      </w:r>
      <w:r w:rsidRPr="00A206AB">
        <w:rPr>
          <w:lang w:val="en-GB"/>
        </w:rPr>
        <w:t xml:space="preserve">(Annex 1 to SE43(11)40) identifies in Sections 4 &amp; 5 typical parameters for different use cases of TVWS devices.  These include the idea of using TVWS for mobile broadband coverage.  However there </w:t>
      </w:r>
      <w:r w:rsidR="006D38D4">
        <w:rPr>
          <w:lang w:val="en-GB"/>
        </w:rPr>
        <w:t>are</w:t>
      </w:r>
      <w:r w:rsidRPr="00A206AB">
        <w:rPr>
          <w:lang w:val="en-GB"/>
        </w:rPr>
        <w:t xml:space="preserve"> also </w:t>
      </w:r>
      <w:r w:rsidR="000B79A2" w:rsidRPr="00A206AB">
        <w:rPr>
          <w:lang w:val="en-GB"/>
        </w:rPr>
        <w:t>trial</w:t>
      </w:r>
      <w:r w:rsidR="006D38D4">
        <w:rPr>
          <w:lang w:val="en-GB"/>
        </w:rPr>
        <w:t>s</w:t>
      </w:r>
      <w:r w:rsidR="000B79A2" w:rsidRPr="00A206AB">
        <w:rPr>
          <w:lang w:val="en-GB"/>
        </w:rPr>
        <w:t xml:space="preserve"> currently ongoing in the UK </w:t>
      </w:r>
      <w:r w:rsidR="006D38D4">
        <w:rPr>
          <w:lang w:val="en-GB"/>
        </w:rPr>
        <w:t xml:space="preserve">investigating </w:t>
      </w:r>
      <w:r w:rsidR="000B79A2" w:rsidRPr="00A206AB">
        <w:rPr>
          <w:lang w:val="en-GB"/>
        </w:rPr>
        <w:t>TVWS being used to provide fixed broadband connections.  Therefore we believe that this use case should also be included in the SE43 working document.</w:t>
      </w:r>
    </w:p>
    <w:p w:rsidR="000B79A2" w:rsidRPr="00A206AB" w:rsidRDefault="000B79A2" w:rsidP="000B79A2">
      <w:pPr>
        <w:rPr>
          <w:lang w:val="en-GB"/>
        </w:rPr>
      </w:pPr>
    </w:p>
    <w:p w:rsidR="000B79A2" w:rsidRPr="00A206AB" w:rsidRDefault="000B79A2" w:rsidP="000B79A2">
      <w:pPr>
        <w:rPr>
          <w:lang w:val="en-GB"/>
        </w:rPr>
      </w:pPr>
    </w:p>
    <w:p w:rsidR="000B79A2" w:rsidRPr="00A206AB" w:rsidRDefault="000B79A2" w:rsidP="000B79A2">
      <w:pPr>
        <w:pStyle w:val="Paragraphedeliste"/>
        <w:numPr>
          <w:ilvl w:val="0"/>
          <w:numId w:val="2"/>
        </w:numPr>
        <w:ind w:left="0" w:firstLine="0"/>
        <w:rPr>
          <w:lang w:val="en-GB"/>
        </w:rPr>
      </w:pPr>
      <w:r w:rsidRPr="00A206AB">
        <w:rPr>
          <w:lang w:val="en-GB"/>
        </w:rPr>
        <w:t>PARAMETERS FOR FIXED BROADBAND USING TVWS</w:t>
      </w:r>
    </w:p>
    <w:p w:rsidR="000B79A2" w:rsidRPr="00A206AB" w:rsidRDefault="000B79A2" w:rsidP="000B79A2">
      <w:pPr>
        <w:rPr>
          <w:lang w:val="en-GB"/>
        </w:rPr>
      </w:pPr>
    </w:p>
    <w:p w:rsidR="000B79A2" w:rsidRPr="00A206AB" w:rsidRDefault="000B79A2" w:rsidP="000B79A2">
      <w:pPr>
        <w:rPr>
          <w:lang w:val="en-GB"/>
        </w:rPr>
      </w:pPr>
      <w:r w:rsidRPr="00A206AB">
        <w:rPr>
          <w:lang w:val="en-GB"/>
        </w:rPr>
        <w:t xml:space="preserve">The following </w:t>
      </w:r>
      <w:r w:rsidR="006D38D4">
        <w:rPr>
          <w:lang w:val="en-GB"/>
        </w:rPr>
        <w:t xml:space="preserve">example </w:t>
      </w:r>
      <w:r w:rsidRPr="00A206AB">
        <w:rPr>
          <w:lang w:val="en-GB"/>
        </w:rPr>
        <w:t>parameters should be included in Sections 4 &amp; 5 (as appropriate) of the CEPT SE 43 working document, to address the possible use of TVWS to provide fixed broadband connections.</w:t>
      </w:r>
      <w:r w:rsidR="006D38D4">
        <w:rPr>
          <w:lang w:val="en-GB"/>
        </w:rPr>
        <w:t xml:space="preserve">  This is obviously an emerging technology, and we acknowledge that other parameter values may be used in any future deployments, particularly if other example systems are used.</w:t>
      </w:r>
    </w:p>
    <w:p w:rsidR="000B79A2" w:rsidRPr="00A206AB" w:rsidRDefault="000B79A2" w:rsidP="000B79A2">
      <w:pPr>
        <w:rPr>
          <w:lang w:val="en-GB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68"/>
        <w:gridCol w:w="3686"/>
        <w:gridCol w:w="3686"/>
      </w:tblGrid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A2" w:rsidRPr="00A206AB" w:rsidRDefault="000B79A2">
            <w:pPr>
              <w:rPr>
                <w:rFonts w:ascii="Arial" w:hAnsi="Arial" w:cs="Arial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A206AB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Downlink (Base Station transmit)</w:t>
            </w:r>
          </w:p>
          <w:p w:rsidR="007B31B2" w:rsidRPr="00A206AB" w:rsidRDefault="007B31B2">
            <w:pPr>
              <w:rPr>
                <w:rFonts w:ascii="Arial" w:hAnsi="Arial" w:cs="Arial"/>
                <w:b/>
                <w:i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b/>
                <w:i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Uplink (Base Station receive)</w:t>
            </w:r>
          </w:p>
        </w:tc>
      </w:tr>
      <w:tr w:rsidR="000B79A2" w:rsidRPr="00EA04C7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Data 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A2" w:rsidRPr="00A206AB" w:rsidRDefault="00A206AB">
            <w:pPr>
              <w:rPr>
                <w:rFonts w:ascii="Arial" w:hAnsi="Arial" w:cs="Arial"/>
                <w:color w:val="1F497D"/>
                <w:sz w:val="20"/>
                <w:szCs w:val="20"/>
                <w:lang w:val="en-GB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Up to 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10 Mbit/s </w:t>
            </w: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(per user)</w:t>
            </w:r>
          </w:p>
          <w:p w:rsidR="007B31B2" w:rsidRPr="00A206AB" w:rsidRDefault="007B31B2">
            <w:pPr>
              <w:rPr>
                <w:rFonts w:ascii="Arial" w:hAnsi="Arial" w:cs="Arial"/>
                <w:color w:val="FF0000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A2" w:rsidRPr="00A206AB" w:rsidRDefault="00633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Up to 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>2 Mbit/s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(per user)</w:t>
            </w:r>
          </w:p>
        </w:tc>
      </w:tr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Transmission bandwidth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5 MHz</w:t>
            </w:r>
          </w:p>
          <w:p w:rsidR="007B31B2" w:rsidRPr="00A206AB" w:rsidRDefault="007B31B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5 MHz</w:t>
            </w:r>
          </w:p>
        </w:tc>
      </w:tr>
      <w:tr w:rsidR="000B79A2" w:rsidRPr="00EA04C7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EIRP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 w:rsidP="00A206AB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36 dBm</w:t>
            </w:r>
            <w:r w:rsid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(subject to authorisation based on the local radio environment)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E25FF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dBm</w:t>
            </w:r>
            <w:r w:rsid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(subject to authorisation based on the local radio environment)</w:t>
            </w:r>
          </w:p>
        </w:tc>
      </w:tr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Receiver noise figure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FF" w:rsidRPr="00A206AB" w:rsidRDefault="000E25FF" w:rsidP="000E25FF">
            <w:pPr>
              <w:rPr>
                <w:color w:val="1F497D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</w:t>
            </w:r>
          </w:p>
          <w:p w:rsidR="000B79A2" w:rsidRPr="00A206AB" w:rsidRDefault="000B79A2">
            <w:pPr>
              <w:rPr>
                <w:color w:val="1F497D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 w:rsidP="000E25FF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4 dB</w:t>
            </w:r>
          </w:p>
        </w:tc>
      </w:tr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Transmit antenna gain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A2" w:rsidRPr="00A206AB" w:rsidRDefault="00A206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dBi</w:t>
            </w:r>
          </w:p>
          <w:p w:rsidR="000B79A2" w:rsidRPr="00A206AB" w:rsidRDefault="000B79A2">
            <w:pPr>
              <w:rPr>
                <w:color w:val="1F497D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9A2" w:rsidRPr="00A206AB" w:rsidRDefault="00A206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dBi</w:t>
            </w:r>
          </w:p>
          <w:p w:rsidR="000B79A2" w:rsidRPr="00A206AB" w:rsidRDefault="000B79A2">
            <w:pPr>
              <w:rPr>
                <w:color w:val="1F497D"/>
                <w:lang w:val="en-GB" w:eastAsia="en-US"/>
              </w:rPr>
            </w:pPr>
          </w:p>
        </w:tc>
      </w:tr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Receive antenna gain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A206AB" w:rsidP="007B31B2">
            <w:pPr>
              <w:rPr>
                <w:rFonts w:ascii="Arial" w:hAnsi="Arial" w:cs="Arial"/>
                <w:color w:val="1F497D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dBi</w:t>
            </w:r>
            <w:r w:rsidR="000B79A2" w:rsidRPr="00A206AB">
              <w:rPr>
                <w:rFonts w:ascii="Arial" w:hAnsi="Arial" w:cs="Arial"/>
                <w:color w:val="1F497D"/>
                <w:sz w:val="20"/>
                <w:szCs w:val="20"/>
                <w:lang w:val="en-GB"/>
              </w:rPr>
              <w:t xml:space="preserve"> </w:t>
            </w:r>
          </w:p>
          <w:p w:rsidR="007B31B2" w:rsidRPr="00A206AB" w:rsidRDefault="007B31B2" w:rsidP="007B31B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A206AB" w:rsidP="007B31B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 dBi</w:t>
            </w:r>
            <w:r w:rsidR="000B79A2" w:rsidRPr="00A206AB">
              <w:rPr>
                <w:rFonts w:ascii="Arial" w:hAnsi="Arial" w:cs="Arial"/>
                <w:color w:val="1F497D"/>
                <w:sz w:val="20"/>
                <w:szCs w:val="20"/>
                <w:lang w:val="en-GB"/>
              </w:rPr>
              <w:t xml:space="preserve"> </w:t>
            </w:r>
          </w:p>
        </w:tc>
      </w:tr>
      <w:tr w:rsidR="000B79A2" w:rsidRPr="00A206AB" w:rsidTr="00A20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B79A2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>Maximum range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FF" w:rsidRPr="00A206AB" w:rsidRDefault="000E25FF" w:rsidP="000E25FF">
            <w:pPr>
              <w:rPr>
                <w:color w:val="FF000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Up to 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>10 km</w:t>
            </w:r>
            <w:r w:rsidR="000B79A2" w:rsidRPr="00A206AB">
              <w:rPr>
                <w:rFonts w:ascii="Arial" w:hAnsi="Arial" w:cs="Arial"/>
                <w:color w:val="1F497D"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</w:p>
          <w:p w:rsidR="000B79A2" w:rsidRPr="00A206AB" w:rsidRDefault="000B79A2">
            <w:pPr>
              <w:rPr>
                <w:color w:val="FF0000"/>
                <w:lang w:val="en-GB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9A2" w:rsidRPr="00A206AB" w:rsidRDefault="000E25FF">
            <w:pPr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A206AB">
              <w:rPr>
                <w:rFonts w:ascii="Arial" w:hAnsi="Arial" w:cs="Arial"/>
                <w:sz w:val="20"/>
                <w:szCs w:val="20"/>
                <w:lang w:val="en-GB"/>
              </w:rPr>
              <w:t xml:space="preserve">Up to </w:t>
            </w:r>
            <w:r w:rsidR="000B79A2" w:rsidRPr="00A206AB">
              <w:rPr>
                <w:rFonts w:ascii="Arial" w:hAnsi="Arial" w:cs="Arial"/>
                <w:sz w:val="20"/>
                <w:szCs w:val="20"/>
                <w:lang w:val="en-GB"/>
              </w:rPr>
              <w:t>10 km</w:t>
            </w:r>
          </w:p>
        </w:tc>
      </w:tr>
    </w:tbl>
    <w:p w:rsidR="000B79A2" w:rsidRPr="00A206AB" w:rsidRDefault="000B79A2" w:rsidP="000B79A2">
      <w:pPr>
        <w:rPr>
          <w:lang w:val="en-GB"/>
        </w:rPr>
      </w:pPr>
    </w:p>
    <w:p w:rsidR="00F11149" w:rsidRPr="00A206AB" w:rsidRDefault="00F11149" w:rsidP="000B79A2">
      <w:pPr>
        <w:rPr>
          <w:lang w:val="en-GB"/>
        </w:rPr>
      </w:pPr>
    </w:p>
    <w:p w:rsidR="00F11149" w:rsidRPr="00A206AB" w:rsidRDefault="00F11149" w:rsidP="00F11149">
      <w:pPr>
        <w:jc w:val="center"/>
        <w:rPr>
          <w:lang w:val="en-GB"/>
        </w:rPr>
      </w:pPr>
      <w:r w:rsidRPr="00A206AB">
        <w:rPr>
          <w:lang w:val="en-GB"/>
        </w:rPr>
        <w:t>END</w:t>
      </w:r>
    </w:p>
    <w:sectPr w:rsidR="00F11149" w:rsidRPr="00A206AB" w:rsidSect="006A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C7" w:rsidRDefault="000273C7" w:rsidP="000B79A2">
      <w:r>
        <w:separator/>
      </w:r>
    </w:p>
  </w:endnote>
  <w:endnote w:type="continuationSeparator" w:id="0">
    <w:p w:rsidR="000273C7" w:rsidRDefault="000273C7" w:rsidP="000B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C7" w:rsidRDefault="000273C7" w:rsidP="000B79A2">
      <w:r>
        <w:separator/>
      </w:r>
    </w:p>
  </w:footnote>
  <w:footnote w:type="continuationSeparator" w:id="0">
    <w:p w:rsidR="000273C7" w:rsidRDefault="000273C7" w:rsidP="000B7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B82"/>
    <w:multiLevelType w:val="hybridMultilevel"/>
    <w:tmpl w:val="2F704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310BE"/>
    <w:multiLevelType w:val="hybridMultilevel"/>
    <w:tmpl w:val="37AE5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243"/>
    <w:rsid w:val="000273C7"/>
    <w:rsid w:val="000B79A2"/>
    <w:rsid w:val="000E25FF"/>
    <w:rsid w:val="0023007E"/>
    <w:rsid w:val="002E0300"/>
    <w:rsid w:val="00314AC4"/>
    <w:rsid w:val="00316243"/>
    <w:rsid w:val="00633205"/>
    <w:rsid w:val="006A76E1"/>
    <w:rsid w:val="006D38D4"/>
    <w:rsid w:val="007B31B2"/>
    <w:rsid w:val="009E01FE"/>
    <w:rsid w:val="00A206AB"/>
    <w:rsid w:val="00BD1219"/>
    <w:rsid w:val="00DA1492"/>
    <w:rsid w:val="00EA04C7"/>
    <w:rsid w:val="00F11149"/>
    <w:rsid w:val="00F9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316243"/>
    <w:pPr>
      <w:keepNext/>
      <w:outlineLvl w:val="3"/>
    </w:pPr>
    <w:rPr>
      <w:rFonts w:ascii="Arial" w:hAnsi="Arial"/>
      <w:b/>
      <w:szCs w:val="20"/>
      <w:lang w:val="en-GB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316243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SimonsStyle">
    <w:name w:val="Simon's Style"/>
    <w:basedOn w:val="Normal"/>
    <w:rsid w:val="00316243"/>
    <w:rPr>
      <w:rFonts w:ascii="Antique Olv (W1)" w:hAnsi="Antique Olv (W1)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2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243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2E030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79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79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B79A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B79A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B7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316243"/>
    <w:pPr>
      <w:keepNext/>
      <w:outlineLvl w:val="3"/>
    </w:pPr>
    <w:rPr>
      <w:rFonts w:ascii="Arial" w:hAnsi="Arial"/>
      <w:b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16243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SimonsStyle">
    <w:name w:val="Simon's Style"/>
    <w:basedOn w:val="Normal"/>
    <w:rsid w:val="00316243"/>
    <w:rPr>
      <w:rFonts w:ascii="Antique Olv (W1)" w:hAnsi="Antique Olv (W1)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43"/>
    <w:rPr>
      <w:rFonts w:ascii="Tahoma" w:eastAsia="Times New Roman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2E030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79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9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B79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79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9A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740F-9303-4BD7-8DC6-F109F751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Dixon</dc:creator>
  <cp:lastModifiedBy>Alexandre Kholod</cp:lastModifiedBy>
  <cp:revision>2</cp:revision>
  <dcterms:created xsi:type="dcterms:W3CDTF">2011-09-16T14:04:00Z</dcterms:created>
  <dcterms:modified xsi:type="dcterms:W3CDTF">2011-09-16T14:04:00Z</dcterms:modified>
</cp:coreProperties>
</file>