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8B7D15" w:rsidRPr="000B0E46" w:rsidTr="002652D7">
        <w:trPr>
          <w:cantSplit/>
        </w:trPr>
        <w:tc>
          <w:tcPr>
            <w:tcW w:w="5574" w:type="dxa"/>
            <w:gridSpan w:val="2"/>
          </w:tcPr>
          <w:p w:rsidR="008B7D15" w:rsidRPr="000B0E46" w:rsidRDefault="008B7D15" w:rsidP="002652D7">
            <w:pPr>
              <w:ind w:right="282"/>
              <w:rPr>
                <w:b/>
                <w:noProof/>
                <w:lang w:val="en-GB" w:eastAsia="de-DE"/>
              </w:rPr>
            </w:pPr>
            <w:r w:rsidRPr="000B0E46">
              <w:rPr>
                <w:b/>
                <w:noProof/>
                <w:lang w:val="en-GB"/>
              </w:rPr>
              <w:br w:type="page"/>
            </w:r>
            <w:r w:rsidRPr="000B0E46">
              <w:rPr>
                <w:b/>
                <w:bCs/>
                <w:noProof/>
                <w:lang w:val="en-US" w:eastAsia="en-US"/>
              </w:rPr>
              <w:drawing>
                <wp:inline distT="0" distB="0" distL="0" distR="0">
                  <wp:extent cx="1621155" cy="839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9470"/>
                          </a:xfrm>
                          <a:prstGeom prst="rect">
                            <a:avLst/>
                          </a:prstGeom>
                          <a:noFill/>
                          <a:ln>
                            <a:noFill/>
                          </a:ln>
                        </pic:spPr>
                      </pic:pic>
                    </a:graphicData>
                  </a:graphic>
                </wp:inline>
              </w:drawing>
            </w:r>
          </w:p>
        </w:tc>
        <w:tc>
          <w:tcPr>
            <w:tcW w:w="3786" w:type="dxa"/>
          </w:tcPr>
          <w:p w:rsidR="008B7D15" w:rsidRPr="000B0E46" w:rsidRDefault="008B7D15" w:rsidP="002652D7">
            <w:pPr>
              <w:ind w:right="110"/>
              <w:jc w:val="right"/>
              <w:rPr>
                <w:b/>
                <w:noProof/>
                <w:lang w:val="en-GB"/>
              </w:rPr>
            </w:pPr>
            <w:r w:rsidRPr="000B0E46">
              <w:rPr>
                <w:b/>
                <w:noProof/>
                <w:lang w:val="en-GB"/>
              </w:rPr>
              <w:t>SE43(11)</w:t>
            </w:r>
            <w:r w:rsidR="00D06F45">
              <w:rPr>
                <w:b/>
                <w:noProof/>
                <w:lang w:val="en-GB"/>
              </w:rPr>
              <w:t>56</w:t>
            </w:r>
          </w:p>
          <w:p w:rsidR="008B7D15" w:rsidRPr="000B0E46" w:rsidRDefault="008B7D15" w:rsidP="002652D7">
            <w:pPr>
              <w:ind w:right="110"/>
              <w:jc w:val="right"/>
              <w:rPr>
                <w:b/>
                <w:noProof/>
                <w:lang w:val="en-GB" w:eastAsia="de-DE"/>
              </w:rPr>
            </w:pPr>
          </w:p>
        </w:tc>
      </w:tr>
      <w:tr w:rsidR="008B7D15" w:rsidRPr="00D06F45" w:rsidTr="002652D7">
        <w:tc>
          <w:tcPr>
            <w:tcW w:w="5574" w:type="dxa"/>
            <w:gridSpan w:val="2"/>
            <w:tcMar>
              <w:top w:w="0" w:type="dxa"/>
              <w:left w:w="108" w:type="dxa"/>
              <w:bottom w:w="0" w:type="dxa"/>
              <w:right w:w="108" w:type="dxa"/>
            </w:tcMar>
            <w:vAlign w:val="center"/>
          </w:tcPr>
          <w:p w:rsidR="008B7D15" w:rsidRPr="000B0E46" w:rsidRDefault="008B7D15" w:rsidP="002652D7">
            <w:pPr>
              <w:pStyle w:val="Titre4"/>
              <w:ind w:right="-321"/>
              <w:rPr>
                <w:rFonts w:ascii="Times New Roman" w:hAnsi="Times New Roman"/>
                <w:noProof/>
                <w:szCs w:val="24"/>
              </w:rPr>
            </w:pPr>
            <w:r w:rsidRPr="000B0E46">
              <w:rPr>
                <w:rFonts w:ascii="Times New Roman" w:hAnsi="Times New Roman"/>
                <w:noProof/>
                <w:szCs w:val="24"/>
              </w:rPr>
              <w:t>11</w:t>
            </w:r>
            <w:r w:rsidRPr="000B0E46">
              <w:rPr>
                <w:rFonts w:ascii="Times New Roman" w:hAnsi="Times New Roman"/>
                <w:noProof/>
                <w:szCs w:val="24"/>
                <w:vertAlign w:val="superscript"/>
              </w:rPr>
              <w:t>th</w:t>
            </w:r>
            <w:r w:rsidRPr="000B0E46">
              <w:rPr>
                <w:rFonts w:ascii="Times New Roman" w:hAnsi="Times New Roman"/>
                <w:noProof/>
                <w:szCs w:val="24"/>
              </w:rPr>
              <w:t xml:space="preserve"> meeting of SE43</w:t>
            </w:r>
          </w:p>
          <w:p w:rsidR="008B7D15" w:rsidRPr="000B0E46" w:rsidRDefault="008B7D15" w:rsidP="002652D7">
            <w:pPr>
              <w:rPr>
                <w:b/>
                <w:noProof/>
                <w:lang w:val="en-GB" w:eastAsia="de-DE"/>
              </w:rPr>
            </w:pPr>
            <w:r w:rsidRPr="000B0E46">
              <w:rPr>
                <w:b/>
                <w:noProof/>
                <w:lang w:val="en-GB"/>
              </w:rPr>
              <w:t>Lisbon, 19 – 21 September 2011</w:t>
            </w:r>
          </w:p>
        </w:tc>
        <w:tc>
          <w:tcPr>
            <w:tcW w:w="3786" w:type="dxa"/>
            <w:tcMar>
              <w:top w:w="0" w:type="dxa"/>
              <w:left w:w="108" w:type="dxa"/>
              <w:bottom w:w="0" w:type="dxa"/>
              <w:right w:w="108" w:type="dxa"/>
            </w:tcMar>
            <w:vAlign w:val="center"/>
          </w:tcPr>
          <w:p w:rsidR="008B7D15" w:rsidRPr="000B0E46" w:rsidRDefault="008B7D15" w:rsidP="002652D7">
            <w:pPr>
              <w:pStyle w:val="Titre4"/>
              <w:ind w:right="324"/>
              <w:rPr>
                <w:rFonts w:ascii="Times New Roman" w:hAnsi="Times New Roman"/>
                <w:b w:val="0"/>
                <w:noProof/>
                <w:szCs w:val="24"/>
              </w:rPr>
            </w:pPr>
          </w:p>
        </w:tc>
      </w:tr>
      <w:tr w:rsidR="008B7D15" w:rsidRPr="000B0E46" w:rsidTr="002652D7">
        <w:trPr>
          <w:trHeight w:val="454"/>
        </w:trPr>
        <w:tc>
          <w:tcPr>
            <w:tcW w:w="1771" w:type="dxa"/>
            <w:tcBorders>
              <w:top w:val="single" w:sz="2" w:space="0" w:color="auto"/>
            </w:tcBorders>
            <w:tcMar>
              <w:top w:w="0" w:type="dxa"/>
              <w:left w:w="108" w:type="dxa"/>
              <w:bottom w:w="0" w:type="dxa"/>
              <w:right w:w="108" w:type="dxa"/>
            </w:tcMar>
            <w:vAlign w:val="center"/>
          </w:tcPr>
          <w:p w:rsidR="008B7D15" w:rsidRPr="000B0E46" w:rsidRDefault="008B7D15" w:rsidP="002652D7">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8B7D15" w:rsidRPr="000B0E46" w:rsidRDefault="006B0DEE" w:rsidP="002652D7">
            <w:pPr>
              <w:pStyle w:val="Titre4"/>
              <w:spacing w:before="60" w:after="60"/>
              <w:ind w:right="-108"/>
              <w:rPr>
                <w:rFonts w:ascii="Times New Roman" w:hAnsi="Times New Roman"/>
                <w:noProof/>
                <w:szCs w:val="24"/>
              </w:rPr>
            </w:pPr>
            <w:r>
              <w:rPr>
                <w:rFonts w:ascii="Times New Roman" w:hAnsi="Times New Roman"/>
                <w:noProof/>
                <w:szCs w:val="24"/>
              </w:rPr>
              <w:t>16</w:t>
            </w:r>
            <w:r w:rsidR="008B7D15" w:rsidRPr="000B0E46">
              <w:rPr>
                <w:rFonts w:ascii="Times New Roman" w:hAnsi="Times New Roman"/>
                <w:noProof/>
                <w:szCs w:val="24"/>
              </w:rPr>
              <w:t xml:space="preserve"> September 2011</w:t>
            </w:r>
          </w:p>
        </w:tc>
      </w:tr>
      <w:tr w:rsidR="008B7D15" w:rsidRPr="000B0E46" w:rsidTr="002652D7">
        <w:trPr>
          <w:trHeight w:val="454"/>
        </w:trPr>
        <w:tc>
          <w:tcPr>
            <w:tcW w:w="1771" w:type="dxa"/>
            <w:tcMar>
              <w:top w:w="0" w:type="dxa"/>
              <w:left w:w="108" w:type="dxa"/>
              <w:bottom w:w="0" w:type="dxa"/>
              <w:right w:w="108" w:type="dxa"/>
            </w:tcMar>
            <w:vAlign w:val="center"/>
          </w:tcPr>
          <w:p w:rsidR="008B7D15" w:rsidRPr="000B0E46" w:rsidRDefault="008B7D15" w:rsidP="002652D7">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Source:</w:t>
            </w:r>
          </w:p>
        </w:tc>
        <w:tc>
          <w:tcPr>
            <w:tcW w:w="7589" w:type="dxa"/>
            <w:gridSpan w:val="2"/>
            <w:tcMar>
              <w:top w:w="0" w:type="dxa"/>
              <w:left w:w="108" w:type="dxa"/>
              <w:bottom w:w="0" w:type="dxa"/>
              <w:right w:w="108" w:type="dxa"/>
            </w:tcMar>
            <w:vAlign w:val="center"/>
          </w:tcPr>
          <w:p w:rsidR="008B7D15" w:rsidRPr="000B0E46" w:rsidRDefault="008B7D15" w:rsidP="002652D7">
            <w:pPr>
              <w:pStyle w:val="Titre4"/>
              <w:spacing w:before="60" w:after="60"/>
              <w:ind w:right="-108"/>
              <w:rPr>
                <w:rFonts w:ascii="Times New Roman" w:hAnsi="Times New Roman"/>
                <w:noProof/>
                <w:szCs w:val="24"/>
              </w:rPr>
            </w:pPr>
            <w:r w:rsidRPr="000B0E46">
              <w:rPr>
                <w:rFonts w:ascii="Times New Roman" w:hAnsi="Times New Roman"/>
                <w:noProof/>
                <w:szCs w:val="24"/>
              </w:rPr>
              <w:t>BT</w:t>
            </w:r>
          </w:p>
        </w:tc>
      </w:tr>
      <w:tr w:rsidR="008B7D15" w:rsidRPr="00D06F45" w:rsidTr="002652D7">
        <w:trPr>
          <w:trHeight w:val="454"/>
        </w:trPr>
        <w:tc>
          <w:tcPr>
            <w:tcW w:w="1771" w:type="dxa"/>
            <w:tcMar>
              <w:top w:w="0" w:type="dxa"/>
              <w:left w:w="108" w:type="dxa"/>
              <w:bottom w:w="0" w:type="dxa"/>
              <w:right w:w="108" w:type="dxa"/>
            </w:tcMar>
            <w:vAlign w:val="center"/>
          </w:tcPr>
          <w:p w:rsidR="008B7D15" w:rsidRPr="000B0E46" w:rsidRDefault="008B7D15" w:rsidP="002652D7">
            <w:pPr>
              <w:pStyle w:val="Titre4"/>
              <w:tabs>
                <w:tab w:val="left" w:pos="8789"/>
              </w:tabs>
              <w:spacing w:before="60" w:after="60"/>
              <w:rPr>
                <w:rFonts w:ascii="Times New Roman" w:hAnsi="Times New Roman"/>
                <w:noProof/>
                <w:szCs w:val="24"/>
              </w:rPr>
            </w:pPr>
            <w:r w:rsidRPr="000B0E46">
              <w:rPr>
                <w:rFonts w:ascii="Times New Roman" w:hAnsi="Times New Roman"/>
                <w:noProof/>
                <w:szCs w:val="24"/>
              </w:rPr>
              <w:t>Subject:</w:t>
            </w:r>
          </w:p>
        </w:tc>
        <w:tc>
          <w:tcPr>
            <w:tcW w:w="7589" w:type="dxa"/>
            <w:gridSpan w:val="2"/>
            <w:tcMar>
              <w:top w:w="0" w:type="dxa"/>
              <w:left w:w="108" w:type="dxa"/>
              <w:bottom w:w="0" w:type="dxa"/>
              <w:right w:w="108" w:type="dxa"/>
            </w:tcMar>
            <w:vAlign w:val="center"/>
          </w:tcPr>
          <w:p w:rsidR="008B7D15" w:rsidRPr="000B0E46" w:rsidRDefault="008B7D15" w:rsidP="002652D7">
            <w:pPr>
              <w:pStyle w:val="Titre4"/>
              <w:spacing w:before="60" w:after="60"/>
              <w:ind w:right="-108"/>
              <w:rPr>
                <w:rFonts w:ascii="Times New Roman" w:hAnsi="Times New Roman"/>
                <w:noProof/>
                <w:szCs w:val="24"/>
              </w:rPr>
            </w:pPr>
            <w:r w:rsidRPr="000B0E46">
              <w:rPr>
                <w:rFonts w:ascii="Times New Roman" w:hAnsi="Times New Roman"/>
                <w:noProof/>
                <w:szCs w:val="24"/>
              </w:rPr>
              <w:t>Study of the potential for interference from TVWS devices into an LTE network</w:t>
            </w:r>
          </w:p>
        </w:tc>
      </w:tr>
    </w:tbl>
    <w:p w:rsidR="008B7D15" w:rsidRPr="000B0E46" w:rsidRDefault="008B7D15" w:rsidP="008B7D15">
      <w:pPr>
        <w:pStyle w:val="SimonsStyle"/>
        <w:jc w:val="both"/>
        <w:rPr>
          <w:rFonts w:ascii="Times New Roman" w:hAnsi="Times New Roman"/>
          <w:noProof/>
          <w:sz w:val="4"/>
          <w:szCs w:val="4"/>
        </w:rPr>
      </w:pPr>
    </w:p>
    <w:p w:rsidR="008B7D15" w:rsidRDefault="008B7D15" w:rsidP="008B7D15">
      <w:pPr>
        <w:rPr>
          <w:noProof/>
          <w:lang w:val="en-GB"/>
        </w:rPr>
      </w:pPr>
      <w:bookmarkStart w:id="0" w:name="_GoBack"/>
      <w:bookmarkEnd w:id="0"/>
    </w:p>
    <w:p w:rsidR="005C2989" w:rsidRPr="000B0E46" w:rsidRDefault="005C2989" w:rsidP="008B7D15">
      <w:pPr>
        <w:rPr>
          <w:noProof/>
          <w:lang w:val="en-GB"/>
        </w:rPr>
      </w:pPr>
    </w:p>
    <w:p w:rsidR="008B7D15" w:rsidRPr="005C2989" w:rsidRDefault="008B7D15" w:rsidP="008B7D15">
      <w:pPr>
        <w:pStyle w:val="Paragraphedeliste"/>
        <w:numPr>
          <w:ilvl w:val="0"/>
          <w:numId w:val="1"/>
        </w:numPr>
        <w:ind w:left="0" w:firstLine="0"/>
        <w:rPr>
          <w:b/>
          <w:noProof/>
          <w:lang w:val="en-GB"/>
        </w:rPr>
      </w:pPr>
      <w:r w:rsidRPr="005C2989">
        <w:rPr>
          <w:b/>
          <w:noProof/>
          <w:lang w:val="en-GB"/>
        </w:rPr>
        <w:t>INTRODUCTION</w:t>
      </w:r>
      <w:r w:rsidRPr="005C2989">
        <w:rPr>
          <w:b/>
          <w:noProof/>
          <w:lang w:val="en-GB"/>
        </w:rPr>
        <w:tab/>
      </w:r>
    </w:p>
    <w:p w:rsidR="008B7D15" w:rsidRPr="000B0E46" w:rsidRDefault="008B7D15" w:rsidP="008B7D15">
      <w:pPr>
        <w:rPr>
          <w:noProof/>
          <w:lang w:val="en-GB"/>
        </w:rPr>
      </w:pPr>
    </w:p>
    <w:p w:rsidR="00AB2976" w:rsidRDefault="008B7D15" w:rsidP="008B7D15">
      <w:pPr>
        <w:rPr>
          <w:noProof/>
          <w:lang w:val="en-GB"/>
        </w:rPr>
      </w:pPr>
      <w:r w:rsidRPr="000B0E46">
        <w:rPr>
          <w:noProof/>
          <w:lang w:val="en-GB"/>
        </w:rPr>
        <w:t>At the 10</w:t>
      </w:r>
      <w:r w:rsidRPr="000B0E46">
        <w:rPr>
          <w:noProof/>
          <w:vertAlign w:val="superscript"/>
          <w:lang w:val="en-GB"/>
        </w:rPr>
        <w:t>th</w:t>
      </w:r>
      <w:r w:rsidRPr="000B0E46">
        <w:rPr>
          <w:noProof/>
          <w:lang w:val="en-GB"/>
        </w:rPr>
        <w:t xml:space="preserve"> meeting of CEPT SE43 there was a document presented by France (SE43(11)25), which considered the potential for interference from a TVWS Base Station into an LTE mobile terminal, using the SEAMCAT tool.  </w:t>
      </w:r>
    </w:p>
    <w:p w:rsidR="00AB2976" w:rsidRDefault="00AB2976" w:rsidP="008B7D15">
      <w:pPr>
        <w:rPr>
          <w:noProof/>
          <w:lang w:val="en-GB"/>
        </w:rPr>
      </w:pPr>
    </w:p>
    <w:p w:rsidR="008B7D15" w:rsidRPr="000B0E46" w:rsidRDefault="008B7D15" w:rsidP="008B7D15">
      <w:pPr>
        <w:rPr>
          <w:noProof/>
          <w:lang w:val="en-GB"/>
        </w:rPr>
      </w:pPr>
      <w:r w:rsidRPr="000B0E46">
        <w:rPr>
          <w:noProof/>
          <w:lang w:val="en-GB"/>
        </w:rPr>
        <w:t>We recognise that this is a potential interference scenario which needs to be considered in order to ensure that sufficient protection is offered to the LTE networks, however we do have some concerns that the conclusion reached in that paper is unduly pessimistic</w:t>
      </w:r>
      <w:r w:rsidR="00E554E0">
        <w:rPr>
          <w:noProof/>
          <w:lang w:val="en-GB"/>
        </w:rPr>
        <w:t>, especially when the effects of much more significant interference sources from adjacent LTE base station emissions and adjacent high power TV transmitters is considered</w:t>
      </w:r>
      <w:r w:rsidRPr="000B0E46">
        <w:rPr>
          <w:noProof/>
          <w:lang w:val="en-GB"/>
        </w:rPr>
        <w:t xml:space="preserve">.  </w:t>
      </w:r>
    </w:p>
    <w:p w:rsidR="008B7D15" w:rsidRDefault="008B7D15" w:rsidP="008B7D15">
      <w:pPr>
        <w:rPr>
          <w:noProof/>
          <w:lang w:val="en-GB"/>
        </w:rPr>
      </w:pPr>
    </w:p>
    <w:p w:rsidR="005C2989" w:rsidRPr="000B0E46" w:rsidRDefault="005C2989" w:rsidP="008B7D15">
      <w:pPr>
        <w:rPr>
          <w:noProof/>
          <w:lang w:val="en-GB"/>
        </w:rPr>
      </w:pPr>
    </w:p>
    <w:p w:rsidR="008B7D15" w:rsidRPr="008E0694" w:rsidRDefault="008B7D15" w:rsidP="008B7D15">
      <w:pPr>
        <w:rPr>
          <w:b/>
          <w:noProof/>
          <w:lang w:val="en-GB"/>
        </w:rPr>
      </w:pPr>
      <w:r w:rsidRPr="008E0694">
        <w:rPr>
          <w:b/>
          <w:noProof/>
          <w:lang w:val="en-GB"/>
        </w:rPr>
        <w:t xml:space="preserve">2. </w:t>
      </w:r>
      <w:r w:rsidRPr="008E0694">
        <w:rPr>
          <w:b/>
          <w:noProof/>
          <w:lang w:val="en-GB"/>
        </w:rPr>
        <w:tab/>
        <w:t>ANALYSIS</w:t>
      </w:r>
    </w:p>
    <w:p w:rsidR="008B7D15" w:rsidRPr="000B0E46" w:rsidRDefault="008B7D15" w:rsidP="008B7D15">
      <w:pPr>
        <w:rPr>
          <w:noProof/>
          <w:lang w:val="en-GB"/>
        </w:rPr>
      </w:pPr>
    </w:p>
    <w:p w:rsidR="000B0E46" w:rsidRPr="000B0E46" w:rsidRDefault="000B0E46" w:rsidP="008B7D15">
      <w:pPr>
        <w:rPr>
          <w:noProof/>
          <w:lang w:val="en-GB"/>
        </w:rPr>
      </w:pPr>
      <w:r w:rsidRPr="000B0E46">
        <w:rPr>
          <w:noProof/>
          <w:lang w:val="en-GB"/>
        </w:rPr>
        <w:t>Having studied the contribution SE43(11)25, we have a number of observations which we believe could significantly change the results and conclusions derived in the analysis.  We believe that these should be reviewed, with a view to including them in a revision of the analysis.</w:t>
      </w:r>
    </w:p>
    <w:p w:rsidR="000B0E46" w:rsidRPr="000B0E46" w:rsidRDefault="000B0E46" w:rsidP="008B7D15">
      <w:pPr>
        <w:rPr>
          <w:noProof/>
          <w:lang w:val="en-GB"/>
        </w:rPr>
      </w:pPr>
    </w:p>
    <w:p w:rsidR="008B7D15" w:rsidRPr="000B0E46" w:rsidRDefault="00E30E8A" w:rsidP="008B7D15">
      <w:pPr>
        <w:rPr>
          <w:i/>
          <w:noProof/>
          <w:lang w:val="en-GB"/>
        </w:rPr>
      </w:pPr>
      <w:r w:rsidRPr="000B0E46">
        <w:rPr>
          <w:noProof/>
          <w:lang w:val="en-GB"/>
        </w:rPr>
        <w:t xml:space="preserve">2.1 </w:t>
      </w:r>
      <w:r w:rsidR="000B0E46" w:rsidRPr="000B0E46">
        <w:rPr>
          <w:noProof/>
          <w:lang w:val="en-GB"/>
        </w:rPr>
        <w:tab/>
      </w:r>
      <w:r w:rsidR="008B7D15" w:rsidRPr="000B0E46">
        <w:rPr>
          <w:i/>
          <w:noProof/>
          <w:lang w:val="en-GB"/>
        </w:rPr>
        <w:t>Protection criterion used</w:t>
      </w:r>
    </w:p>
    <w:p w:rsidR="00E30E8A" w:rsidRPr="000B0E46" w:rsidRDefault="00E30E8A" w:rsidP="008B7D15">
      <w:pPr>
        <w:rPr>
          <w:noProof/>
          <w:lang w:val="en-GB"/>
        </w:rPr>
      </w:pPr>
    </w:p>
    <w:p w:rsidR="008B7D15" w:rsidRPr="000B0E46" w:rsidRDefault="008B7D15" w:rsidP="008B7D15">
      <w:pPr>
        <w:rPr>
          <w:noProof/>
          <w:lang w:val="en-GB"/>
        </w:rPr>
      </w:pPr>
      <w:r w:rsidRPr="000B0E46">
        <w:rPr>
          <w:noProof/>
          <w:lang w:val="en-GB"/>
        </w:rPr>
        <w:t xml:space="preserve">The protection criterion used in SE43(11)25 is an I/N figure of -20 dB.  The justification for that figure is </w:t>
      </w:r>
      <w:r w:rsidR="002D5126">
        <w:rPr>
          <w:noProof/>
          <w:lang w:val="en-GB"/>
        </w:rPr>
        <w:t>that it</w:t>
      </w:r>
      <w:r w:rsidR="000D2402">
        <w:rPr>
          <w:noProof/>
          <w:lang w:val="en-GB"/>
        </w:rPr>
        <w:t xml:space="preserve"> appears in </w:t>
      </w:r>
      <w:r w:rsidRPr="000B0E46">
        <w:rPr>
          <w:noProof/>
          <w:lang w:val="en-GB"/>
        </w:rPr>
        <w:t>a footnote to a table in ITU-R Report M.2039-2</w:t>
      </w:r>
      <w:r w:rsidR="002D5126">
        <w:rPr>
          <w:noProof/>
          <w:lang w:val="en-GB"/>
        </w:rPr>
        <w:t xml:space="preserve"> for licence-exempt interf</w:t>
      </w:r>
      <w:r w:rsidR="000C7D93">
        <w:rPr>
          <w:noProof/>
          <w:lang w:val="en-GB"/>
        </w:rPr>
        <w:t>erence sources</w:t>
      </w:r>
      <w:r w:rsidR="0008750F" w:rsidRPr="000B0E46">
        <w:rPr>
          <w:noProof/>
          <w:lang w:val="en-GB"/>
        </w:rPr>
        <w:t xml:space="preserve">.)  We also note that whilst it is true that TVWS </w:t>
      </w:r>
      <w:r w:rsidR="002D5126">
        <w:rPr>
          <w:noProof/>
          <w:lang w:val="en-GB"/>
        </w:rPr>
        <w:t>systems</w:t>
      </w:r>
      <w:r w:rsidR="002D5126" w:rsidRPr="000B0E46">
        <w:rPr>
          <w:noProof/>
          <w:lang w:val="en-GB"/>
        </w:rPr>
        <w:t xml:space="preserve"> </w:t>
      </w:r>
      <w:r w:rsidR="0008750F" w:rsidRPr="000B0E46">
        <w:rPr>
          <w:noProof/>
          <w:lang w:val="en-GB"/>
        </w:rPr>
        <w:t>are expected to be licence exempt</w:t>
      </w:r>
      <w:r w:rsidR="000D2402">
        <w:rPr>
          <w:noProof/>
          <w:lang w:val="en-GB"/>
        </w:rPr>
        <w:t xml:space="preserve"> (as are LTE mobile terminals)</w:t>
      </w:r>
      <w:r w:rsidR="0008750F" w:rsidRPr="000B0E46">
        <w:rPr>
          <w:noProof/>
          <w:lang w:val="en-GB"/>
        </w:rPr>
        <w:t xml:space="preserve">, that is usually taken to imply that the devices are </w:t>
      </w:r>
      <w:r w:rsidR="000D2402">
        <w:rPr>
          <w:noProof/>
          <w:lang w:val="en-GB"/>
        </w:rPr>
        <w:t xml:space="preserve">not frequency </w:t>
      </w:r>
      <w:r w:rsidR="0008750F" w:rsidRPr="000B0E46">
        <w:rPr>
          <w:noProof/>
          <w:lang w:val="en-GB"/>
        </w:rPr>
        <w:t>coordinated.  However TVWS devices are not expected to be completely uncoordinated, as it is expected that they will have to identify their location, and then consult a database, to determine which TVWS channels are available.  The algorithm used for determining which channels are available has not yet been determined, and we should not pre-empt that process.</w:t>
      </w:r>
      <w:r w:rsidR="00EF335E" w:rsidRPr="000B0E46">
        <w:rPr>
          <w:noProof/>
          <w:lang w:val="en-GB"/>
        </w:rPr>
        <w:t xml:space="preserve">  Therefore it could be considered that the TVWS device is</w:t>
      </w:r>
      <w:r w:rsidR="00AB2976">
        <w:rPr>
          <w:noProof/>
          <w:lang w:val="en-GB"/>
        </w:rPr>
        <w:t>,</w:t>
      </w:r>
      <w:r w:rsidR="00EF335E" w:rsidRPr="000B0E46">
        <w:rPr>
          <w:noProof/>
          <w:lang w:val="en-GB"/>
        </w:rPr>
        <w:t xml:space="preserve"> or could be co-ordinated</w:t>
      </w:r>
      <w:r w:rsidR="00E554E0">
        <w:rPr>
          <w:noProof/>
          <w:lang w:val="en-GB"/>
        </w:rPr>
        <w:t xml:space="preserve"> and its permitted power levels adjusted as necessary</w:t>
      </w:r>
      <w:r w:rsidR="00EF335E" w:rsidRPr="000B0E46">
        <w:rPr>
          <w:noProof/>
          <w:lang w:val="en-GB"/>
        </w:rPr>
        <w:t>.</w:t>
      </w:r>
    </w:p>
    <w:p w:rsidR="0008750F" w:rsidRPr="000B0E46" w:rsidRDefault="0008750F" w:rsidP="008B7D15">
      <w:pPr>
        <w:rPr>
          <w:noProof/>
          <w:lang w:val="en-GB"/>
        </w:rPr>
      </w:pPr>
    </w:p>
    <w:p w:rsidR="0008750F" w:rsidRDefault="00EF335E" w:rsidP="008B7D15">
      <w:pPr>
        <w:rPr>
          <w:noProof/>
          <w:lang w:val="en-GB"/>
        </w:rPr>
      </w:pPr>
      <w:r w:rsidRPr="000B0E46">
        <w:rPr>
          <w:noProof/>
          <w:lang w:val="en-GB"/>
        </w:rPr>
        <w:t xml:space="preserve">Furthermore, and more significantly, that footnote applies to IMT </w:t>
      </w:r>
      <w:r w:rsidRPr="008E0694">
        <w:rPr>
          <w:i/>
          <w:noProof/>
          <w:lang w:val="en-GB"/>
        </w:rPr>
        <w:t>b</w:t>
      </w:r>
      <w:r w:rsidR="00AB2976" w:rsidRPr="008E0694">
        <w:rPr>
          <w:i/>
          <w:noProof/>
          <w:lang w:val="en-GB"/>
        </w:rPr>
        <w:t>ase stations</w:t>
      </w:r>
      <w:r w:rsidR="00AB2976">
        <w:rPr>
          <w:noProof/>
          <w:lang w:val="en-GB"/>
        </w:rPr>
        <w:t xml:space="preserve"> (in the 1.8 GHz, 2 </w:t>
      </w:r>
      <w:r w:rsidRPr="000B0E46">
        <w:rPr>
          <w:noProof/>
          <w:lang w:val="en-GB"/>
        </w:rPr>
        <w:t xml:space="preserve">GHz, 2.3 GHz and 2.5 GHz bands), whilst the SE43 paper uses that value in a study of interference into an IMT </w:t>
      </w:r>
      <w:r w:rsidRPr="008E0694">
        <w:rPr>
          <w:i/>
          <w:noProof/>
          <w:lang w:val="en-GB"/>
        </w:rPr>
        <w:t>mobile</w:t>
      </w:r>
      <w:r w:rsidRPr="000B0E46">
        <w:rPr>
          <w:noProof/>
          <w:lang w:val="en-GB"/>
        </w:rPr>
        <w:t xml:space="preserve"> terminal</w:t>
      </w:r>
      <w:r w:rsidR="002D5126">
        <w:rPr>
          <w:noProof/>
          <w:lang w:val="en-GB"/>
        </w:rPr>
        <w:t xml:space="preserve"> in the 800MHz band</w:t>
      </w:r>
      <w:r w:rsidRPr="000B0E46">
        <w:rPr>
          <w:noProof/>
          <w:lang w:val="en-GB"/>
        </w:rPr>
        <w:t xml:space="preserve">.  In view of the potential impact on a greater number of devices, it would not be unreasonable to apply a more stringent criterion on the base station, and </w:t>
      </w:r>
      <w:r w:rsidR="00E30E8A" w:rsidRPr="000B0E46">
        <w:rPr>
          <w:noProof/>
          <w:lang w:val="en-GB"/>
        </w:rPr>
        <w:t>conversely</w:t>
      </w:r>
      <w:r w:rsidRPr="000B0E46">
        <w:rPr>
          <w:noProof/>
          <w:lang w:val="en-GB"/>
        </w:rPr>
        <w:t xml:space="preserve"> the criterion on the mobile station should not be so stringent.</w:t>
      </w:r>
    </w:p>
    <w:p w:rsidR="00E554E0" w:rsidRDefault="00E554E0" w:rsidP="008B7D15">
      <w:pPr>
        <w:rPr>
          <w:noProof/>
          <w:lang w:val="en-GB"/>
        </w:rPr>
      </w:pPr>
    </w:p>
    <w:p w:rsidR="00E554E0" w:rsidRPr="000B0E46" w:rsidRDefault="00E554E0" w:rsidP="008B7D15">
      <w:pPr>
        <w:rPr>
          <w:noProof/>
          <w:lang w:val="en-GB"/>
        </w:rPr>
      </w:pPr>
      <w:r>
        <w:rPr>
          <w:noProof/>
          <w:lang w:val="en-GB"/>
        </w:rPr>
        <w:lastRenderedPageBreak/>
        <w:t xml:space="preserve">It is also important to consider the fact that in a </w:t>
      </w:r>
      <w:r w:rsidR="008E0694">
        <w:rPr>
          <w:noProof/>
          <w:lang w:val="en-GB"/>
        </w:rPr>
        <w:t xml:space="preserve">Monte Carlo </w:t>
      </w:r>
      <w:r>
        <w:rPr>
          <w:noProof/>
          <w:lang w:val="en-GB"/>
        </w:rPr>
        <w:t>simulation the wanted p</w:t>
      </w:r>
      <w:r w:rsidR="008E0694">
        <w:rPr>
          <w:noProof/>
          <w:lang w:val="en-GB"/>
        </w:rPr>
        <w:t>o</w:t>
      </w:r>
      <w:r>
        <w:rPr>
          <w:noProof/>
          <w:lang w:val="en-GB"/>
        </w:rPr>
        <w:t>wer should be considered as well as the interference power</w:t>
      </w:r>
      <w:r w:rsidR="008E0694">
        <w:rPr>
          <w:noProof/>
          <w:lang w:val="en-GB"/>
        </w:rPr>
        <w:t>,</w:t>
      </w:r>
      <w:r>
        <w:rPr>
          <w:noProof/>
          <w:lang w:val="en-GB"/>
        </w:rPr>
        <w:t xml:space="preserve"> and that a C/I criterion rather than an I/N calculation may be more meaningful in a dynamic simulation.</w:t>
      </w:r>
    </w:p>
    <w:p w:rsidR="00C6132C" w:rsidRPr="000B0E46" w:rsidRDefault="00C6132C" w:rsidP="008B7D15">
      <w:pPr>
        <w:rPr>
          <w:noProof/>
          <w:lang w:val="en-GB"/>
        </w:rPr>
      </w:pPr>
    </w:p>
    <w:p w:rsidR="00C6132C" w:rsidRPr="000B0E46" w:rsidRDefault="00C6132C" w:rsidP="008B7D15">
      <w:pPr>
        <w:rPr>
          <w:noProof/>
          <w:lang w:val="en-GB"/>
        </w:rPr>
      </w:pPr>
      <w:r w:rsidRPr="000B0E46">
        <w:rPr>
          <w:noProof/>
          <w:lang w:val="en-GB"/>
        </w:rPr>
        <w:t>We also recognise that ECC PT1 have been asked for input on the protection criterion to be used.</w:t>
      </w:r>
    </w:p>
    <w:p w:rsidR="008B7D15" w:rsidRPr="000B0E46" w:rsidRDefault="008B7D15" w:rsidP="008B7D15">
      <w:pPr>
        <w:rPr>
          <w:noProof/>
          <w:lang w:val="en-GB"/>
        </w:rPr>
      </w:pPr>
    </w:p>
    <w:p w:rsidR="008B7D15" w:rsidRPr="000B0E46" w:rsidRDefault="000B0E46" w:rsidP="008B7D15">
      <w:pPr>
        <w:rPr>
          <w:noProof/>
          <w:lang w:val="en-GB"/>
        </w:rPr>
      </w:pPr>
      <w:r w:rsidRPr="000B0E46">
        <w:rPr>
          <w:noProof/>
          <w:lang w:val="en-GB"/>
        </w:rPr>
        <w:t>2.2</w:t>
      </w:r>
      <w:r w:rsidR="00E30E8A" w:rsidRPr="000B0E46">
        <w:rPr>
          <w:noProof/>
          <w:lang w:val="en-GB"/>
        </w:rPr>
        <w:t xml:space="preserve"> </w:t>
      </w:r>
      <w:r w:rsidRPr="000B0E46">
        <w:rPr>
          <w:noProof/>
          <w:lang w:val="en-GB"/>
        </w:rPr>
        <w:tab/>
      </w:r>
      <w:r w:rsidR="00E30E8A" w:rsidRPr="000B0E46">
        <w:rPr>
          <w:i/>
          <w:noProof/>
          <w:lang w:val="en-GB"/>
        </w:rPr>
        <w:t>Probability of interference</w:t>
      </w:r>
    </w:p>
    <w:p w:rsidR="00E30E8A" w:rsidRPr="000B0E46" w:rsidRDefault="00E30E8A" w:rsidP="008B7D15">
      <w:pPr>
        <w:rPr>
          <w:noProof/>
          <w:lang w:val="en-GB"/>
        </w:rPr>
      </w:pPr>
    </w:p>
    <w:p w:rsidR="00E30E8A" w:rsidRDefault="00E30E8A" w:rsidP="008B7D15">
      <w:pPr>
        <w:rPr>
          <w:noProof/>
          <w:lang w:val="en-GB"/>
        </w:rPr>
      </w:pPr>
      <w:r w:rsidRPr="000B0E46">
        <w:rPr>
          <w:noProof/>
          <w:lang w:val="en-GB"/>
        </w:rPr>
        <w:t xml:space="preserve">In addition to applying a stringent protection criterion (I/N of -20 dB), it has been applied with a low probability of </w:t>
      </w:r>
      <w:r w:rsidR="00E554E0">
        <w:rPr>
          <w:noProof/>
          <w:lang w:val="en-GB"/>
        </w:rPr>
        <w:t>excedence</w:t>
      </w:r>
      <w:r w:rsidR="00E554E0" w:rsidRPr="000B0E46">
        <w:rPr>
          <w:noProof/>
          <w:lang w:val="en-GB"/>
        </w:rPr>
        <w:t xml:space="preserve"> </w:t>
      </w:r>
      <w:r w:rsidRPr="000B0E46">
        <w:rPr>
          <w:noProof/>
          <w:lang w:val="en-GB"/>
        </w:rPr>
        <w:t xml:space="preserve">(i.e. 1% of </w:t>
      </w:r>
      <w:r w:rsidR="00E554E0">
        <w:rPr>
          <w:noProof/>
          <w:lang w:val="en-GB"/>
        </w:rPr>
        <w:t>samples</w:t>
      </w:r>
      <w:r w:rsidRPr="000B0E46">
        <w:rPr>
          <w:noProof/>
          <w:lang w:val="en-GB"/>
        </w:rPr>
        <w:t xml:space="preserve">).  So in 99% of cases, the I/N figure should be below -20 dB, which is inevitably going to be an even tighter requirement.  </w:t>
      </w:r>
    </w:p>
    <w:p w:rsidR="008E0694" w:rsidRPr="000B0E46" w:rsidRDefault="008E0694" w:rsidP="008B7D15">
      <w:pPr>
        <w:rPr>
          <w:noProof/>
          <w:lang w:val="en-GB"/>
        </w:rPr>
      </w:pPr>
    </w:p>
    <w:p w:rsidR="00E30E8A" w:rsidRPr="000B0E46" w:rsidRDefault="000B0E46" w:rsidP="008B7D15">
      <w:pPr>
        <w:rPr>
          <w:noProof/>
          <w:lang w:val="en-GB"/>
        </w:rPr>
      </w:pPr>
      <w:r w:rsidRPr="000B0E46">
        <w:rPr>
          <w:noProof/>
          <w:lang w:val="en-GB"/>
        </w:rPr>
        <w:t xml:space="preserve">2.3 </w:t>
      </w:r>
      <w:r w:rsidRPr="000B0E46">
        <w:rPr>
          <w:noProof/>
          <w:lang w:val="en-GB"/>
        </w:rPr>
        <w:tab/>
      </w:r>
      <w:r w:rsidR="00E30E8A" w:rsidRPr="000B0E46">
        <w:rPr>
          <w:i/>
          <w:noProof/>
          <w:lang w:val="en-GB"/>
        </w:rPr>
        <w:t>Siting of the TVWS base station</w:t>
      </w:r>
    </w:p>
    <w:p w:rsidR="00E30E8A" w:rsidRPr="000B0E46" w:rsidRDefault="00E30E8A" w:rsidP="008B7D15">
      <w:pPr>
        <w:rPr>
          <w:noProof/>
          <w:lang w:val="en-GB"/>
        </w:rPr>
      </w:pPr>
    </w:p>
    <w:p w:rsidR="0010680B" w:rsidRDefault="00E30E8A" w:rsidP="008B7D15">
      <w:pPr>
        <w:rPr>
          <w:noProof/>
          <w:lang w:val="en-GB"/>
        </w:rPr>
      </w:pPr>
      <w:r w:rsidRPr="000B0E46">
        <w:rPr>
          <w:noProof/>
          <w:lang w:val="en-GB"/>
        </w:rPr>
        <w:t xml:space="preserve">Even though a statistical study has been undertaken, which is intended to </w:t>
      </w:r>
      <w:r w:rsidR="00C6132C" w:rsidRPr="000B0E46">
        <w:rPr>
          <w:noProof/>
          <w:lang w:val="en-GB"/>
        </w:rPr>
        <w:t xml:space="preserve">consider the probability of experiencing interference </w:t>
      </w:r>
      <w:r w:rsidRPr="000B0E46">
        <w:rPr>
          <w:noProof/>
          <w:lang w:val="en-GB"/>
        </w:rPr>
        <w:t>across all p</w:t>
      </w:r>
      <w:r w:rsidR="00C6132C" w:rsidRPr="000B0E46">
        <w:rPr>
          <w:noProof/>
          <w:lang w:val="en-GB"/>
        </w:rPr>
        <w:t xml:space="preserve">ossible scenarios, the study has assumed that the TVWS base station is sited 20 metres (horizontally) from the LTE mobile handset, when the mobile handset is at the edge of the coverage area.  If the handset is at the edge of its coverage area, then inevitably, there is </w:t>
      </w:r>
      <w:r w:rsidR="00AB2976">
        <w:rPr>
          <w:noProof/>
          <w:lang w:val="en-GB"/>
        </w:rPr>
        <w:t xml:space="preserve">little or </w:t>
      </w:r>
      <w:r w:rsidR="00C6132C" w:rsidRPr="000B0E46">
        <w:rPr>
          <w:noProof/>
          <w:lang w:val="en-GB"/>
        </w:rPr>
        <w:t>no further margin to mitigate against fading or external interference.  Therefore, it should be no surprise that</w:t>
      </w:r>
      <w:r w:rsidR="0010680B">
        <w:rPr>
          <w:noProof/>
          <w:lang w:val="en-GB"/>
        </w:rPr>
        <w:t xml:space="preserve"> the study has concluded that</w:t>
      </w:r>
      <w:r w:rsidR="00C6132C" w:rsidRPr="000B0E46">
        <w:rPr>
          <w:noProof/>
          <w:lang w:val="en-GB"/>
        </w:rPr>
        <w:t xml:space="preserve"> even a small amount of out-of-band emission from the TVW</w:t>
      </w:r>
      <w:r w:rsidR="000F44BE" w:rsidRPr="000B0E46">
        <w:rPr>
          <w:noProof/>
          <w:lang w:val="en-GB"/>
        </w:rPr>
        <w:t xml:space="preserve">S base station would be unacceptable.  </w:t>
      </w:r>
    </w:p>
    <w:p w:rsidR="0010680B" w:rsidRDefault="0010680B" w:rsidP="008B7D15">
      <w:pPr>
        <w:rPr>
          <w:noProof/>
          <w:lang w:val="en-GB"/>
        </w:rPr>
      </w:pPr>
    </w:p>
    <w:p w:rsidR="00E30E8A" w:rsidRPr="000B0E46" w:rsidRDefault="000F44BE" w:rsidP="008B7D15">
      <w:pPr>
        <w:rPr>
          <w:noProof/>
          <w:lang w:val="en-GB"/>
        </w:rPr>
      </w:pPr>
      <w:r w:rsidRPr="000B0E46">
        <w:rPr>
          <w:noProof/>
          <w:lang w:val="en-GB"/>
        </w:rPr>
        <w:t>If this is to be a truly representative statistical study, then we believe that it should be undertaken with the TVWS base station randomly located with respect to the LTE network.  This would then</w:t>
      </w:r>
      <w:r w:rsidR="00AB2976">
        <w:rPr>
          <w:noProof/>
          <w:lang w:val="en-GB"/>
        </w:rPr>
        <w:t xml:space="preserve"> also</w:t>
      </w:r>
      <w:r w:rsidRPr="000B0E46">
        <w:rPr>
          <w:noProof/>
          <w:lang w:val="en-GB"/>
        </w:rPr>
        <w:t xml:space="preserve"> </w:t>
      </w:r>
      <w:r w:rsidR="00E82C07" w:rsidRPr="000B0E46">
        <w:rPr>
          <w:noProof/>
          <w:lang w:val="en-GB"/>
        </w:rPr>
        <w:t>take account of the majority of the mobile handsets which do have plenty of margin against interference.</w:t>
      </w:r>
    </w:p>
    <w:p w:rsidR="00E82C07" w:rsidRPr="000B0E46" w:rsidRDefault="00E82C07" w:rsidP="008B7D15">
      <w:pPr>
        <w:rPr>
          <w:noProof/>
          <w:lang w:val="en-GB"/>
        </w:rPr>
      </w:pPr>
    </w:p>
    <w:p w:rsidR="00E82C07" w:rsidRPr="000B0E46" w:rsidRDefault="000B0E46" w:rsidP="008B7D15">
      <w:pPr>
        <w:rPr>
          <w:noProof/>
          <w:lang w:val="en-GB"/>
        </w:rPr>
      </w:pPr>
      <w:r w:rsidRPr="000B0E46">
        <w:rPr>
          <w:noProof/>
          <w:lang w:val="en-GB"/>
        </w:rPr>
        <w:t xml:space="preserve">2.4 </w:t>
      </w:r>
      <w:r w:rsidRPr="000B0E46">
        <w:rPr>
          <w:noProof/>
          <w:lang w:val="en-GB"/>
        </w:rPr>
        <w:tab/>
      </w:r>
      <w:r w:rsidR="00E82C07" w:rsidRPr="000B0E46">
        <w:rPr>
          <w:i/>
          <w:noProof/>
          <w:lang w:val="en-GB"/>
        </w:rPr>
        <w:t>Separation distance between the TVWS base station and the LTE mobile handset</w:t>
      </w:r>
    </w:p>
    <w:p w:rsidR="00E82C07" w:rsidRPr="000B0E46" w:rsidRDefault="00E82C07" w:rsidP="008B7D15">
      <w:pPr>
        <w:rPr>
          <w:noProof/>
          <w:lang w:val="en-GB"/>
        </w:rPr>
      </w:pPr>
    </w:p>
    <w:p w:rsidR="000B0E46" w:rsidRPr="000B0E46" w:rsidRDefault="00E82C07" w:rsidP="008B7D15">
      <w:pPr>
        <w:rPr>
          <w:noProof/>
          <w:lang w:val="en-GB"/>
        </w:rPr>
      </w:pPr>
      <w:r w:rsidRPr="000B0E46">
        <w:rPr>
          <w:noProof/>
          <w:lang w:val="en-GB"/>
        </w:rPr>
        <w:t>In the analysis presented, there is a 20 metre</w:t>
      </w:r>
      <w:r w:rsidR="007657AC" w:rsidRPr="000B0E46">
        <w:rPr>
          <w:noProof/>
          <w:lang w:val="en-GB"/>
        </w:rPr>
        <w:t>s</w:t>
      </w:r>
      <w:r w:rsidRPr="000B0E46">
        <w:rPr>
          <w:noProof/>
          <w:lang w:val="en-GB"/>
        </w:rPr>
        <w:t xml:space="preserve"> (horizontal) separation between the TVWS base station antenna and the LTE mobile handset.  </w:t>
      </w:r>
      <w:r w:rsidR="007657AC" w:rsidRPr="000B0E46">
        <w:rPr>
          <w:noProof/>
          <w:lang w:val="en-GB"/>
        </w:rPr>
        <w:t>Since the TVWS base station antenna is at a height of 30 metres, and the LTE handset is at a height of 1.5 metres, there will also be a vertical separation of 28.5 metres.</w:t>
      </w:r>
      <w:r w:rsidRPr="000B0E46">
        <w:rPr>
          <w:noProof/>
          <w:lang w:val="en-GB"/>
        </w:rPr>
        <w:t xml:space="preserve"> </w:t>
      </w:r>
      <w:r w:rsidR="007657AC" w:rsidRPr="000B0E46">
        <w:rPr>
          <w:noProof/>
          <w:lang w:val="en-GB"/>
        </w:rPr>
        <w:t xml:space="preserve"> As a consequence the true separation between the devices will be 34.8 metres.  It </w:t>
      </w:r>
      <w:r w:rsidR="000B0E46" w:rsidRPr="000B0E46">
        <w:rPr>
          <w:noProof/>
          <w:lang w:val="en-GB"/>
        </w:rPr>
        <w:t>is not clear whether this</w:t>
      </w:r>
      <w:r w:rsidR="007657AC" w:rsidRPr="000B0E46">
        <w:rPr>
          <w:noProof/>
          <w:lang w:val="en-GB"/>
        </w:rPr>
        <w:t xml:space="preserve"> has been correctly reflected in the analysis.  </w:t>
      </w:r>
      <w:r w:rsidR="00E554E0">
        <w:rPr>
          <w:noProof/>
          <w:lang w:val="en-GB"/>
        </w:rPr>
        <w:t xml:space="preserve">It is furthermore questionable whether such a close </w:t>
      </w:r>
      <w:r w:rsidR="008E0694">
        <w:rPr>
          <w:noProof/>
          <w:lang w:val="en-GB"/>
        </w:rPr>
        <w:t xml:space="preserve">separation </w:t>
      </w:r>
      <w:r w:rsidR="00E554E0">
        <w:rPr>
          <w:noProof/>
          <w:lang w:val="en-GB"/>
        </w:rPr>
        <w:t>distance between a TVWS base station at 30m height and a mobile at ground level is a likely scenario.</w:t>
      </w:r>
    </w:p>
    <w:p w:rsidR="000B0E46" w:rsidRPr="000B0E46" w:rsidRDefault="000B0E46" w:rsidP="008B7D15">
      <w:pPr>
        <w:rPr>
          <w:noProof/>
          <w:lang w:val="en-GB"/>
        </w:rPr>
      </w:pPr>
    </w:p>
    <w:p w:rsidR="00E82C07" w:rsidRPr="000B0E46" w:rsidRDefault="007657AC" w:rsidP="008B7D15">
      <w:pPr>
        <w:rPr>
          <w:noProof/>
          <w:lang w:val="en-GB"/>
        </w:rPr>
      </w:pPr>
      <w:r w:rsidRPr="000B0E46">
        <w:rPr>
          <w:noProof/>
          <w:lang w:val="en-GB"/>
        </w:rPr>
        <w:t>Furthermore, the signal</w:t>
      </w:r>
      <w:r w:rsidR="000B0E46" w:rsidRPr="000B0E46">
        <w:rPr>
          <w:noProof/>
          <w:lang w:val="en-GB"/>
        </w:rPr>
        <w:t xml:space="preserve"> towards the LTE handset</w:t>
      </w:r>
      <w:r w:rsidRPr="000B0E46">
        <w:rPr>
          <w:noProof/>
          <w:lang w:val="en-GB"/>
        </w:rPr>
        <w:t xml:space="preserve"> will be radiated at -54.9° in the elevation plane, which (</w:t>
      </w:r>
      <w:r w:rsidR="000B0E46" w:rsidRPr="000B0E46">
        <w:rPr>
          <w:noProof/>
          <w:lang w:val="en-GB"/>
        </w:rPr>
        <w:t>for the</w:t>
      </w:r>
      <w:r w:rsidRPr="000B0E46">
        <w:rPr>
          <w:noProof/>
          <w:lang w:val="en-GB"/>
        </w:rPr>
        <w:t xml:space="preserve"> </w:t>
      </w:r>
      <w:r w:rsidR="000B0E46" w:rsidRPr="000B0E46">
        <w:rPr>
          <w:noProof/>
          <w:lang w:val="en-GB"/>
        </w:rPr>
        <w:t>antenna used</w:t>
      </w:r>
      <w:r w:rsidRPr="000B0E46">
        <w:rPr>
          <w:noProof/>
          <w:lang w:val="en-GB"/>
        </w:rPr>
        <w:t xml:space="preserve"> in the analysis) will introduce an off-axis </w:t>
      </w:r>
      <w:r w:rsidR="00F61CED">
        <w:rPr>
          <w:noProof/>
          <w:lang w:val="en-GB"/>
        </w:rPr>
        <w:t>discrimination</w:t>
      </w:r>
      <w:r w:rsidR="00F61CED" w:rsidRPr="000B0E46">
        <w:rPr>
          <w:noProof/>
          <w:lang w:val="en-GB"/>
        </w:rPr>
        <w:t xml:space="preserve"> </w:t>
      </w:r>
      <w:r w:rsidRPr="000B0E46">
        <w:rPr>
          <w:noProof/>
          <w:lang w:val="en-GB"/>
        </w:rPr>
        <w:t>of about -19</w:t>
      </w:r>
      <w:r w:rsidR="000B0E46" w:rsidRPr="000B0E46">
        <w:rPr>
          <w:noProof/>
          <w:lang w:val="en-GB"/>
        </w:rPr>
        <w:t xml:space="preserve"> </w:t>
      </w:r>
      <w:r w:rsidR="00F61CED" w:rsidRPr="000B0E46">
        <w:rPr>
          <w:noProof/>
          <w:lang w:val="en-GB"/>
        </w:rPr>
        <w:t>dB</w:t>
      </w:r>
      <w:r w:rsidR="00F61CED">
        <w:rPr>
          <w:noProof/>
          <w:lang w:val="en-GB"/>
        </w:rPr>
        <w:t xml:space="preserve"> (relative to boresight gain), according to the figure in document 25</w:t>
      </w:r>
      <w:r w:rsidR="000B0E46" w:rsidRPr="000B0E46">
        <w:rPr>
          <w:noProof/>
          <w:lang w:val="en-GB"/>
        </w:rPr>
        <w:t>.  It is not clear whether this factor has also been taken into account.</w:t>
      </w:r>
    </w:p>
    <w:p w:rsidR="008B7D15" w:rsidRDefault="008B7D15" w:rsidP="008B7D15">
      <w:pPr>
        <w:rPr>
          <w:noProof/>
          <w:lang w:val="en-GB"/>
        </w:rPr>
      </w:pPr>
    </w:p>
    <w:p w:rsidR="0003572F" w:rsidRPr="005C2989" w:rsidRDefault="0003572F" w:rsidP="008B7D15">
      <w:pPr>
        <w:rPr>
          <w:i/>
          <w:noProof/>
          <w:lang w:val="en-GB"/>
        </w:rPr>
      </w:pPr>
      <w:r w:rsidRPr="005C2989">
        <w:rPr>
          <w:i/>
          <w:noProof/>
          <w:lang w:val="en-GB"/>
        </w:rPr>
        <w:t>2.5 Comparison of interference sources</w:t>
      </w:r>
    </w:p>
    <w:p w:rsidR="0003572F" w:rsidRDefault="0003572F" w:rsidP="008B7D15">
      <w:pPr>
        <w:rPr>
          <w:noProof/>
          <w:lang w:val="en-GB"/>
        </w:rPr>
      </w:pPr>
    </w:p>
    <w:p w:rsidR="0003572F" w:rsidRDefault="0003572F" w:rsidP="008B7D15">
      <w:pPr>
        <w:rPr>
          <w:noProof/>
          <w:lang w:val="en-GB"/>
        </w:rPr>
      </w:pPr>
      <w:r>
        <w:rPr>
          <w:noProof/>
          <w:lang w:val="en-GB"/>
        </w:rPr>
        <w:t xml:space="preserve">In Annex 1 we show a simple link </w:t>
      </w:r>
      <w:r w:rsidR="005C2989">
        <w:rPr>
          <w:noProof/>
          <w:lang w:val="en-GB"/>
        </w:rPr>
        <w:t xml:space="preserve">budget </w:t>
      </w:r>
      <w:r>
        <w:rPr>
          <w:noProof/>
          <w:lang w:val="en-GB"/>
        </w:rPr>
        <w:t>spreadsheet with calculations of the combined effects of blocking and out of band emission effects according to the method outlined in ECC report 159 section 8.1 and Annex 12.   We also show the effect of applying the same method of calculation but with an I/N criterion of -20dB applied.</w:t>
      </w:r>
    </w:p>
    <w:p w:rsidR="0003572F" w:rsidRDefault="0003572F" w:rsidP="008B7D15">
      <w:pPr>
        <w:rPr>
          <w:noProof/>
          <w:lang w:val="en-GB"/>
        </w:rPr>
      </w:pPr>
    </w:p>
    <w:p w:rsidR="0003572F" w:rsidRPr="000B0E46" w:rsidRDefault="0003572F" w:rsidP="008B7D15">
      <w:pPr>
        <w:rPr>
          <w:noProof/>
          <w:lang w:val="en-GB"/>
        </w:rPr>
      </w:pPr>
      <w:r>
        <w:rPr>
          <w:noProof/>
          <w:lang w:val="en-GB"/>
        </w:rPr>
        <w:t>For comparison, we illustrate also the effect of applying the same interference calculation methodology to other</w:t>
      </w:r>
      <w:r w:rsidR="00A3338E">
        <w:rPr>
          <w:noProof/>
          <w:lang w:val="en-GB"/>
        </w:rPr>
        <w:t xml:space="preserve"> interference sources (other ad</w:t>
      </w:r>
      <w:r>
        <w:rPr>
          <w:noProof/>
          <w:lang w:val="en-GB"/>
        </w:rPr>
        <w:t xml:space="preserve">jacent channel LTE base station emissions and adjacent channel high power TV broadcast emissions). </w:t>
      </w:r>
      <w:r w:rsidR="005C2989">
        <w:rPr>
          <w:noProof/>
          <w:lang w:val="en-GB"/>
        </w:rPr>
        <w:t xml:space="preserve"> </w:t>
      </w:r>
      <w:r>
        <w:rPr>
          <w:noProof/>
          <w:lang w:val="en-GB"/>
        </w:rPr>
        <w:t>It would appear from the</w:t>
      </w:r>
      <w:r w:rsidR="0010680B">
        <w:rPr>
          <w:noProof/>
          <w:lang w:val="en-GB"/>
        </w:rPr>
        <w:t>se</w:t>
      </w:r>
      <w:r>
        <w:rPr>
          <w:noProof/>
          <w:lang w:val="en-GB"/>
        </w:rPr>
        <w:t xml:space="preserve"> simple </w:t>
      </w:r>
      <w:r>
        <w:rPr>
          <w:noProof/>
          <w:lang w:val="en-GB"/>
        </w:rPr>
        <w:lastRenderedPageBreak/>
        <w:t xml:space="preserve">calculations that these other sources would lead to hugely greater interference  effects into LTE mobiles than </w:t>
      </w:r>
      <w:r w:rsidR="00A3338E">
        <w:rPr>
          <w:noProof/>
          <w:lang w:val="en-GB"/>
        </w:rPr>
        <w:t>from</w:t>
      </w:r>
      <w:r>
        <w:rPr>
          <w:noProof/>
          <w:lang w:val="en-GB"/>
        </w:rPr>
        <w:t xml:space="preserve"> some </w:t>
      </w:r>
      <w:r w:rsidR="00A3338E">
        <w:rPr>
          <w:noProof/>
          <w:lang w:val="en-GB"/>
        </w:rPr>
        <w:t>WSD applications</w:t>
      </w:r>
      <w:r>
        <w:rPr>
          <w:noProof/>
          <w:lang w:val="en-GB"/>
        </w:rPr>
        <w:t xml:space="preserve"> and this further calls into question the approach of adjacent band compatibility calculations for WSD interference sources </w:t>
      </w:r>
      <w:r w:rsidR="00A3338E">
        <w:rPr>
          <w:noProof/>
          <w:lang w:val="en-GB"/>
        </w:rPr>
        <w:t xml:space="preserve">into LTE mobiles </w:t>
      </w:r>
      <w:r>
        <w:rPr>
          <w:noProof/>
          <w:lang w:val="en-GB"/>
        </w:rPr>
        <w:t>applied with such a stringent interference criterion based on thermal noise.</w:t>
      </w:r>
    </w:p>
    <w:p w:rsidR="000B0E46" w:rsidRDefault="000B0E46" w:rsidP="000B0E46">
      <w:pPr>
        <w:rPr>
          <w:noProof/>
          <w:lang w:val="en-GB"/>
        </w:rPr>
      </w:pPr>
    </w:p>
    <w:p w:rsidR="0010680B" w:rsidRPr="000B0E46" w:rsidRDefault="0010680B" w:rsidP="000B0E46">
      <w:pPr>
        <w:rPr>
          <w:noProof/>
          <w:lang w:val="en-GB"/>
        </w:rPr>
      </w:pPr>
    </w:p>
    <w:p w:rsidR="000B0E46" w:rsidRPr="0010680B" w:rsidRDefault="000B0E46" w:rsidP="000B0E46">
      <w:pPr>
        <w:rPr>
          <w:b/>
          <w:noProof/>
          <w:lang w:val="en-GB"/>
        </w:rPr>
      </w:pPr>
      <w:r w:rsidRPr="0010680B">
        <w:rPr>
          <w:b/>
          <w:noProof/>
          <w:lang w:val="en-GB"/>
        </w:rPr>
        <w:t>3.</w:t>
      </w:r>
      <w:r w:rsidRPr="0010680B">
        <w:rPr>
          <w:b/>
          <w:noProof/>
          <w:lang w:val="en-GB"/>
        </w:rPr>
        <w:tab/>
        <w:t>CONCLUSION</w:t>
      </w:r>
    </w:p>
    <w:p w:rsidR="000B0E46" w:rsidRPr="000B0E46" w:rsidRDefault="000B0E46" w:rsidP="000B0E46">
      <w:pPr>
        <w:rPr>
          <w:noProof/>
          <w:lang w:val="en-GB"/>
        </w:rPr>
      </w:pPr>
    </w:p>
    <w:p w:rsidR="000B0E46" w:rsidRDefault="000B0E46" w:rsidP="00AB2976">
      <w:pPr>
        <w:rPr>
          <w:noProof/>
          <w:lang w:val="en-GB"/>
        </w:rPr>
      </w:pPr>
      <w:r>
        <w:rPr>
          <w:noProof/>
          <w:lang w:val="en-GB"/>
        </w:rPr>
        <w:t xml:space="preserve">Whilst we fully understand the need to offer sufficient protection against interference from TVWS devices into the neighbouring bands, we believe that </w:t>
      </w:r>
      <w:r w:rsidR="009D6EA9">
        <w:rPr>
          <w:noProof/>
          <w:lang w:val="en-GB"/>
        </w:rPr>
        <w:t>the analysis should reflect a r</w:t>
      </w:r>
      <w:r w:rsidR="00AB2976">
        <w:rPr>
          <w:noProof/>
          <w:lang w:val="en-GB"/>
        </w:rPr>
        <w:t>ealistic situation.  In the case of a statistical analysis, all elements should be fairly represented, in order to derive fair and balanced results and conclusions.</w:t>
      </w:r>
    </w:p>
    <w:p w:rsidR="00AB2976" w:rsidRDefault="00AB2976" w:rsidP="00AB2976">
      <w:pPr>
        <w:rPr>
          <w:noProof/>
          <w:lang w:val="en-GB"/>
        </w:rPr>
      </w:pPr>
    </w:p>
    <w:p w:rsidR="00AB2976" w:rsidRDefault="005C2989" w:rsidP="00AB2976">
      <w:pPr>
        <w:rPr>
          <w:noProof/>
          <w:lang w:val="en-GB"/>
        </w:rPr>
      </w:pPr>
      <w:r>
        <w:rPr>
          <w:noProof/>
          <w:lang w:val="en-GB"/>
        </w:rPr>
        <w:t>I</w:t>
      </w:r>
      <w:r w:rsidR="00AB2976">
        <w:rPr>
          <w:noProof/>
          <w:lang w:val="en-GB"/>
        </w:rPr>
        <w:t>t is hoped that we can work with the authors of SE43(11)25, and other interested parties, to produce an agreed set of conclusions.</w:t>
      </w:r>
    </w:p>
    <w:p w:rsidR="00A3338E" w:rsidRDefault="00A3338E" w:rsidP="00AB2976">
      <w:pPr>
        <w:rPr>
          <w:noProof/>
          <w:lang w:val="en-GB"/>
        </w:rPr>
      </w:pPr>
    </w:p>
    <w:p w:rsidR="005C2989" w:rsidRDefault="005C2989" w:rsidP="00AB2976">
      <w:pPr>
        <w:rPr>
          <w:noProof/>
          <w:lang w:val="en-GB"/>
        </w:rPr>
      </w:pPr>
    </w:p>
    <w:p w:rsidR="00A3338E" w:rsidRPr="0010680B" w:rsidRDefault="003025B4" w:rsidP="00AB2976">
      <w:pPr>
        <w:rPr>
          <w:b/>
          <w:noProof/>
          <w:lang w:val="en-GB"/>
        </w:rPr>
      </w:pPr>
      <w:r>
        <w:rPr>
          <w:b/>
          <w:noProof/>
          <w:lang w:val="en-GB"/>
        </w:rPr>
        <w:t>ANNEX 1</w:t>
      </w:r>
      <w:r w:rsidR="00A3338E" w:rsidRPr="0010680B">
        <w:rPr>
          <w:b/>
          <w:noProof/>
          <w:lang w:val="en-GB"/>
        </w:rPr>
        <w:t xml:space="preserve"> </w:t>
      </w:r>
    </w:p>
    <w:p w:rsidR="007F7D9E" w:rsidRDefault="007F7D9E" w:rsidP="00AB2976">
      <w:pPr>
        <w:rPr>
          <w:noProof/>
          <w:lang w:val="en-GB"/>
        </w:rPr>
      </w:pPr>
    </w:p>
    <w:p w:rsidR="007F7D9E" w:rsidRPr="000B0E46" w:rsidRDefault="007F7D9E" w:rsidP="00AB2976">
      <w:pPr>
        <w:rPr>
          <w:noProof/>
          <w:lang w:val="en-GB"/>
        </w:rPr>
      </w:pPr>
      <w:r w:rsidRPr="007F7D9E">
        <w:rPr>
          <w:noProof/>
          <w:lang w:val="en-US" w:eastAsia="en-US"/>
        </w:rPr>
        <w:drawing>
          <wp:inline distT="0" distB="0" distL="0" distR="0">
            <wp:extent cx="6120130" cy="460401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604014"/>
                    </a:xfrm>
                    <a:prstGeom prst="rect">
                      <a:avLst/>
                    </a:prstGeom>
                    <a:noFill/>
                    <a:ln>
                      <a:noFill/>
                    </a:ln>
                  </pic:spPr>
                </pic:pic>
              </a:graphicData>
            </a:graphic>
          </wp:inline>
        </w:drawing>
      </w:r>
    </w:p>
    <w:sectPr w:rsidR="007F7D9E" w:rsidRPr="000B0E46" w:rsidSect="008B7D15">
      <w:footerReference w:type="default" r:id="rId1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3F2" w:rsidRDefault="00BF03F2" w:rsidP="007B68DB">
      <w:r>
        <w:separator/>
      </w:r>
    </w:p>
  </w:endnote>
  <w:endnote w:type="continuationSeparator" w:id="0">
    <w:p w:rsidR="00BF03F2" w:rsidRDefault="00BF03F2" w:rsidP="007B6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DB" w:rsidRDefault="007B68DB">
    <w:pPr>
      <w:pStyle w:val="Pieddepage"/>
    </w:pPr>
    <w:r>
      <w:t xml:space="preserve">Page </w:t>
    </w:r>
    <w:r w:rsidR="002967D4">
      <w:rPr>
        <w:b/>
      </w:rPr>
      <w:fldChar w:fldCharType="begin"/>
    </w:r>
    <w:r>
      <w:rPr>
        <w:b/>
      </w:rPr>
      <w:instrText xml:space="preserve"> PAGE  \* Arabic  \* MERGEFORMAT </w:instrText>
    </w:r>
    <w:r w:rsidR="002967D4">
      <w:rPr>
        <w:b/>
      </w:rPr>
      <w:fldChar w:fldCharType="separate"/>
    </w:r>
    <w:r w:rsidR="00D06F45">
      <w:rPr>
        <w:b/>
        <w:noProof/>
      </w:rPr>
      <w:t>1</w:t>
    </w:r>
    <w:r w:rsidR="002967D4">
      <w:rPr>
        <w:b/>
      </w:rPr>
      <w:fldChar w:fldCharType="end"/>
    </w:r>
    <w:r>
      <w:t xml:space="preserve"> of </w:t>
    </w:r>
    <w:fldSimple w:instr=" NUMPAGES  \* Arabic  \* MERGEFORMAT ">
      <w:r w:rsidR="00D06F45">
        <w:rPr>
          <w:b/>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3F2" w:rsidRDefault="00BF03F2" w:rsidP="007B68DB">
      <w:r>
        <w:separator/>
      </w:r>
    </w:p>
  </w:footnote>
  <w:footnote w:type="continuationSeparator" w:id="0">
    <w:p w:rsidR="00BF03F2" w:rsidRDefault="00BF03F2" w:rsidP="007B6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40B82"/>
    <w:multiLevelType w:val="hybridMultilevel"/>
    <w:tmpl w:val="2F704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B7D15"/>
    <w:rsid w:val="0003572F"/>
    <w:rsid w:val="0008750F"/>
    <w:rsid w:val="0009297C"/>
    <w:rsid w:val="000B0E46"/>
    <w:rsid w:val="000C7D93"/>
    <w:rsid w:val="000D2402"/>
    <w:rsid w:val="000F44BE"/>
    <w:rsid w:val="0010680B"/>
    <w:rsid w:val="00171AAC"/>
    <w:rsid w:val="001E2AC9"/>
    <w:rsid w:val="002967D4"/>
    <w:rsid w:val="002A0A58"/>
    <w:rsid w:val="002D5126"/>
    <w:rsid w:val="003025B4"/>
    <w:rsid w:val="003258B9"/>
    <w:rsid w:val="00476BC5"/>
    <w:rsid w:val="005C2989"/>
    <w:rsid w:val="006B0DEE"/>
    <w:rsid w:val="007657AC"/>
    <w:rsid w:val="007B68DB"/>
    <w:rsid w:val="007F7D9E"/>
    <w:rsid w:val="008B7D15"/>
    <w:rsid w:val="008E0694"/>
    <w:rsid w:val="009D6EA9"/>
    <w:rsid w:val="00A3338E"/>
    <w:rsid w:val="00AB2976"/>
    <w:rsid w:val="00BF03F2"/>
    <w:rsid w:val="00C6132C"/>
    <w:rsid w:val="00D06F45"/>
    <w:rsid w:val="00E30E8A"/>
    <w:rsid w:val="00E554E0"/>
    <w:rsid w:val="00E82C07"/>
    <w:rsid w:val="00EB08E4"/>
    <w:rsid w:val="00EF335E"/>
    <w:rsid w:val="00F6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15"/>
    <w:pPr>
      <w:spacing w:after="0" w:line="240" w:lineRule="auto"/>
    </w:pPr>
    <w:rPr>
      <w:rFonts w:ascii="Times New Roman" w:eastAsia="Times New Roman" w:hAnsi="Times New Roman" w:cs="Times New Roman"/>
      <w:sz w:val="24"/>
      <w:szCs w:val="24"/>
      <w:lang w:val="fr-FR" w:eastAsia="fr-FR"/>
    </w:rPr>
  </w:style>
  <w:style w:type="paragraph" w:styleId="Titre4">
    <w:name w:val="heading 4"/>
    <w:basedOn w:val="Normal"/>
    <w:next w:val="Normal"/>
    <w:link w:val="Titre4Car"/>
    <w:qFormat/>
    <w:rsid w:val="008B7D15"/>
    <w:pPr>
      <w:keepNext/>
      <w:outlineLvl w:val="3"/>
    </w:pPr>
    <w:rPr>
      <w:rFonts w:ascii="Arial" w:hAnsi="Arial"/>
      <w:b/>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8B7D15"/>
    <w:rPr>
      <w:rFonts w:ascii="Arial" w:eastAsia="Times New Roman" w:hAnsi="Arial" w:cs="Times New Roman"/>
      <w:b/>
      <w:sz w:val="24"/>
      <w:szCs w:val="20"/>
      <w:lang w:eastAsia="de-DE"/>
    </w:rPr>
  </w:style>
  <w:style w:type="paragraph" w:customStyle="1" w:styleId="SimonsStyle">
    <w:name w:val="Simon's Style"/>
    <w:basedOn w:val="Normal"/>
    <w:rsid w:val="008B7D15"/>
    <w:rPr>
      <w:rFonts w:ascii="Antique Olv (W1)" w:hAnsi="Antique Olv (W1)"/>
      <w:sz w:val="20"/>
      <w:szCs w:val="20"/>
      <w:lang w:val="en-GB"/>
    </w:rPr>
  </w:style>
  <w:style w:type="paragraph" w:styleId="Paragraphedeliste">
    <w:name w:val="List Paragraph"/>
    <w:basedOn w:val="Normal"/>
    <w:uiPriority w:val="34"/>
    <w:qFormat/>
    <w:rsid w:val="008B7D15"/>
    <w:pPr>
      <w:ind w:left="720"/>
      <w:contextualSpacing/>
    </w:pPr>
  </w:style>
  <w:style w:type="paragraph" w:styleId="Textedebulles">
    <w:name w:val="Balloon Text"/>
    <w:basedOn w:val="Normal"/>
    <w:link w:val="TextedebullesCar"/>
    <w:uiPriority w:val="99"/>
    <w:semiHidden/>
    <w:unhideWhenUsed/>
    <w:rsid w:val="008B7D15"/>
    <w:rPr>
      <w:rFonts w:ascii="Tahoma" w:hAnsi="Tahoma" w:cs="Tahoma"/>
      <w:sz w:val="16"/>
      <w:szCs w:val="16"/>
    </w:rPr>
  </w:style>
  <w:style w:type="character" w:customStyle="1" w:styleId="TextedebullesCar">
    <w:name w:val="Texte de bulles Car"/>
    <w:basedOn w:val="Policepardfaut"/>
    <w:link w:val="Textedebulles"/>
    <w:uiPriority w:val="99"/>
    <w:semiHidden/>
    <w:rsid w:val="008B7D15"/>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03572F"/>
    <w:rPr>
      <w:sz w:val="16"/>
      <w:szCs w:val="16"/>
    </w:rPr>
  </w:style>
  <w:style w:type="paragraph" w:styleId="Commentaire">
    <w:name w:val="annotation text"/>
    <w:basedOn w:val="Normal"/>
    <w:link w:val="CommentaireCar"/>
    <w:uiPriority w:val="99"/>
    <w:semiHidden/>
    <w:unhideWhenUsed/>
    <w:rsid w:val="0003572F"/>
    <w:rPr>
      <w:sz w:val="20"/>
      <w:szCs w:val="20"/>
    </w:rPr>
  </w:style>
  <w:style w:type="character" w:customStyle="1" w:styleId="CommentaireCar">
    <w:name w:val="Commentaire Car"/>
    <w:basedOn w:val="Policepardfaut"/>
    <w:link w:val="Commentaire"/>
    <w:uiPriority w:val="99"/>
    <w:semiHidden/>
    <w:rsid w:val="0003572F"/>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03572F"/>
    <w:rPr>
      <w:b/>
      <w:bCs/>
    </w:rPr>
  </w:style>
  <w:style w:type="character" w:customStyle="1" w:styleId="ObjetducommentaireCar">
    <w:name w:val="Objet du commentaire Car"/>
    <w:basedOn w:val="CommentaireCar"/>
    <w:link w:val="Objetducommentaire"/>
    <w:uiPriority w:val="99"/>
    <w:semiHidden/>
    <w:rsid w:val="0003572F"/>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03572F"/>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7B68DB"/>
    <w:pPr>
      <w:tabs>
        <w:tab w:val="center" w:pos="4513"/>
        <w:tab w:val="right" w:pos="9026"/>
      </w:tabs>
    </w:pPr>
  </w:style>
  <w:style w:type="character" w:customStyle="1" w:styleId="En-tteCar">
    <w:name w:val="En-tête Car"/>
    <w:basedOn w:val="Policepardfaut"/>
    <w:link w:val="En-tte"/>
    <w:uiPriority w:val="99"/>
    <w:rsid w:val="007B68D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B68DB"/>
    <w:pPr>
      <w:tabs>
        <w:tab w:val="center" w:pos="4513"/>
        <w:tab w:val="right" w:pos="9026"/>
      </w:tabs>
    </w:pPr>
  </w:style>
  <w:style w:type="character" w:customStyle="1" w:styleId="PieddepageCar">
    <w:name w:val="Pied de page Car"/>
    <w:basedOn w:val="Policepardfaut"/>
    <w:link w:val="Pieddepage"/>
    <w:uiPriority w:val="99"/>
    <w:rsid w:val="007B68DB"/>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15"/>
    <w:pPr>
      <w:spacing w:after="0" w:line="240" w:lineRule="auto"/>
    </w:pPr>
    <w:rPr>
      <w:rFonts w:ascii="Times New Roman" w:eastAsia="Times New Roman" w:hAnsi="Times New Roman" w:cs="Times New Roman"/>
      <w:sz w:val="24"/>
      <w:szCs w:val="24"/>
      <w:lang w:val="fr-FR" w:eastAsia="fr-FR"/>
    </w:rPr>
  </w:style>
  <w:style w:type="paragraph" w:styleId="Heading4">
    <w:name w:val="heading 4"/>
    <w:basedOn w:val="Normal"/>
    <w:next w:val="Normal"/>
    <w:link w:val="Heading4Char"/>
    <w:qFormat/>
    <w:rsid w:val="008B7D15"/>
    <w:pPr>
      <w:keepNext/>
      <w:outlineLvl w:val="3"/>
    </w:pPr>
    <w:rPr>
      <w:rFonts w:ascii="Arial"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B7D15"/>
    <w:rPr>
      <w:rFonts w:ascii="Arial" w:eastAsia="Times New Roman" w:hAnsi="Arial" w:cs="Times New Roman"/>
      <w:b/>
      <w:sz w:val="24"/>
      <w:szCs w:val="20"/>
      <w:lang w:eastAsia="de-DE"/>
    </w:rPr>
  </w:style>
  <w:style w:type="paragraph" w:customStyle="1" w:styleId="SimonsStyle">
    <w:name w:val="Simon's Style"/>
    <w:basedOn w:val="Normal"/>
    <w:rsid w:val="008B7D15"/>
    <w:rPr>
      <w:rFonts w:ascii="Antique Olv (W1)" w:hAnsi="Antique Olv (W1)"/>
      <w:sz w:val="20"/>
      <w:szCs w:val="20"/>
      <w:lang w:val="en-GB"/>
    </w:rPr>
  </w:style>
  <w:style w:type="paragraph" w:styleId="ListParagraph">
    <w:name w:val="List Paragraph"/>
    <w:basedOn w:val="Normal"/>
    <w:uiPriority w:val="34"/>
    <w:qFormat/>
    <w:rsid w:val="008B7D15"/>
    <w:pPr>
      <w:ind w:left="720"/>
      <w:contextualSpacing/>
    </w:pPr>
  </w:style>
  <w:style w:type="paragraph" w:styleId="BalloonText">
    <w:name w:val="Balloon Text"/>
    <w:basedOn w:val="Normal"/>
    <w:link w:val="BalloonTextChar"/>
    <w:uiPriority w:val="99"/>
    <w:semiHidden/>
    <w:unhideWhenUsed/>
    <w:rsid w:val="008B7D15"/>
    <w:rPr>
      <w:rFonts w:ascii="Tahoma" w:hAnsi="Tahoma" w:cs="Tahoma"/>
      <w:sz w:val="16"/>
      <w:szCs w:val="16"/>
    </w:rPr>
  </w:style>
  <w:style w:type="character" w:customStyle="1" w:styleId="BalloonTextChar">
    <w:name w:val="Balloon Text Char"/>
    <w:basedOn w:val="DefaultParagraphFont"/>
    <w:link w:val="BalloonText"/>
    <w:uiPriority w:val="99"/>
    <w:semiHidden/>
    <w:rsid w:val="008B7D15"/>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sid w:val="0003572F"/>
    <w:rPr>
      <w:sz w:val="16"/>
      <w:szCs w:val="16"/>
    </w:rPr>
  </w:style>
  <w:style w:type="paragraph" w:styleId="CommentText">
    <w:name w:val="annotation text"/>
    <w:basedOn w:val="Normal"/>
    <w:link w:val="CommentTextChar"/>
    <w:uiPriority w:val="99"/>
    <w:semiHidden/>
    <w:unhideWhenUsed/>
    <w:rsid w:val="0003572F"/>
    <w:rPr>
      <w:sz w:val="20"/>
      <w:szCs w:val="20"/>
    </w:rPr>
  </w:style>
  <w:style w:type="character" w:customStyle="1" w:styleId="CommentTextChar">
    <w:name w:val="Comment Text Char"/>
    <w:basedOn w:val="DefaultParagraphFont"/>
    <w:link w:val="CommentText"/>
    <w:uiPriority w:val="99"/>
    <w:semiHidden/>
    <w:rsid w:val="0003572F"/>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03572F"/>
    <w:rPr>
      <w:b/>
      <w:bCs/>
    </w:rPr>
  </w:style>
  <w:style w:type="character" w:customStyle="1" w:styleId="CommentSubjectChar">
    <w:name w:val="Comment Subject Char"/>
    <w:basedOn w:val="CommentTextChar"/>
    <w:link w:val="CommentSubject"/>
    <w:uiPriority w:val="99"/>
    <w:semiHidden/>
    <w:rsid w:val="0003572F"/>
    <w:rPr>
      <w:rFonts w:ascii="Times New Roman" w:eastAsia="Times New Roman" w:hAnsi="Times New Roman" w:cs="Times New Roman"/>
      <w:b/>
      <w:bCs/>
      <w:sz w:val="20"/>
      <w:szCs w:val="20"/>
      <w:lang w:val="fr-FR" w:eastAsia="fr-FR"/>
    </w:rPr>
  </w:style>
  <w:style w:type="paragraph" w:styleId="Revision">
    <w:name w:val="Revision"/>
    <w:hidden/>
    <w:uiPriority w:val="99"/>
    <w:semiHidden/>
    <w:rsid w:val="0003572F"/>
    <w:pPr>
      <w:spacing w:after="0" w:line="240" w:lineRule="auto"/>
    </w:pPr>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7B68DB"/>
    <w:pPr>
      <w:tabs>
        <w:tab w:val="center" w:pos="4513"/>
        <w:tab w:val="right" w:pos="9026"/>
      </w:tabs>
    </w:pPr>
  </w:style>
  <w:style w:type="character" w:customStyle="1" w:styleId="HeaderChar">
    <w:name w:val="Header Char"/>
    <w:basedOn w:val="DefaultParagraphFont"/>
    <w:link w:val="Header"/>
    <w:uiPriority w:val="99"/>
    <w:rsid w:val="007B68DB"/>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B68DB"/>
    <w:pPr>
      <w:tabs>
        <w:tab w:val="center" w:pos="4513"/>
        <w:tab w:val="right" w:pos="9026"/>
      </w:tabs>
    </w:pPr>
  </w:style>
  <w:style w:type="character" w:customStyle="1" w:styleId="FooterChar">
    <w:name w:val="Footer Char"/>
    <w:basedOn w:val="DefaultParagraphFont"/>
    <w:link w:val="Footer"/>
    <w:uiPriority w:val="99"/>
    <w:rsid w:val="007B68DB"/>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549003102">
      <w:bodyDiv w:val="1"/>
      <w:marLeft w:val="0"/>
      <w:marRight w:val="0"/>
      <w:marTop w:val="0"/>
      <w:marBottom w:val="0"/>
      <w:divBdr>
        <w:top w:val="none" w:sz="0" w:space="0" w:color="auto"/>
        <w:left w:val="none" w:sz="0" w:space="0" w:color="auto"/>
        <w:bottom w:val="none" w:sz="0" w:space="0" w:color="auto"/>
        <w:right w:val="none" w:sz="0" w:space="0" w:color="auto"/>
      </w:divBdr>
    </w:div>
    <w:div w:id="569079410">
      <w:bodyDiv w:val="1"/>
      <w:marLeft w:val="0"/>
      <w:marRight w:val="0"/>
      <w:marTop w:val="0"/>
      <w:marBottom w:val="0"/>
      <w:divBdr>
        <w:top w:val="none" w:sz="0" w:space="0" w:color="auto"/>
        <w:left w:val="none" w:sz="0" w:space="0" w:color="auto"/>
        <w:bottom w:val="none" w:sz="0" w:space="0" w:color="auto"/>
        <w:right w:val="none" w:sz="0" w:space="0" w:color="auto"/>
      </w:divBdr>
    </w:div>
    <w:div w:id="801965906">
      <w:bodyDiv w:val="1"/>
      <w:marLeft w:val="0"/>
      <w:marRight w:val="0"/>
      <w:marTop w:val="0"/>
      <w:marBottom w:val="0"/>
      <w:divBdr>
        <w:top w:val="none" w:sz="0" w:space="0" w:color="auto"/>
        <w:left w:val="none" w:sz="0" w:space="0" w:color="auto"/>
        <w:bottom w:val="none" w:sz="0" w:space="0" w:color="auto"/>
        <w:right w:val="none" w:sz="0" w:space="0" w:color="auto"/>
      </w:divBdr>
    </w:div>
    <w:div w:id="1286079002">
      <w:bodyDiv w:val="1"/>
      <w:marLeft w:val="0"/>
      <w:marRight w:val="0"/>
      <w:marTop w:val="0"/>
      <w:marBottom w:val="0"/>
      <w:divBdr>
        <w:top w:val="none" w:sz="0" w:space="0" w:color="auto"/>
        <w:left w:val="none" w:sz="0" w:space="0" w:color="auto"/>
        <w:bottom w:val="none" w:sz="0" w:space="0" w:color="auto"/>
        <w:right w:val="none" w:sz="0" w:space="0" w:color="auto"/>
      </w:divBdr>
    </w:div>
    <w:div w:id="1422524499">
      <w:bodyDiv w:val="1"/>
      <w:marLeft w:val="0"/>
      <w:marRight w:val="0"/>
      <w:marTop w:val="0"/>
      <w:marBottom w:val="0"/>
      <w:divBdr>
        <w:top w:val="none" w:sz="0" w:space="0" w:color="auto"/>
        <w:left w:val="none" w:sz="0" w:space="0" w:color="auto"/>
        <w:bottom w:val="none" w:sz="0" w:space="0" w:color="auto"/>
        <w:right w:val="none" w:sz="0" w:space="0" w:color="auto"/>
      </w:divBdr>
    </w:div>
    <w:div w:id="16431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14B7-F343-4FD2-BE1D-5A3181B4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Dixon</dc:creator>
  <cp:lastModifiedBy>Alexandre Kholod</cp:lastModifiedBy>
  <cp:revision>2</cp:revision>
  <dcterms:created xsi:type="dcterms:W3CDTF">2011-09-16T14:05:00Z</dcterms:created>
  <dcterms:modified xsi:type="dcterms:W3CDTF">2011-09-16T14:05:00Z</dcterms:modified>
</cp:coreProperties>
</file>