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2" w:type="dxa"/>
        <w:tblInd w:w="-72" w:type="dxa"/>
        <w:tblLayout w:type="fixed"/>
        <w:tblCellMar>
          <w:left w:w="70" w:type="dxa"/>
          <w:right w:w="70" w:type="dxa"/>
        </w:tblCellMar>
        <w:tblLook w:val="0000"/>
      </w:tblPr>
      <w:tblGrid>
        <w:gridCol w:w="1843"/>
        <w:gridCol w:w="2552"/>
        <w:gridCol w:w="4747"/>
      </w:tblGrid>
      <w:tr w:rsidR="00D51BA1" w:rsidRPr="00F56B13" w:rsidTr="003F7BA5">
        <w:trPr>
          <w:cantSplit/>
        </w:trPr>
        <w:tc>
          <w:tcPr>
            <w:tcW w:w="4395" w:type="dxa"/>
            <w:gridSpan w:val="2"/>
            <w:tcBorders>
              <w:top w:val="nil"/>
              <w:left w:val="nil"/>
              <w:bottom w:val="nil"/>
              <w:right w:val="nil"/>
            </w:tcBorders>
          </w:tcPr>
          <w:p w:rsidR="00D51BA1" w:rsidRPr="00F56B13" w:rsidRDefault="00AE7ABE" w:rsidP="003F7BA5">
            <w:pPr>
              <w:pStyle w:val="ECCHeader"/>
              <w:rPr>
                <w:lang w:val="en-GB"/>
              </w:rPr>
            </w:pPr>
            <w:r>
              <w:rPr>
                <w:noProof/>
                <w:lang w:val="en-US" w:eastAsia="en-US"/>
              </w:rPr>
              <w:drawing>
                <wp:inline distT="0" distB="0" distL="0" distR="0">
                  <wp:extent cx="1623695" cy="8337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3695" cy="833755"/>
                          </a:xfrm>
                          <a:prstGeom prst="rect">
                            <a:avLst/>
                          </a:prstGeom>
                          <a:noFill/>
                          <a:ln w="9525">
                            <a:noFill/>
                            <a:miter lim="800000"/>
                            <a:headEnd/>
                            <a:tailEnd/>
                          </a:ln>
                        </pic:spPr>
                      </pic:pic>
                    </a:graphicData>
                  </a:graphic>
                </wp:inline>
              </w:drawing>
            </w:r>
          </w:p>
          <w:p w:rsidR="00D51BA1" w:rsidRPr="00F56B13" w:rsidRDefault="00D51BA1" w:rsidP="003F7BA5">
            <w:pPr>
              <w:pStyle w:val="ECCHeader"/>
              <w:rPr>
                <w:rFonts w:cs="Arial"/>
                <w:color w:val="000000"/>
                <w:lang w:val="en-GB"/>
              </w:rPr>
            </w:pPr>
          </w:p>
        </w:tc>
        <w:tc>
          <w:tcPr>
            <w:tcW w:w="4747" w:type="dxa"/>
            <w:tcBorders>
              <w:top w:val="nil"/>
              <w:left w:val="nil"/>
              <w:bottom w:val="nil"/>
              <w:right w:val="nil"/>
            </w:tcBorders>
          </w:tcPr>
          <w:p w:rsidR="00D51BA1" w:rsidRDefault="003D71CC" w:rsidP="003F7BA5">
            <w:pPr>
              <w:pStyle w:val="ECCHeader"/>
              <w:tabs>
                <w:tab w:val="clear" w:pos="4536"/>
                <w:tab w:val="right" w:pos="5033"/>
              </w:tabs>
              <w:jc w:val="right"/>
              <w:rPr>
                <w:sz w:val="24"/>
              </w:rPr>
            </w:pPr>
            <w:r>
              <w:rPr>
                <w:sz w:val="24"/>
              </w:rPr>
              <w:t>SE43(11)85</w:t>
            </w:r>
          </w:p>
          <w:p w:rsidR="00D51BA1" w:rsidRDefault="00D51BA1" w:rsidP="003F7BA5">
            <w:pPr>
              <w:pStyle w:val="ECCHeader"/>
              <w:tabs>
                <w:tab w:val="right" w:pos="5033"/>
              </w:tabs>
              <w:jc w:val="center"/>
              <w:rPr>
                <w:sz w:val="24"/>
                <w:szCs w:val="24"/>
                <w:lang w:val="en-GB"/>
              </w:rPr>
            </w:pPr>
          </w:p>
          <w:p w:rsidR="00D51BA1" w:rsidRPr="0011563B" w:rsidRDefault="00D51BA1" w:rsidP="003F7BA5">
            <w:pPr>
              <w:pStyle w:val="ECCHeader"/>
              <w:tabs>
                <w:tab w:val="right" w:pos="5033"/>
              </w:tabs>
              <w:jc w:val="center"/>
              <w:rPr>
                <w:sz w:val="24"/>
                <w:szCs w:val="24"/>
                <w:lang w:val="en-GB"/>
              </w:rPr>
            </w:pPr>
          </w:p>
        </w:tc>
      </w:tr>
      <w:tr w:rsidR="00D51BA1" w:rsidRPr="00F56B13" w:rsidTr="003F7BA5">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D51BA1" w:rsidRPr="0013730A" w:rsidRDefault="00F15480" w:rsidP="003F7BA5">
            <w:pPr>
              <w:pStyle w:val="ECCHeader"/>
              <w:rPr>
                <w:lang w:val="en-GB"/>
              </w:rPr>
            </w:pPr>
            <w:r>
              <w:rPr>
                <w:lang w:val="en-GB"/>
              </w:rPr>
              <w:t>12</w:t>
            </w:r>
            <w:r w:rsidR="00D51BA1">
              <w:rPr>
                <w:lang w:val="en-GB"/>
              </w:rPr>
              <w:t xml:space="preserve">th </w:t>
            </w:r>
            <w:r w:rsidR="00D51BA1" w:rsidRPr="0013730A">
              <w:rPr>
                <w:lang w:val="en-GB"/>
              </w:rPr>
              <w:t>Meeting of SE4</w:t>
            </w:r>
            <w:r w:rsidR="00D51BA1">
              <w:rPr>
                <w:lang w:val="en-GB"/>
              </w:rPr>
              <w:t>3</w:t>
            </w:r>
          </w:p>
        </w:tc>
        <w:tc>
          <w:tcPr>
            <w:tcW w:w="4747" w:type="dxa"/>
            <w:tcBorders>
              <w:top w:val="nil"/>
              <w:left w:val="nil"/>
              <w:bottom w:val="nil"/>
              <w:right w:val="nil"/>
            </w:tcBorders>
            <w:vAlign w:val="center"/>
          </w:tcPr>
          <w:p w:rsidR="00D51BA1" w:rsidRPr="00F56B13" w:rsidRDefault="00D51BA1" w:rsidP="003F7BA5">
            <w:pPr>
              <w:pStyle w:val="ECCHeader"/>
              <w:rPr>
                <w:lang w:val="en-GB"/>
              </w:rPr>
            </w:pPr>
          </w:p>
        </w:tc>
      </w:tr>
      <w:tr w:rsidR="00D51BA1" w:rsidRPr="00F56B13" w:rsidTr="003F7BA5">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D51BA1" w:rsidRPr="0013730A" w:rsidRDefault="00F15480" w:rsidP="003F7BA5">
            <w:pPr>
              <w:pStyle w:val="ECCHeader"/>
              <w:rPr>
                <w:lang w:val="en-GB"/>
              </w:rPr>
            </w:pPr>
            <w:r>
              <w:rPr>
                <w:lang w:val="en-GB"/>
              </w:rPr>
              <w:t>14-16</w:t>
            </w:r>
            <w:r w:rsidR="00D51BA1">
              <w:rPr>
                <w:lang w:val="en-GB"/>
              </w:rPr>
              <w:t xml:space="preserve"> December</w:t>
            </w:r>
            <w:r w:rsidR="00D51BA1" w:rsidRPr="0013730A">
              <w:rPr>
                <w:lang w:val="en-GB"/>
              </w:rPr>
              <w:t xml:space="preserve"> 20</w:t>
            </w:r>
            <w:r w:rsidR="00D51BA1">
              <w:rPr>
                <w:lang w:val="en-GB"/>
              </w:rPr>
              <w:t>11</w:t>
            </w:r>
          </w:p>
        </w:tc>
        <w:tc>
          <w:tcPr>
            <w:tcW w:w="4747" w:type="dxa"/>
            <w:tcBorders>
              <w:top w:val="nil"/>
              <w:left w:val="nil"/>
              <w:bottom w:val="nil"/>
              <w:right w:val="nil"/>
            </w:tcBorders>
            <w:vAlign w:val="center"/>
          </w:tcPr>
          <w:p w:rsidR="00D51BA1" w:rsidRPr="00F56B13" w:rsidRDefault="00D51BA1" w:rsidP="003F7BA5">
            <w:pPr>
              <w:pStyle w:val="ECCHeader"/>
              <w:rPr>
                <w:lang w:val="en-GB"/>
              </w:rPr>
            </w:pPr>
          </w:p>
        </w:tc>
      </w:tr>
      <w:tr w:rsidR="00D51BA1" w:rsidRPr="00F56B13" w:rsidTr="003F7BA5">
        <w:tblPrEx>
          <w:tblCellMar>
            <w:left w:w="108" w:type="dxa"/>
            <w:right w:w="108" w:type="dxa"/>
          </w:tblCellMar>
        </w:tblPrEx>
        <w:trPr>
          <w:cantSplit/>
          <w:trHeight w:val="80"/>
        </w:trPr>
        <w:tc>
          <w:tcPr>
            <w:tcW w:w="4395" w:type="dxa"/>
            <w:gridSpan w:val="2"/>
            <w:tcBorders>
              <w:top w:val="nil"/>
              <w:left w:val="nil"/>
              <w:bottom w:val="nil"/>
              <w:right w:val="nil"/>
            </w:tcBorders>
            <w:vAlign w:val="center"/>
          </w:tcPr>
          <w:p w:rsidR="00D51BA1" w:rsidRPr="00F56B13" w:rsidRDefault="00D51BA1" w:rsidP="003F7BA5">
            <w:pPr>
              <w:pStyle w:val="ECCHeader"/>
              <w:rPr>
                <w:sz w:val="8"/>
                <w:lang w:val="en-GB"/>
              </w:rPr>
            </w:pPr>
          </w:p>
        </w:tc>
        <w:tc>
          <w:tcPr>
            <w:tcW w:w="4747" w:type="dxa"/>
            <w:tcBorders>
              <w:top w:val="nil"/>
              <w:left w:val="nil"/>
              <w:bottom w:val="nil"/>
              <w:right w:val="nil"/>
            </w:tcBorders>
            <w:vAlign w:val="center"/>
          </w:tcPr>
          <w:p w:rsidR="00D51BA1" w:rsidRPr="00F56B13" w:rsidRDefault="00D51BA1" w:rsidP="003F7BA5">
            <w:pPr>
              <w:pStyle w:val="ECCHeader"/>
              <w:rPr>
                <w:sz w:val="8"/>
                <w:lang w:val="en-GB"/>
              </w:rPr>
            </w:pP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vAlign w:val="center"/>
          </w:tcPr>
          <w:p w:rsidR="00D51BA1" w:rsidRPr="00F56B13" w:rsidRDefault="00D51BA1" w:rsidP="003F7BA5">
            <w:pPr>
              <w:pStyle w:val="ECCHeader"/>
              <w:rPr>
                <w:lang w:val="en-GB"/>
              </w:rPr>
            </w:pPr>
            <w:r w:rsidRPr="00F56B13">
              <w:rPr>
                <w:lang w:val="en-GB"/>
              </w:rPr>
              <w:t xml:space="preserve">Date issued: </w:t>
            </w:r>
          </w:p>
        </w:tc>
        <w:tc>
          <w:tcPr>
            <w:tcW w:w="7299" w:type="dxa"/>
            <w:gridSpan w:val="2"/>
            <w:tcBorders>
              <w:top w:val="nil"/>
              <w:left w:val="nil"/>
              <w:bottom w:val="nil"/>
              <w:right w:val="nil"/>
            </w:tcBorders>
            <w:vAlign w:val="center"/>
          </w:tcPr>
          <w:p w:rsidR="00D51BA1" w:rsidRPr="00F56B13" w:rsidRDefault="000E08EA" w:rsidP="003F7BA5">
            <w:pPr>
              <w:pStyle w:val="ECCHeader"/>
              <w:rPr>
                <w:lang w:val="en-GB"/>
              </w:rPr>
            </w:pPr>
            <w:r>
              <w:rPr>
                <w:lang w:val="en-GB"/>
              </w:rPr>
              <w:t xml:space="preserve">9 </w:t>
            </w:r>
            <w:r w:rsidR="00D51BA1">
              <w:rPr>
                <w:lang w:val="en-GB"/>
              </w:rPr>
              <w:t>December 2011</w:t>
            </w: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vAlign w:val="center"/>
          </w:tcPr>
          <w:p w:rsidR="00D51BA1" w:rsidRPr="00F56B13" w:rsidRDefault="00D51BA1" w:rsidP="003F7BA5">
            <w:pPr>
              <w:pStyle w:val="ECCHeader"/>
              <w:rPr>
                <w:lang w:val="en-GB"/>
              </w:rPr>
            </w:pPr>
            <w:r w:rsidRPr="00F56B13">
              <w:rPr>
                <w:lang w:val="en-GB"/>
              </w:rPr>
              <w:t>Source:</w:t>
            </w:r>
          </w:p>
        </w:tc>
        <w:tc>
          <w:tcPr>
            <w:tcW w:w="7299" w:type="dxa"/>
            <w:gridSpan w:val="2"/>
            <w:tcBorders>
              <w:top w:val="nil"/>
              <w:left w:val="nil"/>
              <w:bottom w:val="nil"/>
              <w:right w:val="nil"/>
            </w:tcBorders>
            <w:vAlign w:val="center"/>
          </w:tcPr>
          <w:p w:rsidR="00D51BA1" w:rsidRPr="00F56B13" w:rsidRDefault="00D51BA1" w:rsidP="003F7BA5">
            <w:pPr>
              <w:pStyle w:val="ECCHeader"/>
              <w:rPr>
                <w:lang w:val="en-GB"/>
              </w:rPr>
            </w:pPr>
            <w:r>
              <w:rPr>
                <w:lang w:val="en-GB"/>
              </w:rPr>
              <w:t>EBU</w:t>
            </w: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tcPr>
          <w:p w:rsidR="00D51BA1" w:rsidRPr="00F56B13" w:rsidRDefault="00D51BA1" w:rsidP="003F7BA5">
            <w:pPr>
              <w:pStyle w:val="ECCHeader"/>
              <w:rPr>
                <w:lang w:val="en-GB"/>
              </w:rPr>
            </w:pPr>
            <w:r w:rsidRPr="00F56B13">
              <w:rPr>
                <w:lang w:val="en-GB"/>
              </w:rPr>
              <w:t xml:space="preserve">Subject:  </w:t>
            </w:r>
          </w:p>
        </w:tc>
        <w:tc>
          <w:tcPr>
            <w:tcW w:w="7299" w:type="dxa"/>
            <w:gridSpan w:val="2"/>
            <w:tcBorders>
              <w:top w:val="nil"/>
              <w:left w:val="nil"/>
              <w:bottom w:val="nil"/>
              <w:right w:val="nil"/>
            </w:tcBorders>
          </w:tcPr>
          <w:p w:rsidR="00D51BA1" w:rsidRPr="00675866" w:rsidRDefault="00675866" w:rsidP="00A61819">
            <w:pPr>
              <w:pStyle w:val="ECCHeader"/>
              <w:rPr>
                <w:szCs w:val="22"/>
              </w:rPr>
            </w:pPr>
            <w:bookmarkStart w:id="0" w:name="OLE_LINK5"/>
            <w:bookmarkStart w:id="1" w:name="OLE_LINK6"/>
            <w:r w:rsidRPr="00675866">
              <w:rPr>
                <w:szCs w:val="22"/>
              </w:rPr>
              <w:t xml:space="preserve">Antenna Installations and Reception </w:t>
            </w:r>
            <w:r w:rsidR="00A61819">
              <w:rPr>
                <w:szCs w:val="22"/>
              </w:rPr>
              <w:t>m</w:t>
            </w:r>
            <w:r w:rsidRPr="00675866">
              <w:rPr>
                <w:szCs w:val="22"/>
              </w:rPr>
              <w:t>odes vs. Location Probability</w:t>
            </w:r>
            <w:bookmarkEnd w:id="0"/>
            <w:bookmarkEnd w:id="1"/>
          </w:p>
        </w:tc>
      </w:tr>
    </w:tbl>
    <w:p w:rsidR="00D51BA1" w:rsidRPr="00074B1E" w:rsidRDefault="00AF3A21" w:rsidP="00074B1E">
      <w:pPr>
        <w:spacing w:after="120" w:line="240" w:lineRule="auto"/>
        <w:jc w:val="both"/>
        <w:rPr>
          <w:rFonts w:ascii="Arial" w:hAnsi="Arial" w:cs="Arial"/>
          <w:b/>
        </w:rPr>
      </w:pPr>
      <w:r>
        <w:rPr>
          <w:rFonts w:ascii="Arial" w:hAnsi="Arial" w:cs="Arial"/>
          <w:b/>
        </w:rPr>
        <w:br/>
      </w:r>
      <w:r w:rsidR="00D51BA1" w:rsidRPr="00074B1E">
        <w:rPr>
          <w:rFonts w:ascii="Arial" w:hAnsi="Arial" w:cs="Arial"/>
          <w:b/>
        </w:rPr>
        <w:t>Summary</w:t>
      </w:r>
    </w:p>
    <w:p w:rsidR="006814B2" w:rsidRDefault="0099738B">
      <w:pPr>
        <w:spacing w:before="120"/>
        <w:jc w:val="both"/>
        <w:rPr>
          <w:rFonts w:ascii="Arial" w:hAnsi="Arial" w:cs="Arial"/>
          <w:bCs/>
        </w:rPr>
      </w:pPr>
      <w:r w:rsidRPr="0099738B">
        <w:rPr>
          <w:rFonts w:ascii="Arial" w:hAnsi="Arial" w:cs="Arial"/>
          <w:bCs/>
        </w:rPr>
        <w:t xml:space="preserve">The calculation of the location probability during network planning of broadcasting services is carried out on the basis of several assumptions forming a special framework. One element is the consideration of the receiving conditions. Usually, it is distinguished between reception modes such as fixed, portable outdoor and portable indoor reception. These are characterized by certain parameters describing the receiver performance including the antenna characteristics. Making a calculation for fixed reception means to employ a certain standard configuration. </w:t>
      </w:r>
    </w:p>
    <w:p w:rsidR="006814B2" w:rsidRDefault="0099738B">
      <w:pPr>
        <w:spacing w:before="120"/>
        <w:jc w:val="both"/>
        <w:rPr>
          <w:rFonts w:ascii="Arial" w:hAnsi="Arial" w:cs="Arial"/>
          <w:bCs/>
        </w:rPr>
      </w:pPr>
      <w:r w:rsidRPr="0099738B">
        <w:rPr>
          <w:rFonts w:ascii="Arial" w:hAnsi="Arial" w:cs="Arial"/>
          <w:bCs/>
        </w:rPr>
        <w:t xml:space="preserve">However, listeners and viewers of broadcasting programmes are not obliged to use receivers and antenna installations as they are assumed for the calculation of the location probability as a measure for the quality of service. It is well-known fact that inside the coverage area of a transmitter </w:t>
      </w:r>
      <w:r w:rsidR="00546588">
        <w:rPr>
          <w:rFonts w:ascii="Arial" w:hAnsi="Arial" w:cs="Arial"/>
          <w:bCs/>
        </w:rPr>
        <w:t>which</w:t>
      </w:r>
      <w:r w:rsidR="00546588" w:rsidRPr="0099738B">
        <w:rPr>
          <w:rFonts w:ascii="Arial" w:hAnsi="Arial" w:cs="Arial"/>
          <w:bCs/>
        </w:rPr>
        <w:t xml:space="preserve"> </w:t>
      </w:r>
      <w:r w:rsidRPr="0099738B">
        <w:rPr>
          <w:rFonts w:ascii="Arial" w:hAnsi="Arial" w:cs="Arial"/>
          <w:bCs/>
        </w:rPr>
        <w:t>for example was planned for fixed reception, two aspects are important for broadcasters in their attempt to protect their services. These are:</w:t>
      </w:r>
    </w:p>
    <w:p w:rsidR="006814B2" w:rsidRDefault="0099738B">
      <w:pPr>
        <w:numPr>
          <w:ilvl w:val="0"/>
          <w:numId w:val="4"/>
        </w:numPr>
        <w:spacing w:before="120" w:after="0" w:line="240" w:lineRule="auto"/>
        <w:ind w:left="426"/>
        <w:jc w:val="both"/>
        <w:rPr>
          <w:rFonts w:ascii="Arial" w:hAnsi="Arial" w:cs="Arial"/>
          <w:bCs/>
        </w:rPr>
      </w:pPr>
      <w:r w:rsidRPr="0099738B">
        <w:rPr>
          <w:rFonts w:ascii="Arial" w:hAnsi="Arial" w:cs="Arial"/>
          <w:bCs/>
        </w:rPr>
        <w:t>Moving from the coverage edge of a transmitter that was planned for fixed reception towards the transmitter site, first portable outdoor and later portable indoor become feasible due to the increasing field strength provided. As a matter of fact, listeners and viewers are making use of these reception modes.</w:t>
      </w:r>
    </w:p>
    <w:p w:rsidR="006814B2" w:rsidRDefault="0099738B">
      <w:pPr>
        <w:numPr>
          <w:ilvl w:val="0"/>
          <w:numId w:val="4"/>
        </w:numPr>
        <w:spacing w:before="120" w:after="0" w:line="240" w:lineRule="auto"/>
        <w:ind w:left="426"/>
        <w:jc w:val="both"/>
        <w:rPr>
          <w:rFonts w:ascii="Arial" w:hAnsi="Arial" w:cs="Arial"/>
          <w:bCs/>
        </w:rPr>
      </w:pPr>
      <w:r w:rsidRPr="0099738B">
        <w:rPr>
          <w:rFonts w:ascii="Arial" w:hAnsi="Arial" w:cs="Arial"/>
          <w:bCs/>
        </w:rPr>
        <w:t xml:space="preserve">Furthermore, at the same time the excess of field strength closer to the transmitter site allows to receive broadcasting services with a fixed reception antenna installation which has only poor performance due to </w:t>
      </w:r>
      <w:proofErr w:type="spellStart"/>
      <w:r w:rsidRPr="0099738B">
        <w:rPr>
          <w:rFonts w:ascii="Arial" w:hAnsi="Arial" w:cs="Arial"/>
          <w:bCs/>
        </w:rPr>
        <w:t>mis</w:t>
      </w:r>
      <w:proofErr w:type="spellEnd"/>
      <w:r w:rsidRPr="0099738B">
        <w:rPr>
          <w:rFonts w:ascii="Arial" w:hAnsi="Arial" w:cs="Arial"/>
          <w:bCs/>
        </w:rPr>
        <w:t>-alignment of the antenna with respect to the transmitter location or signal degradation due to unprofessionally installed antenna feeds.</w:t>
      </w:r>
    </w:p>
    <w:p w:rsidR="006814B2" w:rsidRDefault="0099738B">
      <w:pPr>
        <w:spacing w:before="120"/>
        <w:jc w:val="both"/>
        <w:rPr>
          <w:rFonts w:ascii="Arial" w:hAnsi="Arial" w:cs="Arial"/>
          <w:bCs/>
        </w:rPr>
      </w:pPr>
      <w:r w:rsidRPr="0099738B">
        <w:rPr>
          <w:rFonts w:ascii="Arial" w:hAnsi="Arial" w:cs="Arial"/>
          <w:bCs/>
        </w:rPr>
        <w:t xml:space="preserve">If these conditions </w:t>
      </w:r>
      <w:r w:rsidR="00546588">
        <w:rPr>
          <w:rFonts w:ascii="Arial" w:hAnsi="Arial" w:cs="Arial"/>
          <w:bCs/>
        </w:rPr>
        <w:t>were</w:t>
      </w:r>
      <w:r w:rsidRPr="0099738B">
        <w:rPr>
          <w:rFonts w:ascii="Arial" w:hAnsi="Arial" w:cs="Arial"/>
          <w:bCs/>
        </w:rPr>
        <w:t xml:space="preserve"> taken into consideration when calculating the location probability for a given pixel then </w:t>
      </w:r>
      <w:r w:rsidR="0043415E">
        <w:rPr>
          <w:rFonts w:ascii="Arial" w:hAnsi="Arial" w:cs="Arial"/>
          <w:bCs/>
        </w:rPr>
        <w:t xml:space="preserve"> </w:t>
      </w:r>
      <w:r w:rsidRPr="0099738B">
        <w:rPr>
          <w:rFonts w:ascii="Arial" w:hAnsi="Arial" w:cs="Arial"/>
          <w:bCs/>
        </w:rPr>
        <w:t xml:space="preserve">lower values </w:t>
      </w:r>
      <w:r w:rsidR="00EC0D66">
        <w:rPr>
          <w:rFonts w:ascii="Arial" w:hAnsi="Arial" w:cs="Arial"/>
          <w:bCs/>
        </w:rPr>
        <w:t xml:space="preserve">would be obtained </w:t>
      </w:r>
      <w:r w:rsidRPr="0099738B">
        <w:rPr>
          <w:rFonts w:ascii="Arial" w:hAnsi="Arial" w:cs="Arial"/>
          <w:bCs/>
        </w:rPr>
        <w:t xml:space="preserve">than </w:t>
      </w:r>
      <w:r w:rsidR="0043415E">
        <w:rPr>
          <w:rFonts w:ascii="Arial" w:hAnsi="Arial" w:cs="Arial"/>
          <w:bCs/>
        </w:rPr>
        <w:t xml:space="preserve">those </w:t>
      </w:r>
      <w:r w:rsidRPr="0099738B">
        <w:rPr>
          <w:rFonts w:ascii="Arial" w:hAnsi="Arial" w:cs="Arial"/>
          <w:bCs/>
        </w:rPr>
        <w:t xml:space="preserve">derived on the basis of the standard configuration used for planning purposes. Additional interference imposed by WSD might not have a great impact </w:t>
      </w:r>
      <w:r w:rsidR="0043415E">
        <w:rPr>
          <w:rFonts w:ascii="Arial" w:hAnsi="Arial" w:cs="Arial"/>
          <w:bCs/>
        </w:rPr>
        <w:t xml:space="preserve">in </w:t>
      </w:r>
      <w:r w:rsidR="00AF3A21">
        <w:rPr>
          <w:rFonts w:ascii="Arial" w:hAnsi="Arial" w:cs="Arial"/>
          <w:bCs/>
        </w:rPr>
        <w:t>these locations</w:t>
      </w:r>
      <w:r w:rsidR="0043415E">
        <w:rPr>
          <w:rFonts w:ascii="Arial" w:hAnsi="Arial" w:cs="Arial"/>
          <w:bCs/>
        </w:rPr>
        <w:t xml:space="preserve"> if </w:t>
      </w:r>
      <w:r w:rsidRPr="0099738B">
        <w:rPr>
          <w:rFonts w:ascii="Arial" w:hAnsi="Arial" w:cs="Arial"/>
          <w:bCs/>
        </w:rPr>
        <w:t>standard receiving conditions</w:t>
      </w:r>
      <w:r w:rsidR="0043415E">
        <w:rPr>
          <w:rFonts w:ascii="Arial" w:hAnsi="Arial" w:cs="Arial"/>
          <w:bCs/>
        </w:rPr>
        <w:t xml:space="preserve"> were used</w:t>
      </w:r>
      <w:r w:rsidRPr="0099738B">
        <w:rPr>
          <w:rFonts w:ascii="Arial" w:hAnsi="Arial" w:cs="Arial"/>
          <w:bCs/>
        </w:rPr>
        <w:t xml:space="preserve">. However, listeners and viewers enjoying broadcasting content under the conditions described above could </w:t>
      </w:r>
      <w:r w:rsidR="00AF3A21">
        <w:rPr>
          <w:rFonts w:ascii="Arial" w:hAnsi="Arial" w:cs="Arial"/>
          <w:bCs/>
        </w:rPr>
        <w:t>experience</w:t>
      </w:r>
      <w:r w:rsidRPr="0099738B">
        <w:rPr>
          <w:rFonts w:ascii="Arial" w:hAnsi="Arial" w:cs="Arial"/>
          <w:bCs/>
        </w:rPr>
        <w:t xml:space="preserve"> significant service quality degradation.</w:t>
      </w:r>
    </w:p>
    <w:p w:rsidR="00A0118F" w:rsidRPr="00A0118F" w:rsidRDefault="00A0118F" w:rsidP="00074B1E">
      <w:pPr>
        <w:spacing w:after="120" w:line="240" w:lineRule="auto"/>
        <w:jc w:val="both"/>
        <w:rPr>
          <w:rFonts w:ascii="Arial" w:hAnsi="Arial" w:cs="Arial"/>
          <w:b/>
        </w:rPr>
      </w:pPr>
      <w:r w:rsidRPr="00A0118F">
        <w:rPr>
          <w:rFonts w:ascii="Arial" w:hAnsi="Arial" w:cs="Arial"/>
          <w:b/>
        </w:rPr>
        <w:t>Proposal:</w:t>
      </w:r>
    </w:p>
    <w:p w:rsidR="00A0118F" w:rsidRPr="00774554" w:rsidRDefault="0099738B" w:rsidP="00A0118F">
      <w:pPr>
        <w:jc w:val="both"/>
      </w:pPr>
      <w:r>
        <w:rPr>
          <w:rFonts w:ascii="Arial" w:hAnsi="Arial" w:cs="Arial"/>
        </w:rPr>
        <w:t xml:space="preserve">It is proposed to </w:t>
      </w:r>
      <w:r w:rsidR="00B32D52">
        <w:rPr>
          <w:rFonts w:ascii="Arial" w:hAnsi="Arial" w:cs="Arial"/>
        </w:rPr>
        <w:t>specify</w:t>
      </w:r>
      <w:r>
        <w:rPr>
          <w:rFonts w:ascii="Arial" w:hAnsi="Arial" w:cs="Arial"/>
        </w:rPr>
        <w:t xml:space="preserve"> a constant value of acceptable location percentage degradation </w:t>
      </w:r>
      <w:r w:rsidR="00A700D1">
        <w:rPr>
          <w:rFonts w:ascii="Arial" w:hAnsi="Arial" w:cs="Arial"/>
        </w:rPr>
        <w:t xml:space="preserve">and not to relax this value </w:t>
      </w:r>
      <w:r w:rsidR="004F131D">
        <w:rPr>
          <w:rFonts w:ascii="Arial" w:hAnsi="Arial" w:cs="Arial"/>
        </w:rPr>
        <w:t>in locations with</w:t>
      </w:r>
      <w:r w:rsidR="00A700D1">
        <w:rPr>
          <w:rFonts w:ascii="Arial" w:hAnsi="Arial" w:cs="Arial"/>
        </w:rPr>
        <w:t xml:space="preserve"> higher initial location percentages</w:t>
      </w:r>
      <w:r w:rsidR="0008618D">
        <w:rPr>
          <w:rFonts w:ascii="Arial" w:hAnsi="Arial" w:cs="Arial"/>
        </w:rPr>
        <w:t xml:space="preserve">. More precisely, </w:t>
      </w:r>
      <w:r w:rsidR="00AA467A">
        <w:rPr>
          <w:rFonts w:ascii="Arial" w:hAnsi="Arial" w:cs="Arial"/>
        </w:rPr>
        <w:t>a</w:t>
      </w:r>
      <w:r w:rsidR="00F312C1">
        <w:rPr>
          <w:rFonts w:ascii="Arial" w:hAnsi="Arial" w:cs="Arial"/>
        </w:rPr>
        <w:t xml:space="preserve">n acceptable </w:t>
      </w:r>
      <w:r w:rsidR="00AA467A">
        <w:rPr>
          <w:rFonts w:ascii="Arial" w:hAnsi="Arial" w:cs="Arial"/>
        </w:rPr>
        <w:t xml:space="preserve">location percentage degradation </w:t>
      </w:r>
      <w:r w:rsidR="00F312C1">
        <w:rPr>
          <w:rFonts w:ascii="Arial" w:hAnsi="Arial" w:cs="Arial"/>
        </w:rPr>
        <w:t xml:space="preserve">of 0.1% </w:t>
      </w:r>
      <w:r w:rsidR="00E84BE1">
        <w:rPr>
          <w:rFonts w:ascii="Arial" w:hAnsi="Arial" w:cs="Arial"/>
        </w:rPr>
        <w:t>is to be applied</w:t>
      </w:r>
      <w:r w:rsidR="0008618D">
        <w:rPr>
          <w:rFonts w:ascii="Arial" w:hAnsi="Arial" w:cs="Arial"/>
        </w:rPr>
        <w:t xml:space="preserve"> </w:t>
      </w:r>
      <w:r w:rsidR="004166EE">
        <w:rPr>
          <w:rFonts w:ascii="Arial" w:hAnsi="Arial" w:cs="Arial"/>
        </w:rPr>
        <w:t>for all values of initial location percentage</w:t>
      </w:r>
      <w:r w:rsidR="00F312C1">
        <w:rPr>
          <w:rFonts w:ascii="Arial" w:hAnsi="Arial" w:cs="Arial"/>
        </w:rPr>
        <w:t>s</w:t>
      </w:r>
      <w:r w:rsidR="00DF3C92">
        <w:rPr>
          <w:rFonts w:ascii="Arial" w:hAnsi="Arial" w:cs="Arial"/>
        </w:rPr>
        <w:t>.</w:t>
      </w:r>
      <w:r w:rsidR="00EB6C00">
        <w:rPr>
          <w:rFonts w:ascii="Arial" w:hAnsi="Arial" w:cs="Arial"/>
        </w:rPr>
        <w:t xml:space="preserve"> It is also proposed to include </w:t>
      </w:r>
      <w:r w:rsidR="00EF1E7C">
        <w:rPr>
          <w:rFonts w:ascii="Arial" w:hAnsi="Arial" w:cs="Arial"/>
        </w:rPr>
        <w:t xml:space="preserve">extracts from this contribution in the </w:t>
      </w:r>
      <w:r w:rsidR="00A478FE">
        <w:rPr>
          <w:rFonts w:ascii="Arial" w:hAnsi="Arial" w:cs="Arial"/>
        </w:rPr>
        <w:t>output document of SE43</w:t>
      </w:r>
      <w:r w:rsidR="00D51BA1">
        <w:br w:type="page"/>
      </w:r>
    </w:p>
    <w:tbl>
      <w:tblPr>
        <w:tblpPr w:leftFromText="180" w:rightFromText="180" w:vertAnchor="text" w:horzAnchor="margin" w:tblpY="175"/>
        <w:tblW w:w="9747" w:type="dxa"/>
        <w:tblLook w:val="0000"/>
      </w:tblPr>
      <w:tblGrid>
        <w:gridCol w:w="2288"/>
        <w:gridCol w:w="7459"/>
      </w:tblGrid>
      <w:tr w:rsidR="00A0118F" w:rsidRPr="00841060" w:rsidTr="003F7BA5">
        <w:trPr>
          <w:cantSplit/>
          <w:trHeight w:hRule="exact" w:val="969"/>
        </w:trPr>
        <w:tc>
          <w:tcPr>
            <w:tcW w:w="2249" w:type="dxa"/>
            <w:vMerge w:val="restart"/>
          </w:tcPr>
          <w:p w:rsidR="00A0118F" w:rsidRPr="0030503D" w:rsidRDefault="00AE7ABE" w:rsidP="003F7BA5">
            <w:pPr>
              <w:pStyle w:val="En-tte"/>
              <w:tabs>
                <w:tab w:val="center" w:pos="-1526"/>
              </w:tabs>
              <w:ind w:left="602"/>
              <w:jc w:val="right"/>
              <w:rPr>
                <w:rFonts w:ascii="Arial" w:hAnsi="Arial" w:cs="Arial"/>
                <w:color w:val="FFFFFF"/>
              </w:rPr>
            </w:pPr>
            <w:r>
              <w:rPr>
                <w:rFonts w:ascii="Arial" w:hAnsi="Arial" w:cs="Arial"/>
                <w:noProof/>
                <w:color w:val="FFFFFF"/>
                <w:lang w:val="en-US"/>
              </w:rPr>
              <w:lastRenderedPageBreak/>
              <w:drawing>
                <wp:inline distT="0" distB="0" distL="0" distR="0">
                  <wp:extent cx="906780" cy="826770"/>
                  <wp:effectExtent l="19050" t="0" r="7620" b="0"/>
                  <wp:docPr id="5" name="Picture 1" descr="logo_u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rlogo"/>
                          <pic:cNvPicPr>
                            <a:picLocks noChangeAspect="1" noChangeArrowheads="1"/>
                          </pic:cNvPicPr>
                        </pic:nvPicPr>
                        <pic:blipFill>
                          <a:blip r:embed="rId9" cstate="print"/>
                          <a:srcRect/>
                          <a:stretch>
                            <a:fillRect/>
                          </a:stretch>
                        </pic:blipFill>
                        <pic:spPr bwMode="auto">
                          <a:xfrm>
                            <a:off x="0" y="0"/>
                            <a:ext cx="906780" cy="826770"/>
                          </a:xfrm>
                          <a:prstGeom prst="rect">
                            <a:avLst/>
                          </a:prstGeom>
                          <a:noFill/>
                          <a:ln w="9525">
                            <a:noFill/>
                            <a:miter lim="800000"/>
                            <a:headEnd/>
                            <a:tailEnd/>
                          </a:ln>
                        </pic:spPr>
                      </pic:pic>
                    </a:graphicData>
                  </a:graphic>
                </wp:inline>
              </w:drawing>
            </w:r>
          </w:p>
          <w:p w:rsidR="00A0118F" w:rsidRPr="0030503D" w:rsidRDefault="00A0118F" w:rsidP="003F7BA5">
            <w:pPr>
              <w:pStyle w:val="En-tte"/>
              <w:tabs>
                <w:tab w:val="center" w:pos="-1526"/>
              </w:tabs>
              <w:jc w:val="right"/>
              <w:rPr>
                <w:rFonts w:ascii="Arial" w:hAnsi="Arial" w:cs="Arial"/>
                <w:color w:val="FFFFFF"/>
              </w:rPr>
            </w:pPr>
          </w:p>
        </w:tc>
        <w:tc>
          <w:tcPr>
            <w:tcW w:w="7498" w:type="dxa"/>
          </w:tcPr>
          <w:p w:rsidR="00A0118F" w:rsidRDefault="00A0118F" w:rsidP="003F7BA5">
            <w:pPr>
              <w:tabs>
                <w:tab w:val="left" w:pos="1701"/>
              </w:tabs>
              <w:spacing w:after="0" w:line="240" w:lineRule="auto"/>
              <w:rPr>
                <w:rFonts w:ascii="Arial" w:hAnsi="Arial" w:cs="Arial"/>
                <w:b/>
              </w:rPr>
            </w:pPr>
          </w:p>
          <w:p w:rsidR="00A0118F" w:rsidRPr="0030503D" w:rsidRDefault="00A0118F" w:rsidP="003F7BA5">
            <w:pPr>
              <w:tabs>
                <w:tab w:val="left" w:pos="1701"/>
              </w:tabs>
              <w:spacing w:after="0" w:line="240" w:lineRule="auto"/>
              <w:rPr>
                <w:rFonts w:ascii="Arial" w:hAnsi="Arial" w:cs="Arial"/>
                <w:spacing w:val="-2"/>
              </w:rPr>
            </w:pPr>
            <w:r w:rsidRPr="0030503D">
              <w:rPr>
                <w:rFonts w:ascii="Arial" w:hAnsi="Arial" w:cs="Arial"/>
                <w:b/>
              </w:rPr>
              <w:t xml:space="preserve">EBU </w:t>
            </w:r>
            <w:r w:rsidRPr="0030503D">
              <w:rPr>
                <w:rFonts w:ascii="Arial" w:hAnsi="Arial" w:cs="Arial"/>
                <w:b/>
                <w:color w:val="000000"/>
              </w:rPr>
              <w:t>TECHNICAL</w:t>
            </w:r>
          </w:p>
          <w:p w:rsidR="00A0118F" w:rsidRPr="0030503D" w:rsidRDefault="00A0118F" w:rsidP="003F7BA5">
            <w:pPr>
              <w:tabs>
                <w:tab w:val="left" w:pos="1701"/>
              </w:tabs>
              <w:spacing w:after="0" w:line="240" w:lineRule="auto"/>
              <w:rPr>
                <w:rFonts w:ascii="Arial" w:hAnsi="Arial" w:cs="Arial"/>
              </w:rPr>
            </w:pPr>
          </w:p>
        </w:tc>
      </w:tr>
      <w:tr w:rsidR="00A0118F" w:rsidRPr="00841060" w:rsidTr="003F7BA5">
        <w:trPr>
          <w:gridAfter w:val="1"/>
          <w:wAfter w:w="7498" w:type="dxa"/>
          <w:cantSplit/>
          <w:trHeight w:hRule="exact" w:val="646"/>
        </w:trPr>
        <w:tc>
          <w:tcPr>
            <w:tcW w:w="2249" w:type="dxa"/>
            <w:vMerge/>
          </w:tcPr>
          <w:p w:rsidR="00A0118F" w:rsidRPr="00841060" w:rsidRDefault="00A0118F" w:rsidP="003F7BA5">
            <w:pPr>
              <w:pStyle w:val="En-tte"/>
              <w:tabs>
                <w:tab w:val="center" w:pos="-1526"/>
              </w:tabs>
              <w:rPr>
                <w:rFonts w:ascii="Arial" w:hAnsi="Arial" w:cs="Arial"/>
                <w:color w:val="FFFFFF"/>
              </w:rPr>
            </w:pPr>
          </w:p>
        </w:tc>
      </w:tr>
    </w:tbl>
    <w:p w:rsidR="00A0118F" w:rsidRDefault="00A0118F" w:rsidP="00A0118F">
      <w:pPr>
        <w:pStyle w:val="Titre2"/>
        <w:jc w:val="left"/>
        <w:rPr>
          <w:rFonts w:ascii="Arial" w:hAnsi="Arial" w:cs="Arial"/>
          <w:b w:val="0"/>
          <w:sz w:val="22"/>
          <w:szCs w:val="22"/>
          <w:u w:val="none"/>
        </w:rPr>
      </w:pPr>
      <w:r>
        <w:rPr>
          <w:rFonts w:ascii="Arial" w:hAnsi="Arial" w:cs="Arial"/>
          <w:b w:val="0"/>
          <w:sz w:val="22"/>
          <w:szCs w:val="22"/>
          <w:u w:val="none"/>
        </w:rPr>
        <w:t>... December 2011</w:t>
      </w:r>
    </w:p>
    <w:p w:rsidR="00454CB0" w:rsidRPr="00CE640F" w:rsidRDefault="00454CB0" w:rsidP="00454CB0">
      <w:pPr>
        <w:pStyle w:val="Textvorlage"/>
        <w:jc w:val="center"/>
        <w:rPr>
          <w:b/>
        </w:rPr>
      </w:pPr>
    </w:p>
    <w:p w:rsidR="00454CB0" w:rsidRPr="00CE640F" w:rsidRDefault="00454CB0" w:rsidP="00454CB0">
      <w:pPr>
        <w:pStyle w:val="Textvorlage"/>
        <w:jc w:val="center"/>
        <w:rPr>
          <w:b/>
        </w:rPr>
      </w:pPr>
      <w:r>
        <w:rPr>
          <w:b/>
          <w:sz w:val="48"/>
        </w:rPr>
        <w:t xml:space="preserve">Antenna Installations and Reception Modes vs. Location Probability </w:t>
      </w:r>
    </w:p>
    <w:p w:rsidR="00454CB0" w:rsidRDefault="00454CB0" w:rsidP="00454CB0">
      <w:pPr>
        <w:pStyle w:val="Textvorlage"/>
      </w:pPr>
    </w:p>
    <w:p w:rsidR="002A3042" w:rsidRPr="002A3042" w:rsidRDefault="002A3042" w:rsidP="002A3042">
      <w:pPr>
        <w:pStyle w:val="Textvorlage"/>
        <w:numPr>
          <w:ilvl w:val="0"/>
          <w:numId w:val="5"/>
        </w:numPr>
        <w:rPr>
          <w:b/>
          <w:sz w:val="28"/>
          <w:szCs w:val="28"/>
        </w:rPr>
      </w:pPr>
      <w:r w:rsidRPr="002A3042">
        <w:rPr>
          <w:b/>
          <w:sz w:val="28"/>
          <w:szCs w:val="28"/>
        </w:rPr>
        <w:t>Introduction</w:t>
      </w:r>
    </w:p>
    <w:p w:rsidR="00647718" w:rsidRDefault="00647718" w:rsidP="00454CB0">
      <w:pPr>
        <w:pStyle w:val="Textvorlage"/>
      </w:pPr>
    </w:p>
    <w:p w:rsidR="00454CB0" w:rsidRPr="002141B5" w:rsidRDefault="00454CB0" w:rsidP="00454CB0">
      <w:pPr>
        <w:pStyle w:val="Textvorlage"/>
      </w:pPr>
      <w:r>
        <w:t xml:space="preserve">The </w:t>
      </w:r>
      <w:r w:rsidRPr="002141B5">
        <w:t>planning of</w:t>
      </w:r>
      <w:r>
        <w:t xml:space="preserve"> the</w:t>
      </w:r>
      <w:r w:rsidRPr="002141B5">
        <w:t xml:space="preserve"> broadcasting services is carried out </w:t>
      </w:r>
      <w:r>
        <w:t>using</w:t>
      </w:r>
      <w:r w:rsidRPr="002141B5">
        <w:t xml:space="preserve"> a</w:t>
      </w:r>
      <w:r>
        <w:t xml:space="preserve"> </w:t>
      </w:r>
      <w:r w:rsidRPr="002141B5">
        <w:t>framework based on</w:t>
      </w:r>
      <w:r>
        <w:t xml:space="preserve"> a </w:t>
      </w:r>
      <w:r w:rsidRPr="002141B5">
        <w:t>wave propagation</w:t>
      </w:r>
      <w:r>
        <w:t xml:space="preserve"> model</w:t>
      </w:r>
      <w:r w:rsidRPr="002141B5">
        <w:t xml:space="preserve"> and</w:t>
      </w:r>
      <w:r>
        <w:t xml:space="preserve"> assumptions on</w:t>
      </w:r>
      <w:r w:rsidRPr="002141B5">
        <w:t xml:space="preserve"> the performance of </w:t>
      </w:r>
      <w:r>
        <w:t xml:space="preserve">the </w:t>
      </w:r>
      <w:r w:rsidRPr="002141B5">
        <w:t>transmitters and</w:t>
      </w:r>
      <w:r>
        <w:t xml:space="preserve"> </w:t>
      </w:r>
      <w:r w:rsidRPr="002141B5">
        <w:t>receiver</w:t>
      </w:r>
      <w:r>
        <w:t xml:space="preserve"> installations</w:t>
      </w:r>
      <w:r w:rsidRPr="002141B5">
        <w:t>.</w:t>
      </w:r>
    </w:p>
    <w:p w:rsidR="00454CB0" w:rsidRDefault="00454CB0" w:rsidP="00454CB0">
      <w:pPr>
        <w:pStyle w:val="Textvorlage"/>
      </w:pPr>
      <w:r>
        <w:t xml:space="preserve">The </w:t>
      </w:r>
      <w:r w:rsidRPr="002141B5">
        <w:t xml:space="preserve">planning and protection of digital terrestrial broadcasting services are governed in Europe by the </w:t>
      </w:r>
      <w:r>
        <w:t xml:space="preserve">principles defined in the </w:t>
      </w:r>
      <w:r w:rsidRPr="002141B5">
        <w:t xml:space="preserve">GE06 Agreement and the GE06 Plan. </w:t>
      </w:r>
      <w:r>
        <w:t>In order to evaluate the coverage of a broadcasting transmitter the following elements need to be defined:</w:t>
      </w:r>
    </w:p>
    <w:p w:rsidR="00454CB0" w:rsidRDefault="00454CB0" w:rsidP="00454CB0">
      <w:pPr>
        <w:pStyle w:val="Textvorlage"/>
        <w:numPr>
          <w:ilvl w:val="0"/>
          <w:numId w:val="1"/>
        </w:numPr>
      </w:pPr>
      <w:r>
        <w:t>a wave propagation model to predict a field strength produced by a transmitter at a given location;</w:t>
      </w:r>
    </w:p>
    <w:p w:rsidR="00454CB0" w:rsidRDefault="00454CB0" w:rsidP="00454CB0">
      <w:pPr>
        <w:pStyle w:val="Textvorlage"/>
        <w:numPr>
          <w:ilvl w:val="0"/>
          <w:numId w:val="1"/>
        </w:numPr>
      </w:pPr>
      <w:r>
        <w:t>a methodology to treat field strengths in a statistical sense over a small area of the size 100m*100m up to 1000m*1000m;</w:t>
      </w:r>
    </w:p>
    <w:p w:rsidR="00454CB0" w:rsidRDefault="00454CB0" w:rsidP="00454CB0">
      <w:pPr>
        <w:pStyle w:val="Textvorlage"/>
        <w:numPr>
          <w:ilvl w:val="0"/>
          <w:numId w:val="1"/>
        </w:numPr>
      </w:pPr>
      <w:r>
        <w:t>a statistical method to derive the probability distribution functions for the sum of fields or their ratios;</w:t>
      </w:r>
    </w:p>
    <w:p w:rsidR="00454CB0" w:rsidRDefault="00454CB0" w:rsidP="00454CB0">
      <w:pPr>
        <w:pStyle w:val="Textvorlage"/>
        <w:numPr>
          <w:ilvl w:val="0"/>
          <w:numId w:val="1"/>
        </w:numPr>
      </w:pPr>
      <w:r>
        <w:t>a link budget calculation, i.e. information about the minimum field strength that needs to be delivered at a given point in order to ensure that the receiver is able to receive the signal and extract the content. The link budget has to encompass information about transmitter and receiver performance including assumptions about the receiving antenna performance and the antenna height; and</w:t>
      </w:r>
    </w:p>
    <w:p w:rsidR="00454CB0" w:rsidRDefault="00454CB0" w:rsidP="00454CB0">
      <w:pPr>
        <w:pStyle w:val="Textvorlage"/>
        <w:numPr>
          <w:ilvl w:val="0"/>
          <w:numId w:val="1"/>
        </w:numPr>
      </w:pPr>
      <w:r>
        <w:t xml:space="preserve">receiver </w:t>
      </w:r>
      <w:r w:rsidRPr="002141B5">
        <w:t>protection ratios with respect to interference from broadcasting and other services.</w:t>
      </w:r>
    </w:p>
    <w:p w:rsidR="00454CB0" w:rsidRDefault="00454CB0" w:rsidP="00454CB0">
      <w:pPr>
        <w:pStyle w:val="Textvorlage"/>
      </w:pPr>
    </w:p>
    <w:p w:rsidR="00454CB0" w:rsidRPr="004A04B6" w:rsidRDefault="00454CB0" w:rsidP="00C336C1">
      <w:pPr>
        <w:pStyle w:val="Textvorlage"/>
        <w:numPr>
          <w:ilvl w:val="0"/>
          <w:numId w:val="5"/>
        </w:numPr>
        <w:rPr>
          <w:b/>
          <w:sz w:val="28"/>
          <w:szCs w:val="28"/>
        </w:rPr>
      </w:pPr>
      <w:r>
        <w:rPr>
          <w:b/>
          <w:sz w:val="28"/>
          <w:szCs w:val="28"/>
        </w:rPr>
        <w:t xml:space="preserve">Concept of </w:t>
      </w:r>
      <w:r w:rsidRPr="003D05F3">
        <w:rPr>
          <w:b/>
          <w:sz w:val="28"/>
          <w:szCs w:val="28"/>
        </w:rPr>
        <w:t>Pixels</w:t>
      </w:r>
      <w:r>
        <w:rPr>
          <w:b/>
          <w:sz w:val="28"/>
          <w:szCs w:val="28"/>
        </w:rPr>
        <w:t xml:space="preserve"> and Intra-Pixel Variations</w:t>
      </w:r>
    </w:p>
    <w:p w:rsidR="00454CB0" w:rsidRDefault="00454CB0" w:rsidP="00454CB0">
      <w:pPr>
        <w:pStyle w:val="Textvorlage"/>
      </w:pPr>
      <w:r>
        <w:t xml:space="preserve">Terrestrial </w:t>
      </w:r>
      <w:r w:rsidRPr="002141B5">
        <w:t>broadcast</w:t>
      </w:r>
      <w:r>
        <w:t xml:space="preserve">s </w:t>
      </w:r>
      <w:r w:rsidRPr="002141B5">
        <w:t xml:space="preserve">coverage predictions </w:t>
      </w:r>
      <w:r>
        <w:t xml:space="preserve">target towards </w:t>
      </w:r>
      <w:r w:rsidRPr="002141B5">
        <w:t xml:space="preserve">areas rather than points. </w:t>
      </w:r>
      <w:r>
        <w:t xml:space="preserve">However, the spatial resolution for all current wave propagation models used in broadcasting planning is limited. This means that reliable field strength predictions can </w:t>
      </w:r>
      <w:r w:rsidR="00EC0D66">
        <w:t xml:space="preserve">obviously </w:t>
      </w:r>
      <w:r>
        <w:t>only be given for points separated by some minimum distance. Currently, a resolution of 100m is used; in some cases 50m are employed</w:t>
      </w:r>
      <w:r w:rsidR="005C2668">
        <w:rPr>
          <w:rStyle w:val="Appelnotedebasdep"/>
        </w:rPr>
        <w:footnoteReference w:id="1"/>
      </w:r>
      <w:r>
        <w:t>.</w:t>
      </w:r>
      <w:r w:rsidR="005C2668" w:rsidRPr="005C2668">
        <w:rPr>
          <w:rStyle w:val="Appelnotedebasdep"/>
        </w:rPr>
        <w:t xml:space="preserve"> </w:t>
      </w:r>
    </w:p>
    <w:p w:rsidR="00454CB0" w:rsidRDefault="00ED50F3" w:rsidP="00454CB0">
      <w:pPr>
        <w:pStyle w:val="Textvorlage"/>
      </w:pPr>
      <w:r>
        <w:lastRenderedPageBreak/>
        <w:t>However, i</w:t>
      </w:r>
      <w:r w:rsidR="00454CB0">
        <w:t xml:space="preserve">t is known that additional variations in field strength within the resolution limit of 100m will occur in practice as a consequence of shadow fading. This variation cannot be easily predicted because of the finite resolution of the propagation models and the associated terrain and clutter databases. Instead, statistical methods are employed to capture this behaviour. To this end, a grid of (equidistant) points is superimposed on the target coverage area. Each grid point is assumed to coincide with the centre of a small square area known as a pixel. The pixels can have different sizes depending on the granularity of the coverage analysis and the resolution of the wave propagation model. Typical values are 100m * 100m up to 1000m * 1000m. </w:t>
      </w:r>
      <w:bookmarkStart w:id="2" w:name="_GoBack"/>
      <w:bookmarkEnd w:id="2"/>
    </w:p>
    <w:p w:rsidR="00454CB0" w:rsidRDefault="00454CB0" w:rsidP="00454CB0">
      <w:pPr>
        <w:pStyle w:val="Textvorlage"/>
      </w:pPr>
      <w:r w:rsidRPr="002141B5">
        <w:t xml:space="preserve">For each of the pixels a field strength value is predicted </w:t>
      </w:r>
      <w:r>
        <w:t>using the</w:t>
      </w:r>
      <w:r w:rsidRPr="002141B5">
        <w:t xml:space="preserve"> wave propagation model</w:t>
      </w:r>
      <w:r>
        <w:t>, together with its associated terrain and clutter databases.</w:t>
      </w:r>
      <w:r w:rsidRPr="002141B5">
        <w:t xml:space="preserve"> </w:t>
      </w:r>
      <w:r>
        <w:t>T</w:t>
      </w:r>
      <w:r w:rsidRPr="002141B5">
        <w:t xml:space="preserve">he field is calculated from the transmitter location </w:t>
      </w:r>
      <w:r>
        <w:t xml:space="preserve">to </w:t>
      </w:r>
      <w:r w:rsidRPr="002141B5">
        <w:t xml:space="preserve">the </w:t>
      </w:r>
      <w:r>
        <w:t>centre</w:t>
      </w:r>
      <w:r w:rsidRPr="002141B5">
        <w:t xml:space="preserve"> of the pixel under consideration. The variation of the field strength throughout the pixel area is assumed to follow a defined distribution function (</w:t>
      </w:r>
      <w:r>
        <w:t xml:space="preserve">which is </w:t>
      </w:r>
      <w:r w:rsidRPr="002141B5">
        <w:t xml:space="preserve">usually </w:t>
      </w:r>
      <w:r>
        <w:t xml:space="preserve">modelled as a </w:t>
      </w:r>
      <w:r w:rsidRPr="002141B5">
        <w:t xml:space="preserve">log-normal). The mean value of the distribution is </w:t>
      </w:r>
      <w:r>
        <w:t xml:space="preserve">assumed to be </w:t>
      </w:r>
      <w:r w:rsidRPr="002141B5">
        <w:t xml:space="preserve">equal to the predicted field strength </w:t>
      </w:r>
      <w:r>
        <w:t xml:space="preserve">for the centre of the </w:t>
      </w:r>
      <w:r w:rsidRPr="002141B5">
        <w:t>pixel</w:t>
      </w:r>
      <w:r>
        <w:t>. A</w:t>
      </w:r>
      <w:r w:rsidRPr="002141B5">
        <w:t>ssumptions on the standard deviat</w:t>
      </w:r>
      <w:r>
        <w:t>ion of the distribution have to be made before any further calculation can be carried out</w:t>
      </w:r>
      <w:r w:rsidRPr="002141B5">
        <w:t xml:space="preserve">. </w:t>
      </w:r>
      <w:r>
        <w:t>These assumptions are based on measurement surveys carried out over typical broadcast coverage areas</w:t>
      </w:r>
      <w:r w:rsidRPr="00C75A88">
        <w:t xml:space="preserve"> </w:t>
      </w:r>
      <w:r>
        <w:t>and accepted in the GE06 Agreement; the departure of the measured field strength values from the predicted median value within the pixel is then modelled with an appropriate value for the standard deviation of the log normal distribution.</w:t>
      </w:r>
    </w:p>
    <w:p w:rsidR="00454CB0" w:rsidRDefault="00454CB0" w:rsidP="00454CB0">
      <w:pPr>
        <w:pStyle w:val="Textvorlage"/>
      </w:pPr>
    </w:p>
    <w:p w:rsidR="00454CB0" w:rsidRDefault="00454CB0" w:rsidP="002C56D6">
      <w:pPr>
        <w:pStyle w:val="Textvorlage"/>
        <w:numPr>
          <w:ilvl w:val="0"/>
          <w:numId w:val="5"/>
        </w:numPr>
        <w:rPr>
          <w:b/>
          <w:sz w:val="28"/>
          <w:szCs w:val="28"/>
        </w:rPr>
      </w:pPr>
      <w:r>
        <w:rPr>
          <w:b/>
          <w:sz w:val="28"/>
          <w:szCs w:val="28"/>
        </w:rPr>
        <w:t>Coverage Predictions, Location Probability and Reception Margin</w:t>
      </w:r>
    </w:p>
    <w:p w:rsidR="00454CB0" w:rsidRDefault="00454CB0" w:rsidP="00454CB0">
      <w:pPr>
        <w:pStyle w:val="Textvorlage"/>
      </w:pPr>
      <w:r>
        <w:t>Given the median field strength prediction of the wanted and interfering fields at the pixel centre and the assumed statistical variation of these quantities throughout the pixel,</w:t>
      </w:r>
      <w:r w:rsidRPr="002141B5">
        <w:t xml:space="preserve"> the probability that </w:t>
      </w:r>
      <w:r>
        <w:t xml:space="preserve">the wanted field strength will exceed the </w:t>
      </w:r>
      <w:r w:rsidRPr="002141B5">
        <w:t xml:space="preserve">minimum </w:t>
      </w:r>
      <w:r>
        <w:t xml:space="preserve">value required for reception throughout the pixel can be derived. </w:t>
      </w:r>
      <w:r w:rsidRPr="002141B5">
        <w:t xml:space="preserve">This </w:t>
      </w:r>
      <w:r>
        <w:t xml:space="preserve">quantity takes into account the interference and is known as </w:t>
      </w:r>
      <w:r w:rsidRPr="002141B5">
        <w:t>the location probability for that pixel</w:t>
      </w:r>
      <w:r>
        <w:t>. It can be</w:t>
      </w:r>
      <w:r w:rsidRPr="002141B5">
        <w:t xml:space="preserve"> interpreted as the fraction of locations within the pixel area </w:t>
      </w:r>
      <w:r>
        <w:t>where</w:t>
      </w:r>
      <w:r w:rsidRPr="002141B5">
        <w:t xml:space="preserve"> the broadcasting service can be received without </w:t>
      </w:r>
      <w:r>
        <w:t>impairment</w:t>
      </w:r>
      <w:r w:rsidRPr="002141B5">
        <w:t>.</w:t>
      </w:r>
      <w:r>
        <w:t xml:space="preserve"> </w:t>
      </w:r>
    </w:p>
    <w:p w:rsidR="00454CB0" w:rsidRDefault="00454CB0" w:rsidP="00454CB0">
      <w:pPr>
        <w:pStyle w:val="Textvorlage"/>
      </w:pPr>
      <w:r w:rsidRPr="0060702C">
        <w:t>In general, the wanted field strength</w:t>
      </w:r>
      <w:r>
        <w:t>, and the associated location probability,</w:t>
      </w:r>
      <w:r w:rsidRPr="0060702C">
        <w:t xml:space="preserve"> produce</w:t>
      </w:r>
      <w:r>
        <w:t>d by a transmitter</w:t>
      </w:r>
      <w:r w:rsidRPr="0060702C">
        <w:t xml:space="preserve"> will decrease </w:t>
      </w:r>
      <w:r>
        <w:t xml:space="preserve">with distance </w:t>
      </w:r>
      <w:r w:rsidRPr="0060702C">
        <w:t xml:space="preserve">from the </w:t>
      </w:r>
      <w:r>
        <w:t xml:space="preserve">transmitter. </w:t>
      </w:r>
      <w:r w:rsidRPr="00127DC7">
        <w:t xml:space="preserve">The edge of the coverage area of a given transmitter is determined as the locations were according to the statistical treatment the protection criteria are just met, i.e. the minimum required field strength and the relevant protection ratio </w:t>
      </w:r>
      <w:r>
        <w:t xml:space="preserve">satisfy </w:t>
      </w:r>
      <w:r w:rsidRPr="00127DC7">
        <w:t>a given threshold location probability.</w:t>
      </w:r>
    </w:p>
    <w:p w:rsidR="00454CB0" w:rsidRDefault="00454CB0" w:rsidP="00454CB0">
      <w:pPr>
        <w:pStyle w:val="Textvorlage"/>
      </w:pPr>
      <w:r>
        <w:t xml:space="preserve">Locations at the edge of reception will receive lower field strengths and will have less reception margin to cope with fading, impulsive interference or sub-optimum domestic installations. Pixels closer to the transmitter location can potentially support reception on lower performance installations, including devices with portable and set top antennas. </w:t>
      </w:r>
    </w:p>
    <w:p w:rsidR="00454CB0" w:rsidRDefault="00454CB0" w:rsidP="00454CB0">
      <w:pPr>
        <w:pStyle w:val="Textvorlage"/>
      </w:pPr>
      <w:r>
        <w:t xml:space="preserve">The planning principles laid down in GE06 were developed under the assumption that only co-channel interference needs to be taken into account. As a consequence, any interfering transmitters will be located outside the investigated coverage area. Thus, the field strength imposed by a remote transmitter onto the coverage area of a given transmitter will have its maximum value at the edge of the coverage area. When moving into the coverage area the interfering field will decay. Therefore, it suffices to derive protection criteria for the coverage edge because inside the coverage area they will be automatically met. </w:t>
      </w:r>
    </w:p>
    <w:p w:rsidR="00454CB0" w:rsidRDefault="00454CB0" w:rsidP="00454CB0">
      <w:pPr>
        <w:pStyle w:val="Textvorlage"/>
      </w:pPr>
      <w:r>
        <w:t>The situation changes as soon as the interfering source is located inside the coverage area. Clearly, this cannot be possible when using the same channel. This means that such a situation always refers to adjacent channel usage whereas adjacent can mean next-</w:t>
      </w:r>
      <w:r>
        <w:lastRenderedPageBreak/>
        <w:t xml:space="preserve">adjacent or further apart. It turns out that care has to be taken when assessing the protection of the broadcasting service under such conditions. </w:t>
      </w:r>
    </w:p>
    <w:p w:rsidR="00454CB0" w:rsidRDefault="00454CB0" w:rsidP="00454CB0">
      <w:pPr>
        <w:pStyle w:val="Textvorlage"/>
      </w:pPr>
    </w:p>
    <w:p w:rsidR="00454CB0" w:rsidRDefault="00454CB0" w:rsidP="00372CA0">
      <w:pPr>
        <w:pStyle w:val="Textvorlage"/>
        <w:numPr>
          <w:ilvl w:val="0"/>
          <w:numId w:val="5"/>
        </w:numPr>
        <w:rPr>
          <w:b/>
          <w:sz w:val="28"/>
          <w:szCs w:val="28"/>
        </w:rPr>
      </w:pPr>
      <w:r>
        <w:rPr>
          <w:b/>
          <w:sz w:val="28"/>
          <w:szCs w:val="28"/>
        </w:rPr>
        <w:t>Impact of Sub-Optimum DTT Receiving Installations</w:t>
      </w:r>
    </w:p>
    <w:p w:rsidR="00454CB0" w:rsidRDefault="00454CB0" w:rsidP="00454CB0">
      <w:pPr>
        <w:pStyle w:val="Textvorlage"/>
      </w:pPr>
      <w:r>
        <w:t>As discussed, a reference receiving installation is used to predict the broadcast coverage. In practice, however, there is no obligation for the listeners and viewers to use such an installation for their reception and this is one of the major issues that broadcasters have to account for when predicting the coverage of a transmitter, i.e. calculating the location probability and assessing interference.</w:t>
      </w:r>
    </w:p>
    <w:p w:rsidR="00454CB0" w:rsidRDefault="00454CB0" w:rsidP="00454CB0">
      <w:pPr>
        <w:pStyle w:val="Textvorlage"/>
      </w:pPr>
      <w:r>
        <w:t>In the vicinity of a transmitter, where the wanted field strength is significantly higher than the required minimum field, sub-optimal receiving equipment may be sufficient to provide adequate reception quality. Experience shows that the fraction of sub-optimal receiving installations increase as the distance to the transmitter decreases</w:t>
      </w:r>
      <w:r>
        <w:rPr>
          <w:rStyle w:val="Appelnotedebasdep"/>
        </w:rPr>
        <w:footnoteReference w:id="2"/>
      </w:r>
      <w:r>
        <w:t>. Furthermore, closer to the transmitter it is often possible to receive a programme using alternative reception modes, e.g. portable (outdoor/indoor) reception might be possible even though the service may have originally been planned for fixed reception. Broadcasters are well aware of all this and it is crucial for them to ensure that all these receiving conditions are supported and protected.</w:t>
      </w:r>
    </w:p>
    <w:p w:rsidR="00454CB0" w:rsidRDefault="00454CB0" w:rsidP="00454CB0">
      <w:pPr>
        <w:pStyle w:val="Textvorlage"/>
      </w:pPr>
      <w:r>
        <w:t>Seen from the perspective of location probability associated with a given pixel it is important to understand that all these different receiving conditions or use cases cannot be described by a single location probability. The link budget underlying the location probability calculation is impacted by the following:</w:t>
      </w:r>
    </w:p>
    <w:p w:rsidR="00454CB0" w:rsidRDefault="00454CB0" w:rsidP="00454CB0">
      <w:pPr>
        <w:pStyle w:val="Textvorlage"/>
        <w:numPr>
          <w:ilvl w:val="0"/>
          <w:numId w:val="2"/>
        </w:numPr>
      </w:pPr>
      <w:r>
        <w:t>Even though a broadcasting service may be planned for fixed reception viewers are using different receivers in order to make use of portable reception. These receivers usually employ antennas of lower performance.</w:t>
      </w:r>
      <w:r>
        <w:rPr>
          <w:rStyle w:val="Appelnotedebasdep"/>
        </w:rPr>
        <w:footnoteReference w:id="3"/>
      </w:r>
      <w:r>
        <w:t xml:space="preserve"> </w:t>
      </w:r>
    </w:p>
    <w:p w:rsidR="00454CB0" w:rsidRDefault="00454CB0" w:rsidP="00454CB0">
      <w:pPr>
        <w:pStyle w:val="Textvorlage"/>
        <w:numPr>
          <w:ilvl w:val="0"/>
          <w:numId w:val="2"/>
        </w:numPr>
      </w:pPr>
      <w:r>
        <w:t xml:space="preserve">The domestic roof-top antenna installation is sub-optimally sited, </w:t>
      </w:r>
      <w:proofErr w:type="spellStart"/>
      <w:r>
        <w:t>mis</w:t>
      </w:r>
      <w:proofErr w:type="spellEnd"/>
      <w:r>
        <w:t>-pointed, or installed at a lower height than the 10m figure used for planning.</w:t>
      </w:r>
      <w:r w:rsidRPr="00DE3A5F">
        <w:rPr>
          <w:iCs/>
        </w:rPr>
        <w:t xml:space="preserve"> </w:t>
      </w:r>
      <w:r>
        <w:rPr>
          <w:iCs/>
        </w:rPr>
        <w:t>This means that the antenna may not be elevated above the surrounding clutter.</w:t>
      </w:r>
    </w:p>
    <w:p w:rsidR="00454CB0" w:rsidRDefault="00454CB0" w:rsidP="00454CB0">
      <w:pPr>
        <w:pStyle w:val="Textvorlage"/>
        <w:numPr>
          <w:ilvl w:val="0"/>
          <w:numId w:val="2"/>
        </w:numPr>
      </w:pPr>
      <w:r>
        <w:t>Type and density of housing in a given pixel may not always be accurately reflected by the available clutter data used for coverage prediction calculations.</w:t>
      </w:r>
    </w:p>
    <w:p w:rsidR="00454CB0" w:rsidRDefault="00454CB0" w:rsidP="00454CB0">
      <w:pPr>
        <w:pStyle w:val="Textvorlage"/>
        <w:numPr>
          <w:ilvl w:val="0"/>
          <w:numId w:val="2"/>
        </w:numPr>
      </w:pPr>
      <w:r>
        <w:t xml:space="preserve">In highly cluttered environments improving the receiving conditions due to cross polarisation may not be achievable. </w:t>
      </w:r>
    </w:p>
    <w:p w:rsidR="00454CB0" w:rsidRDefault="00454CB0" w:rsidP="00454CB0">
      <w:pPr>
        <w:pStyle w:val="Textvorlage"/>
      </w:pPr>
      <w:r>
        <w:t xml:space="preserve">Thus, in practice more than one location probabilities would need to be associated with any given pixel in principle in order to grasp all these situations. This means that if a broadcasting service is planned according to given conditions such as planning for fixed reception, then inside the coverage area for a given pixel a high location probability may be found, e.g. even 100%. But using different receiving conditions for the same pixel under else equal conditions may result in a significantly lower location probability. </w:t>
      </w:r>
    </w:p>
    <w:p w:rsidR="00454CB0" w:rsidRDefault="00454CB0" w:rsidP="00454CB0">
      <w:pPr>
        <w:pStyle w:val="Textvorlage"/>
      </w:pPr>
      <w:r>
        <w:t xml:space="preserve">One of the proposals for the introduction of other services such as WSD foresees that the location probability in each pixel may be reduced by 0.1%. The calculation of the location probability will be carried out in the presence of additional interference from WSD indicating the additional interference does not violate the conditions imposed for the </w:t>
      </w:r>
      <w:r>
        <w:lastRenderedPageBreak/>
        <w:t xml:space="preserve">protection of broadcasting. For a broadcasting service planned for fixed reception this means that for example the location probability of a pixel deep inside the coverage area is reduced from 100% to 99.9%. </w:t>
      </w:r>
    </w:p>
    <w:p w:rsidR="00454CB0" w:rsidRDefault="00454CB0" w:rsidP="00454CB0">
      <w:pPr>
        <w:pStyle w:val="Textvorlage"/>
      </w:pPr>
      <w:r>
        <w:t>Sub-optimal antenna alignment in a cluttered environment as outlined above may lead to a situation where</w:t>
      </w:r>
      <w:r w:rsidRPr="00AB5CFE">
        <w:t xml:space="preserve"> the wanted DTT signal from the transmitter site will be</w:t>
      </w:r>
      <w:r>
        <w:t xml:space="preserve"> more </w:t>
      </w:r>
      <w:r w:rsidRPr="00AB5CFE">
        <w:t>attenuated</w:t>
      </w:r>
      <w:r>
        <w:t xml:space="preserve"> than when taken into consideration standard planning parameters during the location probability calculations only. Consequently, any additional WSD interference will have a more severe impact.</w:t>
      </w:r>
    </w:p>
    <w:p w:rsidR="00454CB0" w:rsidRPr="008C37BB" w:rsidRDefault="00454CB0" w:rsidP="00011EAB">
      <w:pPr>
        <w:pStyle w:val="Textvorlage"/>
        <w:numPr>
          <w:ilvl w:val="0"/>
          <w:numId w:val="5"/>
        </w:numPr>
        <w:rPr>
          <w:b/>
          <w:sz w:val="32"/>
          <w:szCs w:val="32"/>
        </w:rPr>
      </w:pPr>
      <w:r w:rsidRPr="008C37BB">
        <w:rPr>
          <w:b/>
          <w:sz w:val="32"/>
          <w:szCs w:val="32"/>
        </w:rPr>
        <w:t>Conclusion</w:t>
      </w:r>
    </w:p>
    <w:p w:rsidR="00454CB0" w:rsidRDefault="00454CB0" w:rsidP="00454CB0">
      <w:pPr>
        <w:pStyle w:val="Textvorlage"/>
      </w:pPr>
      <w:r w:rsidRPr="003D05F3">
        <w:t xml:space="preserve">The </w:t>
      </w:r>
      <w:r>
        <w:t xml:space="preserve">calculation of the location probability during network planning of broadcasting services is carried out on the basis of several assumptions forming a special framework. One element is the consideration of the receiving conditions. Usually, it is distinguished between reception modes such as fixed, portable outdoor and portable indoor reception. These are characterized by certain parameters describing the receiver performance including the antenna characteristics. Making a calculation for fixed reception means to employ a certain standard configuration. </w:t>
      </w:r>
    </w:p>
    <w:p w:rsidR="00454CB0" w:rsidRDefault="00454CB0" w:rsidP="00454CB0">
      <w:pPr>
        <w:pStyle w:val="Textvorlage"/>
      </w:pPr>
      <w:r>
        <w:t xml:space="preserve">However, listeners and viewers of broadcasting programmes are not obliged to use receivers and antenna installations as they are assumed for the calculation of the location probability as a measure for the quality of service. It is well-known fact that inside the coverage area of a transmitter </w:t>
      </w:r>
      <w:r w:rsidR="00012025">
        <w:t xml:space="preserve">which </w:t>
      </w:r>
      <w:r>
        <w:t>for example was planned for fixed reception, two aspects are important for broadcasters in their attempt to protect their services. These are:</w:t>
      </w:r>
    </w:p>
    <w:p w:rsidR="00454CB0" w:rsidRDefault="00454CB0" w:rsidP="00454CB0">
      <w:pPr>
        <w:pStyle w:val="Textvorlage"/>
        <w:numPr>
          <w:ilvl w:val="0"/>
          <w:numId w:val="3"/>
        </w:numPr>
      </w:pPr>
      <w:r>
        <w:t>Moving from the coverage edge of a transmitter that was planned for fixed reception towards the transmitter site, first portable outdoor and later portable indoor become feasible due to the increasing field strength provided. As a matter of fact, listeners and viewers are making use of these reception modes.</w:t>
      </w:r>
    </w:p>
    <w:p w:rsidR="00454CB0" w:rsidRDefault="00454CB0" w:rsidP="00454CB0">
      <w:pPr>
        <w:pStyle w:val="Textvorlage"/>
        <w:numPr>
          <w:ilvl w:val="0"/>
          <w:numId w:val="3"/>
        </w:numPr>
      </w:pPr>
      <w:r>
        <w:t xml:space="preserve">Furthermore, at the same time the excess of field strength closer to the transmitter site allows to receive broadcasting services with a fixed reception antenna installation which has only poor performance due to </w:t>
      </w:r>
      <w:proofErr w:type="spellStart"/>
      <w:r>
        <w:t>mis</w:t>
      </w:r>
      <w:proofErr w:type="spellEnd"/>
      <w:r>
        <w:t>-alignment of the antenna with respect to the transmitter location or signal degradation due to unprofessionally installed antenna feeds.</w:t>
      </w:r>
    </w:p>
    <w:p w:rsidR="00454CB0" w:rsidRDefault="00454CB0" w:rsidP="00454CB0">
      <w:pPr>
        <w:pStyle w:val="Textvorlage"/>
      </w:pPr>
      <w:r>
        <w:t xml:space="preserve">If these conditions </w:t>
      </w:r>
      <w:r w:rsidR="00012025">
        <w:t>were</w:t>
      </w:r>
      <w:r>
        <w:t xml:space="preserve"> taken into consideration when calculating the location probability for a given pixel then </w:t>
      </w:r>
      <w:r w:rsidR="00012025">
        <w:t>we would obtain</w:t>
      </w:r>
      <w:r w:rsidR="008C2F83">
        <w:t xml:space="preserve"> </w:t>
      </w:r>
      <w:r>
        <w:t xml:space="preserve">lower values than </w:t>
      </w:r>
      <w:r w:rsidR="00012025">
        <w:t xml:space="preserve">those </w:t>
      </w:r>
      <w:r>
        <w:t xml:space="preserve">derived on the basis of the standard configuration used for planning purposes. Additional interference imposed by WSD might not have a great impact </w:t>
      </w:r>
      <w:r w:rsidR="00012025">
        <w:t>in these locations if</w:t>
      </w:r>
      <w:r>
        <w:t xml:space="preserve"> standard receiving conditions</w:t>
      </w:r>
      <w:r w:rsidR="00012025">
        <w:t xml:space="preserve"> were used</w:t>
      </w:r>
      <w:r>
        <w:t xml:space="preserve">. However, listeners and viewers enjoying broadcasting content under the conditions described above could </w:t>
      </w:r>
      <w:r w:rsidR="002202FE">
        <w:t>experience</w:t>
      </w:r>
      <w:r>
        <w:t xml:space="preserve"> significant service quality degradation. In order to protect such reception the additional interference induced by WSD has to be limited appropriately.</w:t>
      </w:r>
    </w:p>
    <w:p w:rsidR="00B32D52" w:rsidRPr="00B32D52" w:rsidRDefault="00B32D52" w:rsidP="00A0118F">
      <w:pPr>
        <w:spacing w:after="0" w:line="240" w:lineRule="auto"/>
        <w:rPr>
          <w:rFonts w:ascii="Arial" w:hAnsi="Arial" w:cs="Arial"/>
          <w:sz w:val="24"/>
          <w:szCs w:val="24"/>
        </w:rPr>
      </w:pPr>
    </w:p>
    <w:p w:rsidR="00520ADA" w:rsidRDefault="00ED2D72">
      <w:pPr>
        <w:spacing w:after="0" w:line="240" w:lineRule="auto"/>
        <w:jc w:val="both"/>
        <w:rPr>
          <w:sz w:val="24"/>
          <w:szCs w:val="24"/>
        </w:rPr>
      </w:pPr>
      <w:r w:rsidRPr="00ED2D72">
        <w:rPr>
          <w:rFonts w:ascii="Arial" w:hAnsi="Arial" w:cs="Arial"/>
          <w:sz w:val="24"/>
          <w:szCs w:val="24"/>
        </w:rPr>
        <w:t xml:space="preserve">It is </w:t>
      </w:r>
      <w:r w:rsidR="00B32D52">
        <w:rPr>
          <w:rFonts w:ascii="Arial" w:hAnsi="Arial" w:cs="Arial"/>
          <w:sz w:val="24"/>
          <w:szCs w:val="24"/>
        </w:rPr>
        <w:t xml:space="preserve">therefore </w:t>
      </w:r>
      <w:r w:rsidRPr="00ED2D72">
        <w:rPr>
          <w:rFonts w:ascii="Arial" w:hAnsi="Arial" w:cs="Arial"/>
          <w:sz w:val="24"/>
          <w:szCs w:val="24"/>
        </w:rPr>
        <w:t>proposed to specify a constant value of acceptable location percentage degradation and not to relax this value in locations with higher initial location percentages. More precisely, an acceptable location percentage degradation of 0.1% is to be applied for all values of initial location percentages.</w:t>
      </w:r>
    </w:p>
    <w:sectPr w:rsidR="00520ADA" w:rsidSect="00DC16C1">
      <w:footerReference w:type="default" r:id="rId10"/>
      <w:pgSz w:w="11906" w:h="16838"/>
      <w:pgMar w:top="851" w:right="1134" w:bottom="993" w:left="1134" w:header="709" w:footer="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DCF" w:rsidRDefault="00262DCF" w:rsidP="009120D9">
      <w:pPr>
        <w:spacing w:after="0" w:line="240" w:lineRule="auto"/>
      </w:pPr>
      <w:r>
        <w:separator/>
      </w:r>
    </w:p>
  </w:endnote>
  <w:endnote w:type="continuationSeparator" w:id="0">
    <w:p w:rsidR="00262DCF" w:rsidRDefault="00262DCF" w:rsidP="00912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D5" w:rsidRDefault="006814B2">
    <w:pPr>
      <w:pStyle w:val="Pieddepage"/>
      <w:jc w:val="right"/>
    </w:pPr>
    <w:fldSimple w:instr=" PAGE   \* MERGEFORMAT ">
      <w:r w:rsidR="003D71CC">
        <w:rPr>
          <w:noProof/>
        </w:rPr>
        <w:t>1</w:t>
      </w:r>
    </w:fldSimple>
  </w:p>
  <w:p w:rsidR="008119D5" w:rsidRDefault="008119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DCF" w:rsidRDefault="00262DCF" w:rsidP="009120D9">
      <w:pPr>
        <w:spacing w:after="0" w:line="240" w:lineRule="auto"/>
      </w:pPr>
      <w:r>
        <w:separator/>
      </w:r>
    </w:p>
  </w:footnote>
  <w:footnote w:type="continuationSeparator" w:id="0">
    <w:p w:rsidR="00262DCF" w:rsidRDefault="00262DCF" w:rsidP="009120D9">
      <w:pPr>
        <w:spacing w:after="0" w:line="240" w:lineRule="auto"/>
      </w:pPr>
      <w:r>
        <w:continuationSeparator/>
      </w:r>
    </w:p>
  </w:footnote>
  <w:footnote w:id="1">
    <w:p w:rsidR="005C2668" w:rsidRPr="00EC0D66" w:rsidRDefault="005C2668" w:rsidP="005C2668">
      <w:pPr>
        <w:pStyle w:val="Notedebasdepage"/>
        <w:jc w:val="both"/>
        <w:rPr>
          <w:rFonts w:ascii="Arial" w:hAnsi="Arial" w:cs="Arial"/>
        </w:rPr>
      </w:pPr>
      <w:r w:rsidRPr="00EC0D66">
        <w:rPr>
          <w:rStyle w:val="Appelnotedebasdep"/>
          <w:rFonts w:ascii="Arial" w:hAnsi="Arial" w:cs="Arial"/>
        </w:rPr>
        <w:footnoteRef/>
      </w:r>
      <w:r w:rsidRPr="00EC0D66">
        <w:rPr>
          <w:rFonts w:ascii="Arial" w:hAnsi="Arial" w:cs="Arial"/>
        </w:rPr>
        <w:t xml:space="preserve"> </w:t>
      </w:r>
      <w:r w:rsidR="00356601">
        <w:rPr>
          <w:rFonts w:ascii="Arial" w:hAnsi="Arial" w:cs="Arial"/>
        </w:rPr>
        <w:t>Seen from a practical point of view, t</w:t>
      </w:r>
      <w:r>
        <w:rPr>
          <w:rFonts w:ascii="Arial" w:hAnsi="Arial" w:cs="Arial"/>
        </w:rPr>
        <w:t xml:space="preserve">he primary reason </w:t>
      </w:r>
      <w:r w:rsidR="0038133F">
        <w:rPr>
          <w:rFonts w:ascii="Arial" w:hAnsi="Arial" w:cs="Arial"/>
        </w:rPr>
        <w:t xml:space="preserve">for not employing better resolutions </w:t>
      </w:r>
      <w:r>
        <w:rPr>
          <w:rFonts w:ascii="Arial" w:hAnsi="Arial" w:cs="Arial"/>
        </w:rPr>
        <w:t xml:space="preserve">is that the difference in the predicted field strength values between two points separated by less than a distance of 100m or 50m is negligible. </w:t>
      </w:r>
    </w:p>
  </w:footnote>
  <w:footnote w:id="2">
    <w:p w:rsidR="00454CB0" w:rsidRDefault="00454CB0" w:rsidP="00454CB0">
      <w:pPr>
        <w:pStyle w:val="Notedebasdepage"/>
      </w:pPr>
      <w:r w:rsidRPr="008B16E9">
        <w:rPr>
          <w:rStyle w:val="Appelnotedebasdep"/>
          <w:rFonts w:ascii="Arial" w:hAnsi="Arial" w:cs="Arial"/>
          <w:sz w:val="18"/>
          <w:szCs w:val="18"/>
        </w:rPr>
        <w:footnoteRef/>
      </w:r>
      <w:r w:rsidRPr="008B16E9">
        <w:rPr>
          <w:rFonts w:ascii="Arial" w:hAnsi="Arial" w:cs="Arial"/>
          <w:sz w:val="18"/>
          <w:szCs w:val="18"/>
        </w:rPr>
        <w:t xml:space="preserve"> </w:t>
      </w:r>
      <w:hyperlink r:id="rId1" w:history="1">
        <w:r w:rsidRPr="008B16E9">
          <w:rPr>
            <w:rStyle w:val="Lienhypertexte"/>
            <w:rFonts w:ascii="Arial" w:hAnsi="Arial" w:cs="Arial"/>
            <w:sz w:val="18"/>
            <w:szCs w:val="18"/>
          </w:rPr>
          <w:t>http://stakeholders.ofcom.org.uk/binaries/research/tv-research/aerials_research.pdf</w:t>
        </w:r>
      </w:hyperlink>
    </w:p>
  </w:footnote>
  <w:footnote w:id="3">
    <w:p w:rsidR="00454CB0" w:rsidRPr="00DE36AD" w:rsidRDefault="00454CB0" w:rsidP="00454CB0">
      <w:pPr>
        <w:pStyle w:val="Notedebasdepage"/>
        <w:jc w:val="both"/>
      </w:pPr>
      <w:r w:rsidRPr="001363CD">
        <w:rPr>
          <w:rStyle w:val="Appelnotedebasdep"/>
          <w:rFonts w:ascii="Arial" w:hAnsi="Arial" w:cs="Arial"/>
          <w:sz w:val="18"/>
          <w:szCs w:val="18"/>
        </w:rPr>
        <w:footnoteRef/>
      </w:r>
      <w:r w:rsidRPr="001363CD">
        <w:rPr>
          <w:rFonts w:ascii="Arial" w:hAnsi="Arial" w:cs="Arial"/>
          <w:sz w:val="18"/>
          <w:szCs w:val="18"/>
        </w:rPr>
        <w:t xml:space="preserve"> </w:t>
      </w:r>
      <w:r>
        <w:rPr>
          <w:rFonts w:ascii="Arial" w:hAnsi="Arial" w:cs="Arial"/>
          <w:sz w:val="18"/>
          <w:szCs w:val="18"/>
        </w:rPr>
        <w:t>For example, i</w:t>
      </w:r>
      <w:r w:rsidRPr="001363CD">
        <w:rPr>
          <w:rFonts w:ascii="Arial" w:hAnsi="Arial" w:cs="Arial"/>
          <w:sz w:val="18"/>
          <w:szCs w:val="18"/>
        </w:rPr>
        <w:t>n the UK DTT planning it is assumed that TV installations have an antenna with 10dBd gain at a height</w:t>
      </w:r>
      <w:r>
        <w:rPr>
          <w:rFonts w:ascii="Arial" w:hAnsi="Arial" w:cs="Arial"/>
          <w:sz w:val="18"/>
          <w:szCs w:val="18"/>
        </w:rPr>
        <w:t xml:space="preserve"> of 10m with a 3dB feeder loss.</w:t>
      </w:r>
      <w:r w:rsidRPr="001363CD">
        <w:rPr>
          <w:rFonts w:ascii="Arial" w:hAnsi="Arial" w:cs="Arial"/>
          <w:sz w:val="18"/>
          <w:szCs w:val="18"/>
        </w:rPr>
        <w:t xml:space="preserve"> This results in</w:t>
      </w:r>
      <w:r>
        <w:rPr>
          <w:rFonts w:ascii="Arial" w:hAnsi="Arial" w:cs="Arial"/>
          <w:sz w:val="18"/>
          <w:szCs w:val="18"/>
        </w:rPr>
        <w:t xml:space="preserve"> an effective gain of 9.15 </w:t>
      </w:r>
      <w:proofErr w:type="spellStart"/>
      <w:r>
        <w:rPr>
          <w:rFonts w:ascii="Arial" w:hAnsi="Arial" w:cs="Arial"/>
          <w:sz w:val="18"/>
          <w:szCs w:val="18"/>
        </w:rPr>
        <w:t>dBi</w:t>
      </w:r>
      <w:proofErr w:type="spellEnd"/>
      <w:r>
        <w:rPr>
          <w:rFonts w:ascii="Arial" w:hAnsi="Arial" w:cs="Arial"/>
          <w:sz w:val="18"/>
          <w:szCs w:val="18"/>
        </w:rPr>
        <w:t>.</w:t>
      </w:r>
      <w:r w:rsidRPr="001363CD">
        <w:rPr>
          <w:rFonts w:ascii="Arial" w:hAnsi="Arial" w:cs="Arial"/>
          <w:sz w:val="18"/>
          <w:szCs w:val="18"/>
        </w:rPr>
        <w:t xml:space="preserve"> It also assumes the antenna is pointed at the wanted DTT transmitter with the correct polarisation.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E7C"/>
    <w:multiLevelType w:val="hybridMultilevel"/>
    <w:tmpl w:val="064CD068"/>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
    <w:nsid w:val="0C111C0F"/>
    <w:multiLevelType w:val="hybridMultilevel"/>
    <w:tmpl w:val="60B20B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4A82B7B"/>
    <w:multiLevelType w:val="hybridMultilevel"/>
    <w:tmpl w:val="B7082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750088"/>
    <w:multiLevelType w:val="hybridMultilevel"/>
    <w:tmpl w:val="31FAD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FB47F6E"/>
    <w:multiLevelType w:val="hybridMultilevel"/>
    <w:tmpl w:val="CD862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20"/>
  <w:hyphenationZone w:val="425"/>
  <w:characterSpacingControl w:val="doNotCompress"/>
  <w:footnotePr>
    <w:footnote w:id="-1"/>
    <w:footnote w:id="0"/>
  </w:footnotePr>
  <w:endnotePr>
    <w:endnote w:id="-1"/>
    <w:endnote w:id="0"/>
  </w:endnotePr>
  <w:compat/>
  <w:rsids>
    <w:rsidRoot w:val="007847FB"/>
    <w:rsid w:val="00011EAB"/>
    <w:rsid w:val="00012025"/>
    <w:rsid w:val="0002500C"/>
    <w:rsid w:val="0003110D"/>
    <w:rsid w:val="00035CE8"/>
    <w:rsid w:val="000576B5"/>
    <w:rsid w:val="00074B1E"/>
    <w:rsid w:val="0008618D"/>
    <w:rsid w:val="000D65F1"/>
    <w:rsid w:val="000E08EA"/>
    <w:rsid w:val="000E5B2E"/>
    <w:rsid w:val="000F4A17"/>
    <w:rsid w:val="00115ED4"/>
    <w:rsid w:val="00136FC3"/>
    <w:rsid w:val="0016134C"/>
    <w:rsid w:val="001906BD"/>
    <w:rsid w:val="001C11A0"/>
    <w:rsid w:val="001D127E"/>
    <w:rsid w:val="001D6546"/>
    <w:rsid w:val="00205EBA"/>
    <w:rsid w:val="002202FE"/>
    <w:rsid w:val="00220C90"/>
    <w:rsid w:val="002320A1"/>
    <w:rsid w:val="00262DCF"/>
    <w:rsid w:val="00272C35"/>
    <w:rsid w:val="00281357"/>
    <w:rsid w:val="00281770"/>
    <w:rsid w:val="002A3042"/>
    <w:rsid w:val="002A7A0C"/>
    <w:rsid w:val="002C56D6"/>
    <w:rsid w:val="002D3E66"/>
    <w:rsid w:val="00302F8A"/>
    <w:rsid w:val="003031F7"/>
    <w:rsid w:val="0032385D"/>
    <w:rsid w:val="00330E3E"/>
    <w:rsid w:val="00331C60"/>
    <w:rsid w:val="00341CDA"/>
    <w:rsid w:val="00356601"/>
    <w:rsid w:val="00372CA0"/>
    <w:rsid w:val="0038133F"/>
    <w:rsid w:val="00385270"/>
    <w:rsid w:val="003940DC"/>
    <w:rsid w:val="003D71CC"/>
    <w:rsid w:val="003F7BA5"/>
    <w:rsid w:val="004166EE"/>
    <w:rsid w:val="00430C9E"/>
    <w:rsid w:val="0043415E"/>
    <w:rsid w:val="00440174"/>
    <w:rsid w:val="00440A52"/>
    <w:rsid w:val="00445FD5"/>
    <w:rsid w:val="00454CB0"/>
    <w:rsid w:val="00495F08"/>
    <w:rsid w:val="004E1028"/>
    <w:rsid w:val="004E2EB4"/>
    <w:rsid w:val="004F131D"/>
    <w:rsid w:val="0051754D"/>
    <w:rsid w:val="00520ADA"/>
    <w:rsid w:val="005449F2"/>
    <w:rsid w:val="00546588"/>
    <w:rsid w:val="00572055"/>
    <w:rsid w:val="005A7BE2"/>
    <w:rsid w:val="005B3051"/>
    <w:rsid w:val="005C2668"/>
    <w:rsid w:val="005D68C7"/>
    <w:rsid w:val="006035FB"/>
    <w:rsid w:val="00607A8C"/>
    <w:rsid w:val="0064609E"/>
    <w:rsid w:val="00647718"/>
    <w:rsid w:val="00663DDF"/>
    <w:rsid w:val="00675866"/>
    <w:rsid w:val="006814B2"/>
    <w:rsid w:val="0069370A"/>
    <w:rsid w:val="006A6FDF"/>
    <w:rsid w:val="006B611A"/>
    <w:rsid w:val="006D6E9B"/>
    <w:rsid w:val="00721137"/>
    <w:rsid w:val="00752BE3"/>
    <w:rsid w:val="00774679"/>
    <w:rsid w:val="007847FB"/>
    <w:rsid w:val="007B0AF1"/>
    <w:rsid w:val="007B75DB"/>
    <w:rsid w:val="007C6BFD"/>
    <w:rsid w:val="00810D24"/>
    <w:rsid w:val="008119D5"/>
    <w:rsid w:val="0081203B"/>
    <w:rsid w:val="00823C76"/>
    <w:rsid w:val="0089277B"/>
    <w:rsid w:val="008A473C"/>
    <w:rsid w:val="008B7837"/>
    <w:rsid w:val="008C2F83"/>
    <w:rsid w:val="008E5A27"/>
    <w:rsid w:val="009120D9"/>
    <w:rsid w:val="00925483"/>
    <w:rsid w:val="009412BE"/>
    <w:rsid w:val="009420D2"/>
    <w:rsid w:val="00970893"/>
    <w:rsid w:val="009746A9"/>
    <w:rsid w:val="00976774"/>
    <w:rsid w:val="009872C2"/>
    <w:rsid w:val="009907ED"/>
    <w:rsid w:val="0099738B"/>
    <w:rsid w:val="009B200D"/>
    <w:rsid w:val="009B52EA"/>
    <w:rsid w:val="009C551E"/>
    <w:rsid w:val="009E6766"/>
    <w:rsid w:val="00A0118F"/>
    <w:rsid w:val="00A05353"/>
    <w:rsid w:val="00A07E38"/>
    <w:rsid w:val="00A3591D"/>
    <w:rsid w:val="00A420A3"/>
    <w:rsid w:val="00A45EC2"/>
    <w:rsid w:val="00A478FE"/>
    <w:rsid w:val="00A61819"/>
    <w:rsid w:val="00A63497"/>
    <w:rsid w:val="00A700D1"/>
    <w:rsid w:val="00A94609"/>
    <w:rsid w:val="00A97DFE"/>
    <w:rsid w:val="00AA467A"/>
    <w:rsid w:val="00AE4470"/>
    <w:rsid w:val="00AE66BC"/>
    <w:rsid w:val="00AE7ABE"/>
    <w:rsid w:val="00AF3A21"/>
    <w:rsid w:val="00B00585"/>
    <w:rsid w:val="00B136EE"/>
    <w:rsid w:val="00B23374"/>
    <w:rsid w:val="00B32D52"/>
    <w:rsid w:val="00B45517"/>
    <w:rsid w:val="00B46CFD"/>
    <w:rsid w:val="00B577B3"/>
    <w:rsid w:val="00B675AF"/>
    <w:rsid w:val="00B76B90"/>
    <w:rsid w:val="00BB1BC0"/>
    <w:rsid w:val="00BE0977"/>
    <w:rsid w:val="00BE22CE"/>
    <w:rsid w:val="00BE5C1E"/>
    <w:rsid w:val="00C316FC"/>
    <w:rsid w:val="00C336C1"/>
    <w:rsid w:val="00C3776B"/>
    <w:rsid w:val="00C9130A"/>
    <w:rsid w:val="00C97449"/>
    <w:rsid w:val="00CE7D5C"/>
    <w:rsid w:val="00CE7F9A"/>
    <w:rsid w:val="00CF66AD"/>
    <w:rsid w:val="00D51BA1"/>
    <w:rsid w:val="00D57FD4"/>
    <w:rsid w:val="00D81035"/>
    <w:rsid w:val="00D85D18"/>
    <w:rsid w:val="00DA489A"/>
    <w:rsid w:val="00DA6D1E"/>
    <w:rsid w:val="00DB5F17"/>
    <w:rsid w:val="00DC16C1"/>
    <w:rsid w:val="00DD104E"/>
    <w:rsid w:val="00DE4324"/>
    <w:rsid w:val="00DF3C92"/>
    <w:rsid w:val="00E02CB0"/>
    <w:rsid w:val="00E235E6"/>
    <w:rsid w:val="00E37664"/>
    <w:rsid w:val="00E430AF"/>
    <w:rsid w:val="00E53AFD"/>
    <w:rsid w:val="00E540A0"/>
    <w:rsid w:val="00E5614C"/>
    <w:rsid w:val="00E70812"/>
    <w:rsid w:val="00E84BE1"/>
    <w:rsid w:val="00EB6C00"/>
    <w:rsid w:val="00EC0D66"/>
    <w:rsid w:val="00EC6304"/>
    <w:rsid w:val="00EC67B1"/>
    <w:rsid w:val="00ED0E06"/>
    <w:rsid w:val="00ED0E2B"/>
    <w:rsid w:val="00ED2D72"/>
    <w:rsid w:val="00ED50F3"/>
    <w:rsid w:val="00ED597F"/>
    <w:rsid w:val="00EF1E7C"/>
    <w:rsid w:val="00F15480"/>
    <w:rsid w:val="00F24B3C"/>
    <w:rsid w:val="00F25E0C"/>
    <w:rsid w:val="00F312C1"/>
    <w:rsid w:val="00F34409"/>
    <w:rsid w:val="00F515F4"/>
    <w:rsid w:val="00FB5E8A"/>
    <w:rsid w:val="00FD51FF"/>
    <w:rsid w:val="00FE0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3]"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BA"/>
    <w:pPr>
      <w:spacing w:after="200" w:line="276" w:lineRule="auto"/>
    </w:pPr>
    <w:rPr>
      <w:sz w:val="22"/>
      <w:szCs w:val="22"/>
      <w:lang w:eastAsia="en-US"/>
    </w:rPr>
  </w:style>
  <w:style w:type="paragraph" w:styleId="Titre1">
    <w:name w:val="heading 1"/>
    <w:basedOn w:val="Normal"/>
    <w:next w:val="Normal"/>
    <w:link w:val="Titre1Car"/>
    <w:uiPriority w:val="9"/>
    <w:qFormat/>
    <w:rsid w:val="00454C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DA6D1E"/>
    <w:pPr>
      <w:keepNext/>
      <w:spacing w:after="0" w:line="240" w:lineRule="auto"/>
      <w:jc w:val="right"/>
      <w:outlineLvl w:val="1"/>
    </w:pPr>
    <w:rPr>
      <w:rFonts w:ascii="Times New Roman" w:eastAsia="Times New Roman" w:hAnsi="Times New Roman"/>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A6D1E"/>
    <w:rPr>
      <w:rFonts w:ascii="Times New Roman" w:eastAsia="Times New Roman" w:hAnsi="Times New Roman"/>
      <w:b/>
      <w:sz w:val="24"/>
      <w:szCs w:val="24"/>
      <w:u w:val="single"/>
      <w:lang w:eastAsia="en-US"/>
    </w:rPr>
  </w:style>
  <w:style w:type="paragraph" w:styleId="En-tte">
    <w:name w:val="header"/>
    <w:basedOn w:val="Normal"/>
    <w:link w:val="En-tteCar"/>
    <w:unhideWhenUsed/>
    <w:rsid w:val="00DA6D1E"/>
    <w:pPr>
      <w:tabs>
        <w:tab w:val="center" w:pos="4513"/>
        <w:tab w:val="right" w:pos="9026"/>
      </w:tabs>
    </w:pPr>
  </w:style>
  <w:style w:type="character" w:customStyle="1" w:styleId="En-tteCar">
    <w:name w:val="En-tête Car"/>
    <w:basedOn w:val="Policepardfaut"/>
    <w:link w:val="En-tte"/>
    <w:rsid w:val="00DA6D1E"/>
    <w:rPr>
      <w:sz w:val="22"/>
      <w:szCs w:val="22"/>
      <w:lang w:eastAsia="en-US"/>
    </w:rPr>
  </w:style>
  <w:style w:type="paragraph" w:styleId="Pieddepage">
    <w:name w:val="footer"/>
    <w:basedOn w:val="Normal"/>
    <w:link w:val="PieddepageCar"/>
    <w:uiPriority w:val="99"/>
    <w:unhideWhenUsed/>
    <w:rsid w:val="009120D9"/>
    <w:pPr>
      <w:tabs>
        <w:tab w:val="center" w:pos="4513"/>
        <w:tab w:val="right" w:pos="9026"/>
      </w:tabs>
    </w:pPr>
  </w:style>
  <w:style w:type="character" w:customStyle="1" w:styleId="PieddepageCar">
    <w:name w:val="Pied de page Car"/>
    <w:basedOn w:val="Policepardfaut"/>
    <w:link w:val="Pieddepage"/>
    <w:uiPriority w:val="99"/>
    <w:rsid w:val="009120D9"/>
    <w:rPr>
      <w:sz w:val="22"/>
      <w:szCs w:val="22"/>
      <w:lang w:eastAsia="en-US"/>
    </w:rPr>
  </w:style>
  <w:style w:type="paragraph" w:styleId="Notedebasdepage">
    <w:name w:val="footnote text"/>
    <w:basedOn w:val="Normal"/>
    <w:link w:val="NotedebasdepageCar"/>
    <w:uiPriority w:val="99"/>
    <w:semiHidden/>
    <w:unhideWhenUsed/>
    <w:rsid w:val="00FB5E8A"/>
    <w:rPr>
      <w:sz w:val="20"/>
      <w:szCs w:val="20"/>
    </w:rPr>
  </w:style>
  <w:style w:type="character" w:customStyle="1" w:styleId="NotedebasdepageCar">
    <w:name w:val="Note de bas de page Car"/>
    <w:basedOn w:val="Policepardfaut"/>
    <w:link w:val="Notedebasdepage"/>
    <w:uiPriority w:val="99"/>
    <w:semiHidden/>
    <w:rsid w:val="00FB5E8A"/>
    <w:rPr>
      <w:lang w:eastAsia="en-US"/>
    </w:rPr>
  </w:style>
  <w:style w:type="character" w:styleId="Appelnotedebasdep">
    <w:name w:val="footnote reference"/>
    <w:basedOn w:val="Policepardfaut"/>
    <w:uiPriority w:val="99"/>
    <w:semiHidden/>
    <w:unhideWhenUsed/>
    <w:rsid w:val="00FB5E8A"/>
    <w:rPr>
      <w:vertAlign w:val="superscript"/>
    </w:rPr>
  </w:style>
  <w:style w:type="paragraph" w:customStyle="1" w:styleId="ECCHeader">
    <w:name w:val="ECC Header"/>
    <w:basedOn w:val="Normal"/>
    <w:rsid w:val="00D51BA1"/>
    <w:pPr>
      <w:tabs>
        <w:tab w:val="center" w:pos="4536"/>
        <w:tab w:val="right" w:pos="9072"/>
      </w:tabs>
      <w:spacing w:after="0" w:line="240" w:lineRule="auto"/>
    </w:pPr>
    <w:rPr>
      <w:rFonts w:ascii="Arial" w:eastAsia="Times New Roman" w:hAnsi="Arial"/>
      <w:b/>
      <w:szCs w:val="20"/>
      <w:lang w:val="nb-NO" w:eastAsia="de-DE"/>
    </w:rPr>
  </w:style>
  <w:style w:type="character" w:styleId="Lienhypertexte">
    <w:name w:val="Hyperlink"/>
    <w:basedOn w:val="Policepardfaut"/>
    <w:uiPriority w:val="99"/>
    <w:semiHidden/>
    <w:rsid w:val="00454CB0"/>
    <w:rPr>
      <w:rFonts w:cs="Times New Roman"/>
      <w:color w:val="0000FF"/>
      <w:u w:val="single"/>
    </w:rPr>
  </w:style>
  <w:style w:type="paragraph" w:customStyle="1" w:styleId="Textvorlage">
    <w:name w:val="Textvorlage"/>
    <w:basedOn w:val="Titre1"/>
    <w:uiPriority w:val="99"/>
    <w:rsid w:val="00454CB0"/>
    <w:pPr>
      <w:keepLines w:val="0"/>
      <w:spacing w:before="120" w:after="120" w:line="240" w:lineRule="auto"/>
      <w:jc w:val="both"/>
    </w:pPr>
    <w:rPr>
      <w:rFonts w:ascii="Arial" w:eastAsia="Times New Roman" w:hAnsi="Arial" w:cs="Arial"/>
      <w:b w:val="0"/>
      <w:color w:val="auto"/>
      <w:kern w:val="32"/>
      <w:sz w:val="24"/>
      <w:szCs w:val="24"/>
      <w:lang w:eastAsia="de-DE"/>
    </w:rPr>
  </w:style>
  <w:style w:type="character" w:styleId="Marquedecommentaire">
    <w:name w:val="annotation reference"/>
    <w:basedOn w:val="Policepardfaut"/>
    <w:uiPriority w:val="99"/>
    <w:semiHidden/>
    <w:rsid w:val="00454CB0"/>
    <w:rPr>
      <w:rFonts w:cs="Times New Roman"/>
      <w:sz w:val="16"/>
      <w:szCs w:val="16"/>
    </w:rPr>
  </w:style>
  <w:style w:type="paragraph" w:styleId="Commentaire">
    <w:name w:val="annotation text"/>
    <w:basedOn w:val="Normal"/>
    <w:link w:val="CommentaireCar"/>
    <w:uiPriority w:val="99"/>
    <w:semiHidden/>
    <w:rsid w:val="00454CB0"/>
    <w:pPr>
      <w:spacing w:after="0" w:line="240" w:lineRule="auto"/>
    </w:pPr>
    <w:rPr>
      <w:rFonts w:ascii="Times New Roman" w:eastAsia="Times New Roman" w:hAnsi="Times New Roman"/>
      <w:sz w:val="20"/>
      <w:szCs w:val="20"/>
      <w:lang w:val="de-DE" w:eastAsia="de-DE"/>
    </w:rPr>
  </w:style>
  <w:style w:type="character" w:customStyle="1" w:styleId="CommentaireCar">
    <w:name w:val="Commentaire Car"/>
    <w:basedOn w:val="Policepardfaut"/>
    <w:link w:val="Commentaire"/>
    <w:uiPriority w:val="99"/>
    <w:semiHidden/>
    <w:rsid w:val="00454CB0"/>
    <w:rPr>
      <w:rFonts w:ascii="Times New Roman" w:eastAsia="Times New Roman" w:hAnsi="Times New Roman"/>
      <w:lang w:val="de-DE" w:eastAsia="de-DE"/>
    </w:rPr>
  </w:style>
  <w:style w:type="character" w:customStyle="1" w:styleId="Titre1Car">
    <w:name w:val="Titre 1 Car"/>
    <w:basedOn w:val="Policepardfaut"/>
    <w:link w:val="Titre1"/>
    <w:uiPriority w:val="9"/>
    <w:rsid w:val="00454CB0"/>
    <w:rPr>
      <w:rFonts w:asciiTheme="majorHAnsi" w:eastAsiaTheme="majorEastAsia" w:hAnsiTheme="majorHAnsi" w:cstheme="majorBidi"/>
      <w:b/>
      <w:bCs/>
      <w:color w:val="365F91" w:themeColor="accent1" w:themeShade="BF"/>
      <w:sz w:val="28"/>
      <w:szCs w:val="28"/>
      <w:lang w:eastAsia="en-US"/>
    </w:rPr>
  </w:style>
  <w:style w:type="paragraph" w:styleId="Textedebulles">
    <w:name w:val="Balloon Text"/>
    <w:basedOn w:val="Normal"/>
    <w:link w:val="TextedebullesCar"/>
    <w:uiPriority w:val="99"/>
    <w:semiHidden/>
    <w:unhideWhenUsed/>
    <w:rsid w:val="00DB5F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5F1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takeholders.ofcom.org.uk/binaries/research/tv-research/aerials_resear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B1413-AD21-4FAC-BF97-ABC8E384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2268</Words>
  <Characters>12932</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Antenna Installations and Reception modes vs. Location Probability</vt:lpstr>
      <vt:lpstr/>
    </vt:vector>
  </TitlesOfParts>
  <Company>EBU/UER</Company>
  <LinksUpToDate>false</LinksUpToDate>
  <CharactersWithSpaces>15170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Antenna Installations and Reception modes vs. Location Probability</dc:title>
  <dc:subject/>
  <dc:creator>EBU TECHNICAL</dc:creator>
  <cp:keywords/>
  <dc:description/>
  <cp:lastModifiedBy>Alexandre Kholod</cp:lastModifiedBy>
  <cp:revision>4</cp:revision>
  <cp:lastPrinted>2011-11-17T17:32:00Z</cp:lastPrinted>
  <dcterms:created xsi:type="dcterms:W3CDTF">2011-12-09T16:52:00Z</dcterms:created>
  <dcterms:modified xsi:type="dcterms:W3CDTF">2011-12-09T19:14:00Z</dcterms:modified>
</cp:coreProperties>
</file>