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803"/>
        <w:gridCol w:w="3786"/>
      </w:tblGrid>
      <w:tr w:rsidR="00D04883" w:rsidRPr="007C0931" w:rsidTr="00D04883">
        <w:trPr>
          <w:cantSplit/>
        </w:trPr>
        <w:tc>
          <w:tcPr>
            <w:tcW w:w="5574" w:type="dxa"/>
            <w:gridSpan w:val="2"/>
          </w:tcPr>
          <w:p w:rsidR="00D04883" w:rsidRPr="007C0931" w:rsidRDefault="00D04883" w:rsidP="00D04883">
            <w:pPr>
              <w:ind w:right="282"/>
              <w:rPr>
                <w:b/>
                <w:lang w:val="en-GB" w:eastAsia="de-DE"/>
              </w:rPr>
            </w:pPr>
            <w:r w:rsidRPr="007C0931">
              <w:rPr>
                <w:b/>
                <w:lang w:val="en-GB"/>
              </w:rPr>
              <w:br w:type="page"/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621790" cy="8426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D04883" w:rsidRPr="007C0931" w:rsidRDefault="00D04883" w:rsidP="00D04883">
            <w:pPr>
              <w:ind w:right="110"/>
              <w:jc w:val="right"/>
              <w:rPr>
                <w:b/>
                <w:lang w:val="en-GB"/>
              </w:rPr>
            </w:pPr>
            <w:r w:rsidRPr="007C0931">
              <w:rPr>
                <w:b/>
                <w:lang w:val="en-GB"/>
              </w:rPr>
              <w:t>SE43(1</w:t>
            </w:r>
            <w:r>
              <w:rPr>
                <w:b/>
                <w:lang w:val="en-GB"/>
              </w:rPr>
              <w:t>2</w:t>
            </w:r>
            <w:r w:rsidRPr="007C0931">
              <w:rPr>
                <w:b/>
                <w:lang w:val="en-GB"/>
              </w:rPr>
              <w:t>)</w:t>
            </w:r>
            <w:r w:rsidR="00C84289">
              <w:rPr>
                <w:b/>
                <w:lang w:val="en-GB"/>
              </w:rPr>
              <w:t>33</w:t>
            </w:r>
          </w:p>
          <w:p w:rsidR="00D04883" w:rsidRPr="007C0931" w:rsidRDefault="00D04883" w:rsidP="00D04883">
            <w:pPr>
              <w:ind w:right="110"/>
              <w:jc w:val="right"/>
              <w:rPr>
                <w:b/>
                <w:lang w:val="en-GB" w:eastAsia="de-DE"/>
              </w:rPr>
            </w:pPr>
          </w:p>
        </w:tc>
      </w:tr>
      <w:tr w:rsidR="00D04883" w:rsidRPr="007C0931" w:rsidTr="00D04883">
        <w:tc>
          <w:tcPr>
            <w:tcW w:w="5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83" w:rsidRPr="001A4718" w:rsidRDefault="00D04883" w:rsidP="00D04883">
            <w:pPr>
              <w:keepNext/>
              <w:ind w:right="-321"/>
              <w:outlineLvl w:val="3"/>
              <w:rPr>
                <w:b/>
              </w:rPr>
            </w:pPr>
            <w:r w:rsidRPr="001A4718">
              <w:rPr>
                <w:b/>
              </w:rPr>
              <w:t>1</w:t>
            </w:r>
            <w:r>
              <w:rPr>
                <w:b/>
              </w:rPr>
              <w:t>3</w:t>
            </w:r>
            <w:r w:rsidRPr="001A4718">
              <w:rPr>
                <w:b/>
                <w:vertAlign w:val="superscript"/>
              </w:rPr>
              <w:t>th</w:t>
            </w:r>
            <w:r w:rsidRPr="001A4718">
              <w:rPr>
                <w:b/>
              </w:rPr>
              <w:t xml:space="preserve"> meeting of SE43</w:t>
            </w:r>
          </w:p>
          <w:p w:rsidR="00D04883" w:rsidRPr="007C0931" w:rsidRDefault="00D04883" w:rsidP="00D04883">
            <w:pPr>
              <w:rPr>
                <w:b/>
                <w:lang w:val="en-GB" w:eastAsia="de-DE"/>
              </w:rPr>
            </w:pPr>
            <w:r>
              <w:rPr>
                <w:b/>
              </w:rPr>
              <w:t>Paris</w:t>
            </w:r>
            <w:r w:rsidRPr="001A4718">
              <w:rPr>
                <w:b/>
              </w:rPr>
              <w:t xml:space="preserve">, </w:t>
            </w:r>
            <w:r>
              <w:rPr>
                <w:b/>
              </w:rPr>
              <w:t>20</w:t>
            </w:r>
            <w:r w:rsidRPr="001A4718">
              <w:rPr>
                <w:b/>
              </w:rPr>
              <w:t xml:space="preserve"> – </w:t>
            </w:r>
            <w:r>
              <w:rPr>
                <w:b/>
              </w:rPr>
              <w:t>22</w:t>
            </w:r>
            <w:r w:rsidRPr="001A4718">
              <w:rPr>
                <w:b/>
              </w:rPr>
              <w:t xml:space="preserve"> </w:t>
            </w:r>
            <w:r>
              <w:rPr>
                <w:b/>
              </w:rPr>
              <w:t>March</w:t>
            </w:r>
            <w:r w:rsidRPr="001A4718">
              <w:rPr>
                <w:b/>
              </w:rPr>
              <w:t xml:space="preserve"> 201</w:t>
            </w:r>
            <w:r>
              <w:rPr>
                <w:b/>
              </w:rPr>
              <w:t>2</w:t>
            </w:r>
          </w:p>
        </w:tc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83" w:rsidRPr="007C0931" w:rsidRDefault="00D04883" w:rsidP="00D04883">
            <w:pPr>
              <w:pStyle w:val="Titre4"/>
              <w:ind w:right="324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04883" w:rsidRPr="007C0931" w:rsidTr="00D04883">
        <w:trPr>
          <w:trHeight w:val="454"/>
        </w:trPr>
        <w:tc>
          <w:tcPr>
            <w:tcW w:w="177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83" w:rsidRPr="007C0931" w:rsidRDefault="00D04883" w:rsidP="00D04883">
            <w:pPr>
              <w:pStyle w:val="Titre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7C0931">
              <w:rPr>
                <w:rFonts w:ascii="Times New Roman" w:hAnsi="Times New Roman"/>
                <w:szCs w:val="24"/>
              </w:rPr>
              <w:t>Date issued:</w:t>
            </w:r>
          </w:p>
        </w:tc>
        <w:tc>
          <w:tcPr>
            <w:tcW w:w="7589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83" w:rsidRPr="000F4ED0" w:rsidRDefault="00D04883" w:rsidP="00D04883">
            <w:pPr>
              <w:pStyle w:val="Titre4"/>
              <w:spacing w:before="60" w:after="60"/>
              <w:ind w:right="-108"/>
              <w:rPr>
                <w:rFonts w:ascii="Times New Roman" w:hAnsi="Times New Roman"/>
                <w:b w:val="0"/>
                <w:szCs w:val="24"/>
              </w:rPr>
            </w:pPr>
            <w:r w:rsidRPr="000F4ED0">
              <w:rPr>
                <w:rFonts w:ascii="Times New Roman" w:hAnsi="Times New Roman"/>
                <w:b w:val="0"/>
                <w:szCs w:val="24"/>
              </w:rPr>
              <w:t>16</w:t>
            </w:r>
            <w:r w:rsidRPr="000F4ED0">
              <w:rPr>
                <w:rFonts w:ascii="Times New Roman" w:hAnsi="Times New Roman"/>
                <w:b w:val="0"/>
                <w:szCs w:val="24"/>
                <w:vertAlign w:val="superscript"/>
              </w:rPr>
              <w:t>th</w:t>
            </w:r>
            <w:r w:rsidRPr="000F4ED0">
              <w:rPr>
                <w:rFonts w:ascii="Times New Roman" w:hAnsi="Times New Roman"/>
                <w:b w:val="0"/>
                <w:szCs w:val="24"/>
              </w:rPr>
              <w:t xml:space="preserve"> March 2012</w:t>
            </w:r>
          </w:p>
        </w:tc>
      </w:tr>
      <w:tr w:rsidR="00D04883" w:rsidRPr="007C0931" w:rsidTr="00D04883">
        <w:trPr>
          <w:trHeight w:val="454"/>
        </w:trPr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83" w:rsidRPr="007C0931" w:rsidRDefault="00D04883" w:rsidP="00D04883">
            <w:pPr>
              <w:pStyle w:val="Titre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7C0931">
              <w:rPr>
                <w:rFonts w:ascii="Times New Roman" w:hAnsi="Times New Roman"/>
                <w:szCs w:val="24"/>
              </w:rPr>
              <w:t>Source:</w:t>
            </w:r>
          </w:p>
        </w:tc>
        <w:tc>
          <w:tcPr>
            <w:tcW w:w="75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83" w:rsidRPr="000F4ED0" w:rsidRDefault="00D04883" w:rsidP="00D04883">
            <w:pPr>
              <w:pStyle w:val="Titre4"/>
              <w:spacing w:before="60" w:after="60"/>
              <w:ind w:right="-108"/>
              <w:rPr>
                <w:rFonts w:ascii="Times New Roman" w:hAnsi="Times New Roman"/>
                <w:b w:val="0"/>
                <w:szCs w:val="24"/>
              </w:rPr>
            </w:pPr>
            <w:r w:rsidRPr="000F4ED0">
              <w:rPr>
                <w:rFonts w:ascii="Times New Roman" w:hAnsi="Times New Roman"/>
                <w:b w:val="0"/>
                <w:szCs w:val="24"/>
              </w:rPr>
              <w:t>ECO</w:t>
            </w:r>
          </w:p>
        </w:tc>
      </w:tr>
      <w:tr w:rsidR="00D04883" w:rsidRPr="007C0931" w:rsidTr="00D04883">
        <w:trPr>
          <w:trHeight w:val="454"/>
        </w:trPr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83" w:rsidRPr="007C0931" w:rsidRDefault="00D04883" w:rsidP="00D04883">
            <w:pPr>
              <w:pStyle w:val="Titre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7C0931">
              <w:rPr>
                <w:rFonts w:ascii="Times New Roman" w:hAnsi="Times New Roman"/>
                <w:szCs w:val="24"/>
              </w:rPr>
              <w:t>Subject:</w:t>
            </w:r>
          </w:p>
        </w:tc>
        <w:tc>
          <w:tcPr>
            <w:tcW w:w="75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83" w:rsidRPr="004F4636" w:rsidRDefault="001D1FC5" w:rsidP="001D1FC5">
            <w:pPr>
              <w:pStyle w:val="Titre4"/>
              <w:spacing w:before="60" w:after="60"/>
              <w:ind w:right="-108"/>
              <w:rPr>
                <w:rFonts w:ascii="Times New Roman" w:hAnsi="Times New Roman"/>
                <w:b w:val="0"/>
                <w:szCs w:val="24"/>
              </w:rPr>
            </w:pPr>
            <w:r w:rsidRPr="004F4636">
              <w:rPr>
                <w:rFonts w:ascii="Times New Roman" w:hAnsi="Times New Roman"/>
                <w:b w:val="0"/>
                <w:szCs w:val="24"/>
              </w:rPr>
              <w:t>Tables of abbreviations to be added to the complementary reports to ECC Report 159</w:t>
            </w:r>
          </w:p>
          <w:p w:rsidR="00C73007" w:rsidRPr="00C73007" w:rsidRDefault="00C73007" w:rsidP="001A1463">
            <w:pPr>
              <w:rPr>
                <w:lang w:val="en-GB" w:eastAsia="de-DE"/>
              </w:rPr>
            </w:pPr>
            <w:r w:rsidRPr="00656200">
              <w:rPr>
                <w:rFonts w:ascii="Times New Roman" w:hAnsi="Times New Roman"/>
                <w:sz w:val="24"/>
                <w:lang w:val="en-GB" w:eastAsia="de-DE"/>
              </w:rPr>
              <w:t xml:space="preserve">It is also proposed to add a </w:t>
            </w:r>
            <w:r w:rsidR="008C0413" w:rsidRPr="00656200">
              <w:rPr>
                <w:rFonts w:ascii="Times New Roman" w:hAnsi="Times New Roman"/>
                <w:sz w:val="24"/>
                <w:lang w:val="en-GB" w:eastAsia="de-DE"/>
              </w:rPr>
              <w:t>sentence</w:t>
            </w:r>
            <w:r w:rsidR="001A1463">
              <w:rPr>
                <w:rFonts w:ascii="Times New Roman" w:hAnsi="Times New Roman"/>
                <w:sz w:val="24"/>
                <w:lang w:val="en-GB" w:eastAsia="de-DE"/>
              </w:rPr>
              <w:t xml:space="preserve"> </w:t>
            </w:r>
            <w:r w:rsidR="001A1463" w:rsidRPr="001A1463">
              <w:rPr>
                <w:rFonts w:ascii="Times New Roman" w:hAnsi="Times New Roman"/>
                <w:sz w:val="24"/>
                <w:lang w:val="en-GB" w:eastAsia="de-DE"/>
              </w:rPr>
              <w:t xml:space="preserve">at the end of Section 3.1 </w:t>
            </w:r>
            <w:r w:rsidRPr="00656200">
              <w:rPr>
                <w:rFonts w:ascii="Times New Roman" w:hAnsi="Times New Roman"/>
                <w:sz w:val="24"/>
                <w:lang w:val="en-GB" w:eastAsia="de-DE"/>
              </w:rPr>
              <w:t>in order to make a</w:t>
            </w:r>
            <w:r w:rsidR="00A24198" w:rsidRPr="00656200">
              <w:rPr>
                <w:rFonts w:ascii="Times New Roman" w:hAnsi="Times New Roman"/>
                <w:sz w:val="24"/>
                <w:lang w:val="en-GB" w:eastAsia="de-DE"/>
              </w:rPr>
              <w:t xml:space="preserve"> link between Annex 6</w:t>
            </w:r>
            <w:r w:rsidRPr="00656200">
              <w:rPr>
                <w:rFonts w:ascii="Times New Roman" w:hAnsi="Times New Roman"/>
                <w:sz w:val="24"/>
                <w:lang w:val="en-GB" w:eastAsia="de-DE"/>
              </w:rPr>
              <w:t xml:space="preserve"> and main body of the complementary Report on further definition of technical and operational requirements for the operation of white space devices in the band 470-790 MHz.</w:t>
            </w:r>
            <w:r w:rsidRPr="004F4636">
              <w:t xml:space="preserve"> </w:t>
            </w:r>
          </w:p>
        </w:tc>
      </w:tr>
    </w:tbl>
    <w:p w:rsidR="00D04883" w:rsidRPr="007C0931" w:rsidRDefault="00D04883" w:rsidP="00D04883">
      <w:pPr>
        <w:pStyle w:val="SimonsStyle"/>
        <w:jc w:val="both"/>
        <w:rPr>
          <w:rFonts w:ascii="Times New Roman" w:hAnsi="Times New Roman"/>
          <w:sz w:val="4"/>
          <w:szCs w:val="4"/>
        </w:rPr>
      </w:pPr>
    </w:p>
    <w:tbl>
      <w:tblPr>
        <w:tblW w:w="16952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8"/>
        <w:gridCol w:w="7592"/>
        <w:gridCol w:w="7592"/>
      </w:tblGrid>
      <w:tr w:rsidR="00D04883" w:rsidRPr="001A4718" w:rsidTr="00D04883">
        <w:trPr>
          <w:trHeight w:val="454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83" w:rsidRPr="005A0AD4" w:rsidRDefault="00D04883" w:rsidP="00D04883">
            <w:pPr>
              <w:pStyle w:val="Titre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5A0AD4">
              <w:rPr>
                <w:rFonts w:ascii="Times New Roman" w:hAnsi="Times New Roman"/>
                <w:szCs w:val="24"/>
              </w:rPr>
              <w:t>Proposal: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883" w:rsidRPr="004F4636" w:rsidRDefault="00D04883" w:rsidP="00D04883">
            <w:pPr>
              <w:pStyle w:val="Titre4"/>
              <w:spacing w:before="60" w:after="60"/>
              <w:ind w:right="-108"/>
              <w:rPr>
                <w:rFonts w:ascii="Times New Roman" w:hAnsi="Times New Roman"/>
                <w:b w:val="0"/>
                <w:szCs w:val="24"/>
              </w:rPr>
            </w:pPr>
            <w:r w:rsidRPr="004F4636">
              <w:rPr>
                <w:rFonts w:ascii="Times New Roman" w:hAnsi="Times New Roman"/>
                <w:b w:val="0"/>
                <w:szCs w:val="24"/>
              </w:rPr>
              <w:t xml:space="preserve">For </w:t>
            </w:r>
            <w:r w:rsidR="001D1FC5" w:rsidRPr="004F4636">
              <w:rPr>
                <w:rFonts w:ascii="Times New Roman" w:hAnsi="Times New Roman"/>
                <w:b w:val="0"/>
                <w:szCs w:val="24"/>
              </w:rPr>
              <w:t>inclusion into complementary r</w:t>
            </w:r>
            <w:r w:rsidRPr="004F4636">
              <w:rPr>
                <w:rFonts w:ascii="Times New Roman" w:hAnsi="Times New Roman"/>
                <w:b w:val="0"/>
                <w:szCs w:val="24"/>
              </w:rPr>
              <w:t xml:space="preserve">eports </w:t>
            </w:r>
            <w:r w:rsidR="001D1FC5" w:rsidRPr="004F4636">
              <w:rPr>
                <w:rFonts w:ascii="Times New Roman" w:hAnsi="Times New Roman"/>
                <w:b w:val="0"/>
                <w:szCs w:val="24"/>
              </w:rPr>
              <w:t>to ECC Report 159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83" w:rsidRPr="005A0AD4" w:rsidRDefault="00D04883" w:rsidP="00D04883">
            <w:pPr>
              <w:pStyle w:val="Titre4"/>
              <w:spacing w:before="60" w:after="60"/>
              <w:ind w:right="-108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D04883" w:rsidRDefault="00D04883" w:rsidP="00A602DC"/>
    <w:p w:rsidR="00D04883" w:rsidRDefault="00D04883" w:rsidP="00A602DC"/>
    <w:p w:rsidR="008C0413" w:rsidRDefault="00BF2AD6" w:rsidP="008C0413">
      <w:pPr>
        <w:pStyle w:val="Paragraphedeliste"/>
        <w:numPr>
          <w:ilvl w:val="0"/>
          <w:numId w:val="1"/>
        </w:numPr>
      </w:pPr>
      <w:r>
        <w:t>In order to make a link between</w:t>
      </w:r>
      <w:r w:rsidR="008C0413">
        <w:t xml:space="preserve"> </w:t>
      </w:r>
      <w:r w:rsidRPr="00B3390F">
        <w:t xml:space="preserve">Annex </w:t>
      </w:r>
      <w:r>
        <w:t>6</w:t>
      </w:r>
      <w:r w:rsidR="008C0413" w:rsidRPr="008C0413">
        <w:t xml:space="preserve"> and main body of the complementary Report on further definition of technical and operational requirements for the operation of white space devices in the band 470-790 MHz</w:t>
      </w:r>
      <w:r w:rsidR="008C0413">
        <w:t xml:space="preserve"> it is proposed to add a followi</w:t>
      </w:r>
      <w:r w:rsidR="006D1AEC">
        <w:t>ng sentence</w:t>
      </w:r>
      <w:r w:rsidR="0058006F">
        <w:t xml:space="preserve"> at the end of</w:t>
      </w:r>
      <w:r w:rsidR="008C0413">
        <w:t xml:space="preserve"> </w:t>
      </w:r>
      <w:r w:rsidR="0058006F">
        <w:t xml:space="preserve">Section 3.1 dealing with consideration on the protection of broadcasting service: </w:t>
      </w:r>
    </w:p>
    <w:p w:rsidR="00295284" w:rsidRDefault="00295284" w:rsidP="00295284">
      <w:pPr>
        <w:pStyle w:val="Paragraphedeliste"/>
        <w:ind w:left="360"/>
      </w:pPr>
    </w:p>
    <w:p w:rsidR="00E46A9D" w:rsidRDefault="006D1AEC" w:rsidP="00295284">
      <w:pPr>
        <w:pStyle w:val="Paragraphedeliste"/>
        <w:ind w:left="360"/>
      </w:pPr>
      <w:r>
        <w:t xml:space="preserve">Annex 6 to this Report </w:t>
      </w:r>
      <w:r w:rsidR="00E46A9D">
        <w:t xml:space="preserve">presents a set of definitions used for the determination interference into DTT </w:t>
      </w:r>
      <w:bookmarkStart w:id="0" w:name="_GoBack"/>
      <w:bookmarkEnd w:id="0"/>
      <w:r w:rsidR="00E46A9D">
        <w:t xml:space="preserve">including </w:t>
      </w:r>
      <w:r>
        <w:t xml:space="preserve">a </w:t>
      </w:r>
      <w:r w:rsidRPr="00E415EC">
        <w:t>concept of ‘degradation of location probability’</w:t>
      </w:r>
      <w:r>
        <w:t xml:space="preserve"> and the</w:t>
      </w:r>
      <w:r w:rsidR="00B3390F">
        <w:t>’</w:t>
      </w:r>
      <w:r>
        <w:t xml:space="preserve"> </w:t>
      </w:r>
      <w:r w:rsidR="00B3390F">
        <w:t>increasing of interference</w:t>
      </w:r>
      <w:r w:rsidR="00295284">
        <w:t xml:space="preserve"> probability</w:t>
      </w:r>
      <w:r w:rsidR="00B3390F">
        <w:t>’</w:t>
      </w:r>
      <w:r w:rsidR="0058006F">
        <w:t xml:space="preserve"> as well as </w:t>
      </w:r>
      <w:r w:rsidR="00B3390F" w:rsidRPr="00E415EC">
        <w:t>the relationship between the two parameters</w:t>
      </w:r>
      <w:r w:rsidR="003F53A8">
        <w:t xml:space="preserve">. </w:t>
      </w:r>
    </w:p>
    <w:p w:rsidR="00295284" w:rsidRDefault="003F53A8" w:rsidP="00295284">
      <w:pPr>
        <w:pStyle w:val="Paragraphedeliste"/>
        <w:ind w:left="360"/>
      </w:pPr>
      <w:r>
        <w:t>The</w:t>
      </w:r>
      <w:r w:rsidR="0058006F">
        <w:t xml:space="preserve"> Annex is also describes </w:t>
      </w:r>
      <w:r w:rsidR="0058006F" w:rsidRPr="00E415EC">
        <w:t xml:space="preserve">a methodology and the associated parameters </w:t>
      </w:r>
      <w:r>
        <w:t>in order to evaluate</w:t>
      </w:r>
      <w:r w:rsidR="009741C3">
        <w:t xml:space="preserve"> location probability and interference probability</w:t>
      </w:r>
      <w:r w:rsidR="0058006F" w:rsidRPr="00E415EC">
        <w:t xml:space="preserve"> when calculations are to be performed to determine the interference potential to DTT reception</w:t>
      </w:r>
      <w:r w:rsidR="0058006F">
        <w:t xml:space="preserve">. Calculations were performed using SEAMCAT tool (free software downloadable from </w:t>
      </w:r>
      <w:hyperlink r:id="rId7" w:history="1">
        <w:r w:rsidR="0058006F" w:rsidRPr="0018568A">
          <w:rPr>
            <w:rStyle w:val="Lienhypertexte"/>
          </w:rPr>
          <w:t>www.seamcat.org</w:t>
        </w:r>
      </w:hyperlink>
      <w:r w:rsidR="0058006F">
        <w:t xml:space="preserve">). </w:t>
      </w:r>
    </w:p>
    <w:p w:rsidR="008C0413" w:rsidRDefault="008C0413" w:rsidP="008C0413"/>
    <w:p w:rsidR="00D04883" w:rsidRDefault="00D04883" w:rsidP="001D1FC5"/>
    <w:p w:rsidR="00A602DC" w:rsidRDefault="001D1FC5" w:rsidP="001D1FC5">
      <w:pPr>
        <w:pStyle w:val="Paragraphedeliste"/>
        <w:numPr>
          <w:ilvl w:val="0"/>
          <w:numId w:val="1"/>
        </w:numPr>
        <w:ind w:left="426" w:hanging="426"/>
      </w:pPr>
      <w:r>
        <w:t>Table</w:t>
      </w:r>
      <w:r w:rsidRPr="001D1FC5">
        <w:t xml:space="preserve"> of abbreviations to </w:t>
      </w:r>
      <w:r>
        <w:t xml:space="preserve">be added to </w:t>
      </w:r>
      <w:r w:rsidRPr="001D1FC5">
        <w:t xml:space="preserve">the working document towards </w:t>
      </w:r>
      <w:r w:rsidR="00A602DC">
        <w:t xml:space="preserve">Complementary Report to ECC Report 159 on further definition of technical and operational requirements for the operation of white space </w:t>
      </w:r>
      <w:r w:rsidR="00483944">
        <w:t>devices in the band 470-790 MHz</w:t>
      </w:r>
      <w:r w:rsidR="00A602DC">
        <w:t xml:space="preserve">. </w:t>
      </w:r>
    </w:p>
    <w:p w:rsidR="00A602DC" w:rsidRDefault="00A602DC" w:rsidP="00A602DC"/>
    <w:p w:rsidR="00A602DC" w:rsidRDefault="00A602DC" w:rsidP="00A602DC"/>
    <w:tbl>
      <w:tblPr>
        <w:tblW w:w="0" w:type="auto"/>
        <w:tblCellMar>
          <w:top w:w="11" w:type="dxa"/>
          <w:bottom w:w="11" w:type="dxa"/>
        </w:tblCellMar>
        <w:tblLook w:val="01E0"/>
      </w:tblPr>
      <w:tblGrid>
        <w:gridCol w:w="2088"/>
        <w:gridCol w:w="7766"/>
      </w:tblGrid>
      <w:tr w:rsidR="00A602DC" w:rsidTr="00BB3CB9">
        <w:trPr>
          <w:trHeight w:val="76"/>
        </w:trPr>
        <w:tc>
          <w:tcPr>
            <w:tcW w:w="2088" w:type="dxa"/>
          </w:tcPr>
          <w:p w:rsidR="00A602DC" w:rsidRPr="00A602DC" w:rsidRDefault="00A602DC" w:rsidP="00D04883">
            <w:pPr>
              <w:spacing w:line="288" w:lineRule="auto"/>
              <w:rPr>
                <w:rFonts w:cs="Arial"/>
                <w:b/>
                <w:color w:val="D2232A"/>
                <w:szCs w:val="20"/>
              </w:rPr>
            </w:pPr>
            <w:r w:rsidRPr="00A602DC">
              <w:rPr>
                <w:rFonts w:cs="Arial"/>
                <w:b/>
                <w:color w:val="D2232A"/>
                <w:szCs w:val="20"/>
              </w:rPr>
              <w:t>Abbreviation</w:t>
            </w:r>
          </w:p>
        </w:tc>
        <w:tc>
          <w:tcPr>
            <w:tcW w:w="7766" w:type="dxa"/>
          </w:tcPr>
          <w:p w:rsidR="00A602DC" w:rsidRPr="00A602DC" w:rsidRDefault="00D04883" w:rsidP="00D04883">
            <w:pPr>
              <w:spacing w:line="288" w:lineRule="auto"/>
              <w:rPr>
                <w:rFonts w:cs="Arial"/>
                <w:b/>
                <w:color w:val="D2232A"/>
                <w:szCs w:val="20"/>
              </w:rPr>
            </w:pPr>
            <w:r>
              <w:rPr>
                <w:rFonts w:cs="Arial"/>
                <w:b/>
                <w:color w:val="D2232A"/>
                <w:szCs w:val="20"/>
              </w:rPr>
              <w:t xml:space="preserve">Explanation </w:t>
            </w:r>
          </w:p>
        </w:tc>
      </w:tr>
      <w:tr w:rsidR="00A602DC" w:rsidTr="00BB3CB9">
        <w:tc>
          <w:tcPr>
            <w:tcW w:w="2088" w:type="dxa"/>
          </w:tcPr>
          <w:p w:rsidR="00A602DC" w:rsidRPr="00CA6D67" w:rsidRDefault="00A602DC" w:rsidP="00D04883">
            <w:pPr>
              <w:spacing w:line="288" w:lineRule="auto"/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CEPT</w:t>
            </w:r>
          </w:p>
        </w:tc>
        <w:tc>
          <w:tcPr>
            <w:tcW w:w="7766" w:type="dxa"/>
          </w:tcPr>
          <w:p w:rsidR="00A602DC" w:rsidRPr="00A602DC" w:rsidRDefault="00A602DC" w:rsidP="00D04883">
            <w:pPr>
              <w:spacing w:line="288" w:lineRule="auto"/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European Conference of Postal and Telecommunications Administrations</w:t>
            </w:r>
          </w:p>
        </w:tc>
      </w:tr>
      <w:tr w:rsidR="00A602DC" w:rsidTr="00BB3CB9">
        <w:tc>
          <w:tcPr>
            <w:tcW w:w="2088" w:type="dxa"/>
          </w:tcPr>
          <w:p w:rsidR="00A602DC" w:rsidRPr="00CA6D67" w:rsidRDefault="00A602DC" w:rsidP="00D04883">
            <w:pPr>
              <w:spacing w:line="288" w:lineRule="auto"/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ECC</w:t>
            </w:r>
          </w:p>
        </w:tc>
        <w:tc>
          <w:tcPr>
            <w:tcW w:w="7766" w:type="dxa"/>
          </w:tcPr>
          <w:p w:rsidR="00A602DC" w:rsidRPr="00A602DC" w:rsidRDefault="00A602DC" w:rsidP="00D04883">
            <w:pPr>
              <w:pStyle w:val="ECCParagraph"/>
              <w:spacing w:after="0" w:line="288" w:lineRule="auto"/>
              <w:jc w:val="left"/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Electronic Communications Committee</w:t>
            </w:r>
          </w:p>
        </w:tc>
      </w:tr>
      <w:tr w:rsidR="00B33E16" w:rsidTr="00BB3CB9">
        <w:tc>
          <w:tcPr>
            <w:tcW w:w="2088" w:type="dxa"/>
          </w:tcPr>
          <w:p w:rsidR="00B33E16" w:rsidRPr="00CA6D67" w:rsidRDefault="00B33E16" w:rsidP="00D04883">
            <w:pPr>
              <w:spacing w:line="288" w:lineRule="auto"/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EMC</w:t>
            </w:r>
          </w:p>
        </w:tc>
        <w:tc>
          <w:tcPr>
            <w:tcW w:w="7766" w:type="dxa"/>
          </w:tcPr>
          <w:p w:rsidR="00B33E16" w:rsidRPr="00A602DC" w:rsidRDefault="00B33E16" w:rsidP="00D04883">
            <w:pPr>
              <w:pStyle w:val="ECCParagraph"/>
              <w:spacing w:after="0" w:line="288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Electromagnetic compatibility </w:t>
            </w:r>
          </w:p>
        </w:tc>
      </w:tr>
      <w:tr w:rsidR="00B33E16" w:rsidTr="00BB3CB9">
        <w:tc>
          <w:tcPr>
            <w:tcW w:w="2088" w:type="dxa"/>
          </w:tcPr>
          <w:p w:rsidR="00B33E16" w:rsidRPr="00CA6D67" w:rsidRDefault="00B33E16" w:rsidP="00D04883">
            <w:pPr>
              <w:spacing w:line="288" w:lineRule="auto"/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EBU</w:t>
            </w:r>
          </w:p>
        </w:tc>
        <w:tc>
          <w:tcPr>
            <w:tcW w:w="7766" w:type="dxa"/>
          </w:tcPr>
          <w:p w:rsidR="00B33E16" w:rsidRDefault="00B33E16" w:rsidP="00D04883">
            <w:pPr>
              <w:pStyle w:val="ECCParagraph"/>
              <w:spacing w:after="0" w:line="288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European Broadcasting Union </w:t>
            </w:r>
          </w:p>
        </w:tc>
      </w:tr>
      <w:tr w:rsidR="00A602DC" w:rsidTr="00BB3CB9">
        <w:tc>
          <w:tcPr>
            <w:tcW w:w="2088" w:type="dxa"/>
          </w:tcPr>
          <w:p w:rsidR="00A602DC" w:rsidRPr="00CA6D67" w:rsidRDefault="00A602DC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ACLR</w:t>
            </w:r>
          </w:p>
        </w:tc>
        <w:tc>
          <w:tcPr>
            <w:tcW w:w="7766" w:type="dxa"/>
          </w:tcPr>
          <w:p w:rsidR="00A602DC" w:rsidRPr="00A602DC" w:rsidRDefault="00A602DC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Adjacent Channel Leakage Ratio</w:t>
            </w:r>
          </w:p>
        </w:tc>
      </w:tr>
      <w:tr w:rsidR="00A602DC" w:rsidTr="00BB3CB9">
        <w:tc>
          <w:tcPr>
            <w:tcW w:w="2088" w:type="dxa"/>
          </w:tcPr>
          <w:p w:rsidR="00A602DC" w:rsidRPr="00CA6D67" w:rsidRDefault="00A602DC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ACS</w:t>
            </w:r>
          </w:p>
        </w:tc>
        <w:tc>
          <w:tcPr>
            <w:tcW w:w="7766" w:type="dxa"/>
          </w:tcPr>
          <w:p w:rsidR="00A602DC" w:rsidRPr="00A602DC" w:rsidRDefault="00A602DC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Adjacent Channel Selectivity</w:t>
            </w:r>
          </w:p>
        </w:tc>
      </w:tr>
      <w:tr w:rsidR="00A602DC" w:rsidTr="00BB3CB9">
        <w:tc>
          <w:tcPr>
            <w:tcW w:w="2088" w:type="dxa"/>
          </w:tcPr>
          <w:p w:rsidR="00A602DC" w:rsidRPr="00CA6D67" w:rsidRDefault="00A602DC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ARNS</w:t>
            </w:r>
          </w:p>
        </w:tc>
        <w:tc>
          <w:tcPr>
            <w:tcW w:w="7766" w:type="dxa"/>
          </w:tcPr>
          <w:p w:rsidR="00A602DC" w:rsidRPr="00A602DC" w:rsidRDefault="00A602DC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 xml:space="preserve">Aeronautical Radionavigation Service </w:t>
            </w:r>
          </w:p>
        </w:tc>
      </w:tr>
      <w:tr w:rsidR="00A602DC" w:rsidTr="00BB3CB9">
        <w:tc>
          <w:tcPr>
            <w:tcW w:w="2088" w:type="dxa"/>
          </w:tcPr>
          <w:p w:rsidR="00A602DC" w:rsidRPr="00CA6D67" w:rsidRDefault="00A602DC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AWGN</w:t>
            </w:r>
          </w:p>
        </w:tc>
        <w:tc>
          <w:tcPr>
            <w:tcW w:w="7766" w:type="dxa"/>
          </w:tcPr>
          <w:p w:rsidR="00A602DC" w:rsidRPr="00A602DC" w:rsidRDefault="00A602DC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Additive White Gaussian Noise</w:t>
            </w:r>
          </w:p>
        </w:tc>
      </w:tr>
      <w:tr w:rsidR="00A602DC" w:rsidTr="00BB3CB9">
        <w:tc>
          <w:tcPr>
            <w:tcW w:w="2088" w:type="dxa"/>
          </w:tcPr>
          <w:p w:rsidR="00A602DC" w:rsidRPr="00CA6D67" w:rsidRDefault="00A602DC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BPL</w:t>
            </w:r>
          </w:p>
        </w:tc>
        <w:tc>
          <w:tcPr>
            <w:tcW w:w="7766" w:type="dxa"/>
          </w:tcPr>
          <w:p w:rsidR="00A602DC" w:rsidRPr="00A602DC" w:rsidRDefault="00A602DC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Building Penetration Loss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F021E4">
            <w:pPr>
              <w:spacing w:line="288" w:lineRule="auto"/>
              <w:rPr>
                <w:b/>
              </w:rPr>
            </w:pPr>
            <w:r w:rsidRPr="00CA6D67">
              <w:rPr>
                <w:b/>
              </w:rPr>
              <w:t>BS</w:t>
            </w:r>
          </w:p>
        </w:tc>
        <w:tc>
          <w:tcPr>
            <w:tcW w:w="7766" w:type="dxa"/>
          </w:tcPr>
          <w:p w:rsidR="00E95CA1" w:rsidRPr="006C77B0" w:rsidRDefault="00E95CA1" w:rsidP="00F021E4">
            <w:pPr>
              <w:spacing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Base station 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BS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Broadcasting Service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CCDF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Complementary Cumulative Distribution Function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lastRenderedPageBreak/>
              <w:t>CDMA</w:t>
            </w:r>
          </w:p>
        </w:tc>
        <w:tc>
          <w:tcPr>
            <w:tcW w:w="7766" w:type="dxa"/>
          </w:tcPr>
          <w:p w:rsidR="00E95CA1" w:rsidRPr="00A602DC" w:rsidRDefault="00CA6D67" w:rsidP="00D04883">
            <w:pPr>
              <w:rPr>
                <w:rFonts w:cs="Arial"/>
                <w:szCs w:val="20"/>
              </w:rPr>
            </w:pPr>
            <w:r w:rsidRPr="00CA6D67">
              <w:rPr>
                <w:rFonts w:cs="Arial"/>
                <w:szCs w:val="20"/>
              </w:rPr>
              <w:t>Code division multiple access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color w:val="000000"/>
                <w:szCs w:val="20"/>
              </w:rPr>
              <w:t>CPE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Customer Premise Equipment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CRS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Cognitive Radio System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DTT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Digital Terrestrial Television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DTV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 xml:space="preserve">Digital Television 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DVB-T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Digital Video Broadcasting – Terrestrial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DVB-H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Digital Video Broadcasting- Handheld</w:t>
            </w:r>
          </w:p>
        </w:tc>
      </w:tr>
      <w:tr w:rsidR="004A064F" w:rsidTr="00BB3CB9">
        <w:tc>
          <w:tcPr>
            <w:tcW w:w="2088" w:type="dxa"/>
          </w:tcPr>
          <w:p w:rsidR="004A064F" w:rsidRPr="00CA6D67" w:rsidRDefault="004A064F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DPSA</w:t>
            </w:r>
          </w:p>
        </w:tc>
        <w:tc>
          <w:tcPr>
            <w:tcW w:w="7766" w:type="dxa"/>
          </w:tcPr>
          <w:p w:rsidR="004A064F" w:rsidRPr="00A602DC" w:rsidRDefault="004A064F" w:rsidP="00D04883">
            <w:pPr>
              <w:rPr>
                <w:rFonts w:cs="Arial"/>
                <w:szCs w:val="20"/>
              </w:rPr>
            </w:pPr>
            <w:r w:rsidRPr="004A064F">
              <w:rPr>
                <w:rFonts w:cs="Arial"/>
                <w:szCs w:val="20"/>
              </w:rPr>
              <w:t>Digital Preferred Service Area</w:t>
            </w:r>
          </w:p>
        </w:tc>
      </w:tr>
      <w:tr w:rsidR="001158F3" w:rsidTr="00BB3CB9">
        <w:tc>
          <w:tcPr>
            <w:tcW w:w="2088" w:type="dxa"/>
          </w:tcPr>
          <w:p w:rsidR="001158F3" w:rsidRPr="00CA6D67" w:rsidRDefault="001158F3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DSO</w:t>
            </w:r>
          </w:p>
        </w:tc>
        <w:tc>
          <w:tcPr>
            <w:tcW w:w="7766" w:type="dxa"/>
          </w:tcPr>
          <w:p w:rsidR="001158F3" w:rsidRPr="00A602DC" w:rsidRDefault="001158F3" w:rsidP="00D04883">
            <w:pPr>
              <w:rPr>
                <w:rFonts w:cs="Arial"/>
                <w:szCs w:val="20"/>
              </w:rPr>
            </w:pPr>
            <w:r>
              <w:t>Digital switch over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e.i.r.p.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Equivalent isotropically radiated power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ECN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 xml:space="preserve">Electronic Communication Network 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ETSI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European Telecommunications Standards Institute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ETSI TC RRS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 xml:space="preserve">Technical Committee Reconfigurable Radio Systems 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FCC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Federal Communications Commission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FDD</w:t>
            </w:r>
          </w:p>
        </w:tc>
        <w:tc>
          <w:tcPr>
            <w:tcW w:w="7766" w:type="dxa"/>
          </w:tcPr>
          <w:p w:rsidR="00E95CA1" w:rsidRPr="00A602DC" w:rsidRDefault="00CA6D67" w:rsidP="00D048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Frequency-division duplex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FM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Frequency modulation 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FSK</w:t>
            </w:r>
          </w:p>
        </w:tc>
        <w:tc>
          <w:tcPr>
            <w:tcW w:w="7766" w:type="dxa"/>
          </w:tcPr>
          <w:p w:rsidR="00E95CA1" w:rsidRDefault="00CA6D67" w:rsidP="00D04883">
            <w:pPr>
              <w:rPr>
                <w:rFonts w:cs="Arial"/>
                <w:szCs w:val="20"/>
              </w:rPr>
            </w:pPr>
            <w:r w:rsidRPr="00CA6D67">
              <w:rPr>
                <w:rFonts w:cs="Arial"/>
                <w:szCs w:val="20"/>
              </w:rPr>
              <w:t>Frequency-shift keying</w:t>
            </w:r>
          </w:p>
        </w:tc>
      </w:tr>
      <w:tr w:rsidR="0067031A" w:rsidTr="00BB3CB9">
        <w:tc>
          <w:tcPr>
            <w:tcW w:w="2088" w:type="dxa"/>
          </w:tcPr>
          <w:p w:rsidR="0067031A" w:rsidRPr="00CA6D67" w:rsidRDefault="0067031A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FPGA</w:t>
            </w:r>
          </w:p>
        </w:tc>
        <w:tc>
          <w:tcPr>
            <w:tcW w:w="7766" w:type="dxa"/>
          </w:tcPr>
          <w:p w:rsidR="0067031A" w:rsidRDefault="00CA6D67" w:rsidP="00D04883">
            <w:pPr>
              <w:rPr>
                <w:rFonts w:cs="Arial"/>
                <w:szCs w:val="20"/>
              </w:rPr>
            </w:pPr>
            <w:r w:rsidRPr="00CA6D67">
              <w:rPr>
                <w:rFonts w:cs="Arial"/>
                <w:szCs w:val="20"/>
                <w:highlight w:val="yellow"/>
              </w:rPr>
              <w:t>Field-programmable gate array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FWA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color w:val="000000"/>
                <w:szCs w:val="20"/>
              </w:rPr>
              <w:t>Fixed Wireless Access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IEEE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color w:val="000000"/>
                <w:szCs w:val="20"/>
              </w:rPr>
            </w:pPr>
            <w:r w:rsidRPr="00A602DC">
              <w:rPr>
                <w:rFonts w:cs="Arial"/>
                <w:color w:val="000000"/>
                <w:szCs w:val="20"/>
              </w:rPr>
              <w:t xml:space="preserve">Institute of Electrical and Electronics Engineers  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IEM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In-Ear Monitoring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IMD</w:t>
            </w:r>
          </w:p>
        </w:tc>
        <w:tc>
          <w:tcPr>
            <w:tcW w:w="7766" w:type="dxa"/>
          </w:tcPr>
          <w:p w:rsidR="00E95CA1" w:rsidRPr="00A602DC" w:rsidRDefault="00E95CA1" w:rsidP="00793D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Inter-Modulation Distortion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IP</w:t>
            </w:r>
          </w:p>
        </w:tc>
        <w:tc>
          <w:tcPr>
            <w:tcW w:w="7766" w:type="dxa"/>
          </w:tcPr>
          <w:p w:rsidR="00E95CA1" w:rsidRDefault="00E95CA1" w:rsidP="00D048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Interference probability 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LBT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Listen Before Talk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LP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 xml:space="preserve">Location Probability 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Del="00401F48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LTE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color w:val="000000"/>
                <w:szCs w:val="20"/>
              </w:rPr>
              <w:t>Long Term Evolution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b/>
                <w:lang w:val="en-GB"/>
              </w:rPr>
              <w:t>M-to-M</w:t>
            </w:r>
          </w:p>
        </w:tc>
        <w:tc>
          <w:tcPr>
            <w:tcW w:w="7766" w:type="dxa"/>
          </w:tcPr>
          <w:p w:rsidR="00E95CA1" w:rsidRPr="00A602DC" w:rsidRDefault="00E95CA1" w:rsidP="00825A4A">
            <w:pPr>
              <w:rPr>
                <w:rFonts w:cs="Arial"/>
                <w:color w:val="000000"/>
                <w:szCs w:val="20"/>
              </w:rPr>
            </w:pPr>
            <w:r>
              <w:t>M</w:t>
            </w:r>
            <w:r w:rsidRPr="00B23A09">
              <w:t>achine-to-</w:t>
            </w:r>
            <w:r>
              <w:t>M</w:t>
            </w:r>
            <w:r w:rsidRPr="00B23A09">
              <w:t>achine</w:t>
            </w:r>
            <w:r>
              <w:t xml:space="preserve"> communication 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MCL</w:t>
            </w:r>
          </w:p>
        </w:tc>
        <w:tc>
          <w:tcPr>
            <w:tcW w:w="7766" w:type="dxa"/>
          </w:tcPr>
          <w:p w:rsidR="00E95CA1" w:rsidRPr="00A602DC" w:rsidRDefault="00A91C5D" w:rsidP="00D04883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Minimum coupling loss</w:t>
            </w:r>
          </w:p>
        </w:tc>
      </w:tr>
      <w:tr w:rsidR="00E95CA1" w:rsidTr="00BB3CB9">
        <w:tc>
          <w:tcPr>
            <w:tcW w:w="2088" w:type="dxa"/>
          </w:tcPr>
          <w:p w:rsidR="00E95CA1" w:rsidRPr="00CA6D67" w:rsidDel="00401F48" w:rsidRDefault="00E95CA1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MI</w:t>
            </w:r>
          </w:p>
        </w:tc>
        <w:tc>
          <w:tcPr>
            <w:tcW w:w="7766" w:type="dxa"/>
          </w:tcPr>
          <w:p w:rsidR="00E95CA1" w:rsidRPr="00A602DC" w:rsidRDefault="00E95CA1" w:rsidP="00D04883">
            <w:pPr>
              <w:rPr>
                <w:rFonts w:cs="Arial"/>
                <w:color w:val="000000"/>
                <w:szCs w:val="20"/>
              </w:rPr>
            </w:pPr>
            <w:r w:rsidRPr="00A602DC">
              <w:rPr>
                <w:rFonts w:cs="Arial"/>
                <w:color w:val="000000"/>
                <w:szCs w:val="20"/>
              </w:rPr>
              <w:t>Multiple interference margin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F021E4">
            <w:pPr>
              <w:spacing w:line="288" w:lineRule="auto"/>
              <w:rPr>
                <w:b/>
              </w:rPr>
            </w:pPr>
            <w:r w:rsidRPr="00CA6D67">
              <w:rPr>
                <w:b/>
              </w:rPr>
              <w:t>PPDR</w:t>
            </w:r>
          </w:p>
        </w:tc>
        <w:tc>
          <w:tcPr>
            <w:tcW w:w="7766" w:type="dxa"/>
          </w:tcPr>
          <w:p w:rsidR="00CD15DD" w:rsidRPr="006C77B0" w:rsidRDefault="00A91C5D" w:rsidP="00F021E4">
            <w:pPr>
              <w:spacing w:line="288" w:lineRule="auto"/>
              <w:rPr>
                <w:rFonts w:cs="Arial"/>
                <w:szCs w:val="20"/>
              </w:rPr>
            </w:pPr>
            <w:r w:rsidRPr="00A91C5D">
              <w:rPr>
                <w:rFonts w:cs="Arial"/>
                <w:szCs w:val="20"/>
              </w:rPr>
              <w:t>Public Protection and Disaster Relief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Del="00401F48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PR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Protection Ratio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PMSE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 xml:space="preserve">Program Making and Special Event 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RIS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B24C84">
              <w:t>Radio Interface Specifications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RRC-06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Regional Radiocommunication Conference, Geneva, 2006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i/>
                <w:iCs/>
                <w:color w:val="000000"/>
                <w:szCs w:val="20"/>
              </w:rPr>
              <w:t>RFSENS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Reference Sensitivity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RSBN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  <w:lang w:eastAsia="ru-RU"/>
              </w:rPr>
              <w:t>Radio system of short-range navigation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OFDM</w:t>
            </w:r>
          </w:p>
        </w:tc>
        <w:tc>
          <w:tcPr>
            <w:tcW w:w="7766" w:type="dxa"/>
          </w:tcPr>
          <w:p w:rsidR="00CD15DD" w:rsidRPr="00A602DC" w:rsidRDefault="00A91C5D" w:rsidP="00D04883">
            <w:pPr>
              <w:rPr>
                <w:rFonts w:cs="Arial"/>
                <w:szCs w:val="20"/>
                <w:lang w:eastAsia="ru-RU"/>
              </w:rPr>
            </w:pPr>
            <w:r w:rsidRPr="00A91C5D">
              <w:rPr>
                <w:rFonts w:cs="Arial"/>
                <w:szCs w:val="20"/>
                <w:lang w:eastAsia="ru-RU"/>
              </w:rPr>
              <w:t>Orthogonal frequency-division multiplexing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O</w:t>
            </w:r>
            <w:r w:rsidRPr="00CA6D67">
              <w:rPr>
                <w:rFonts w:cs="Arial"/>
                <w:b/>
                <w:szCs w:val="20"/>
                <w:vertAlign w:val="subscript"/>
              </w:rPr>
              <w:t>th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Overloading threshold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QPSK</w:t>
            </w:r>
          </w:p>
        </w:tc>
        <w:tc>
          <w:tcPr>
            <w:tcW w:w="7766" w:type="dxa"/>
          </w:tcPr>
          <w:p w:rsidR="00CD15DD" w:rsidRPr="00A602DC" w:rsidRDefault="00A91C5D" w:rsidP="00D04883">
            <w:pPr>
              <w:rPr>
                <w:rFonts w:cs="Arial"/>
                <w:szCs w:val="20"/>
              </w:rPr>
            </w:pPr>
            <w:r w:rsidRPr="00A91C5D">
              <w:rPr>
                <w:rFonts w:cs="Arial"/>
                <w:szCs w:val="20"/>
              </w:rPr>
              <w:t>Quadrature Phase Shift Keying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  <w:lang w:eastAsia="it-IT"/>
              </w:rPr>
            </w:pPr>
            <w:r w:rsidRPr="00CA6D67">
              <w:rPr>
                <w:rFonts w:cs="Arial"/>
                <w:b/>
                <w:szCs w:val="20"/>
                <w:lang w:eastAsia="it-IT"/>
              </w:rPr>
              <w:t>PAMR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  <w:lang w:eastAsia="it-IT"/>
              </w:rPr>
            </w:pPr>
            <w:r w:rsidRPr="00A602DC">
              <w:rPr>
                <w:rFonts w:cs="Arial"/>
                <w:szCs w:val="20"/>
                <w:lang w:eastAsia="it-IT"/>
              </w:rPr>
              <w:t>Public Access Mobile Radio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  <w:lang w:eastAsia="it-IT"/>
              </w:rPr>
              <w:t xml:space="preserve">PMR 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  <w:lang w:eastAsia="it-IT"/>
              </w:rPr>
              <w:t>Private Mobile Radio</w:t>
            </w:r>
          </w:p>
        </w:tc>
      </w:tr>
      <w:tr w:rsidR="00CD15DD" w:rsidTr="000B7F92">
        <w:trPr>
          <w:trHeight w:val="59"/>
        </w:trPr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PWMS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Professional Wireless Microphone system</w:t>
            </w:r>
          </w:p>
        </w:tc>
      </w:tr>
      <w:tr w:rsidR="00CD15DD" w:rsidTr="000B7F92">
        <w:trPr>
          <w:trHeight w:val="59"/>
        </w:trPr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SEAMCAT</w:t>
            </w:r>
          </w:p>
        </w:tc>
        <w:tc>
          <w:tcPr>
            <w:tcW w:w="7766" w:type="dxa"/>
          </w:tcPr>
          <w:p w:rsidR="00CD15DD" w:rsidRPr="00A602DC" w:rsidRDefault="00A91C5D" w:rsidP="00D04883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Spectrum Engineering Advanced Monte Carlo Tool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SNR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Signal-to-noise ratio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TETRA TEDS</w:t>
            </w:r>
          </w:p>
        </w:tc>
        <w:tc>
          <w:tcPr>
            <w:tcW w:w="7766" w:type="dxa"/>
          </w:tcPr>
          <w:p w:rsidR="00CD15DD" w:rsidRDefault="00CD15DD" w:rsidP="00D04883">
            <w:pPr>
              <w:rPr>
                <w:rFonts w:cs="Arial"/>
                <w:szCs w:val="20"/>
              </w:rPr>
            </w:pPr>
            <w:r>
              <w:t>TETRA</w:t>
            </w:r>
            <w:r w:rsidRPr="00A07321">
              <w:t xml:space="preserve"> Enhanced Data Service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TDD</w:t>
            </w:r>
          </w:p>
        </w:tc>
        <w:tc>
          <w:tcPr>
            <w:tcW w:w="7766" w:type="dxa"/>
          </w:tcPr>
          <w:p w:rsidR="00CD15DD" w:rsidRDefault="00CD15DD" w:rsidP="00D04883">
            <w:r>
              <w:t>T</w:t>
            </w:r>
            <w:r w:rsidRPr="00B10E87">
              <w:t>ime-division duplexing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TV</w:t>
            </w:r>
            <w:r w:rsidR="00513B58" w:rsidRPr="00CA6D67">
              <w:rPr>
                <w:rFonts w:cs="Arial"/>
                <w:b/>
                <w:szCs w:val="20"/>
              </w:rPr>
              <w:t>WS</w:t>
            </w:r>
          </w:p>
        </w:tc>
        <w:tc>
          <w:tcPr>
            <w:tcW w:w="7766" w:type="dxa"/>
          </w:tcPr>
          <w:p w:rsidR="00CD15DD" w:rsidRPr="00A602DC" w:rsidRDefault="00A91C5D" w:rsidP="00D04883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TV White Spaces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UE</w:t>
            </w: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User Equipment</w:t>
            </w:r>
          </w:p>
        </w:tc>
      </w:tr>
      <w:tr w:rsidR="0067031A" w:rsidTr="00BB3CB9">
        <w:tc>
          <w:tcPr>
            <w:tcW w:w="2088" w:type="dxa"/>
          </w:tcPr>
          <w:p w:rsidR="0067031A" w:rsidRPr="00CA6D67" w:rsidRDefault="0067031A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UART</w:t>
            </w:r>
          </w:p>
        </w:tc>
        <w:tc>
          <w:tcPr>
            <w:tcW w:w="7766" w:type="dxa"/>
          </w:tcPr>
          <w:p w:rsidR="0067031A" w:rsidRPr="00A602DC" w:rsidRDefault="0067031A" w:rsidP="00D04883">
            <w:pPr>
              <w:rPr>
                <w:rFonts w:cs="Arial"/>
                <w:szCs w:val="20"/>
              </w:rPr>
            </w:pPr>
            <w:r>
              <w:t>U</w:t>
            </w:r>
            <w:r w:rsidRPr="00D06F7C">
              <w:t>niversal asynchronous receiver/transmitter</w:t>
            </w:r>
          </w:p>
        </w:tc>
      </w:tr>
      <w:tr w:rsidR="0067031A" w:rsidTr="00BB3CB9">
        <w:tc>
          <w:tcPr>
            <w:tcW w:w="2088" w:type="dxa"/>
          </w:tcPr>
          <w:p w:rsidR="0067031A" w:rsidRPr="00CA6D67" w:rsidRDefault="0067031A" w:rsidP="00D04883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UHF</w:t>
            </w:r>
          </w:p>
        </w:tc>
        <w:tc>
          <w:tcPr>
            <w:tcW w:w="7766" w:type="dxa"/>
          </w:tcPr>
          <w:p w:rsidR="0067031A" w:rsidRDefault="00A91C5D" w:rsidP="00D04883">
            <w:r w:rsidRPr="00A91C5D">
              <w:t>Ultra-high frequency</w:t>
            </w:r>
          </w:p>
        </w:tc>
      </w:tr>
      <w:tr w:rsidR="00CD15DD" w:rsidTr="00BB3CB9">
        <w:tc>
          <w:tcPr>
            <w:tcW w:w="2088" w:type="dxa"/>
          </w:tcPr>
          <w:p w:rsidR="00CD15DD" w:rsidRPr="00CA6D67" w:rsidRDefault="00CD15DD" w:rsidP="00825A4A">
            <w:pPr>
              <w:rPr>
                <w:rFonts w:cs="Arial"/>
                <w:b/>
                <w:szCs w:val="20"/>
              </w:rPr>
            </w:pPr>
            <w:r w:rsidRPr="00CA6D67">
              <w:rPr>
                <w:rFonts w:cs="Arial"/>
                <w:b/>
                <w:szCs w:val="20"/>
              </w:rPr>
              <w:t>WSD</w:t>
            </w:r>
          </w:p>
        </w:tc>
        <w:tc>
          <w:tcPr>
            <w:tcW w:w="7766" w:type="dxa"/>
          </w:tcPr>
          <w:p w:rsidR="00CD15DD" w:rsidRPr="00A602DC" w:rsidRDefault="00CD15DD" w:rsidP="00825A4A">
            <w:pPr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White Space Device</w:t>
            </w:r>
          </w:p>
        </w:tc>
      </w:tr>
      <w:tr w:rsidR="00CD15DD" w:rsidTr="00BB3CB9">
        <w:tc>
          <w:tcPr>
            <w:tcW w:w="2088" w:type="dxa"/>
          </w:tcPr>
          <w:p w:rsidR="00CD15DD" w:rsidRPr="00A602DC" w:rsidRDefault="00CD15DD" w:rsidP="00D04883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766" w:type="dxa"/>
          </w:tcPr>
          <w:p w:rsidR="00CD15DD" w:rsidRPr="00A602DC" w:rsidRDefault="00CD15DD" w:rsidP="00D04883">
            <w:pPr>
              <w:rPr>
                <w:rFonts w:cs="Arial"/>
                <w:szCs w:val="20"/>
              </w:rPr>
            </w:pPr>
          </w:p>
        </w:tc>
      </w:tr>
    </w:tbl>
    <w:p w:rsidR="009B68AF" w:rsidRDefault="009B68AF"/>
    <w:p w:rsidR="00483944" w:rsidRDefault="00483944"/>
    <w:p w:rsidR="00483944" w:rsidRDefault="00483944" w:rsidP="00483944">
      <w:pPr>
        <w:pStyle w:val="Paragraphedeliste"/>
        <w:numPr>
          <w:ilvl w:val="0"/>
          <w:numId w:val="1"/>
        </w:numPr>
      </w:pPr>
      <w:r>
        <w:t>Table</w:t>
      </w:r>
      <w:r w:rsidRPr="001D1FC5">
        <w:t xml:space="preserve"> of abbreviations to </w:t>
      </w:r>
      <w:r>
        <w:t xml:space="preserve">be added to </w:t>
      </w:r>
      <w:r w:rsidRPr="001D1FC5">
        <w:t xml:space="preserve">the working document towards </w:t>
      </w:r>
      <w:r>
        <w:t>complementary Report to ECC Report 159 on t</w:t>
      </w:r>
      <w:r w:rsidRPr="00483944">
        <w:t>echnical and operational requirements for the operation of white space devices under GEO-Location approach</w:t>
      </w:r>
      <w:r>
        <w:t xml:space="preserve">: </w:t>
      </w:r>
    </w:p>
    <w:p w:rsidR="00483944" w:rsidRDefault="00483944"/>
    <w:p w:rsidR="00483944" w:rsidRDefault="00483944"/>
    <w:p w:rsidR="00483944" w:rsidRDefault="00483944" w:rsidP="00483944"/>
    <w:tbl>
      <w:tblPr>
        <w:tblW w:w="0" w:type="auto"/>
        <w:tblCellMar>
          <w:top w:w="11" w:type="dxa"/>
          <w:bottom w:w="11" w:type="dxa"/>
        </w:tblCellMar>
        <w:tblLook w:val="01E0"/>
      </w:tblPr>
      <w:tblGrid>
        <w:gridCol w:w="2088"/>
        <w:gridCol w:w="7766"/>
      </w:tblGrid>
      <w:tr w:rsidR="00483944" w:rsidTr="00F021E4">
        <w:trPr>
          <w:trHeight w:val="76"/>
        </w:trPr>
        <w:tc>
          <w:tcPr>
            <w:tcW w:w="2088" w:type="dxa"/>
          </w:tcPr>
          <w:p w:rsidR="00483944" w:rsidRPr="004605CB" w:rsidRDefault="00483944" w:rsidP="00F021E4">
            <w:pPr>
              <w:spacing w:line="288" w:lineRule="auto"/>
              <w:rPr>
                <w:rFonts w:cs="Arial"/>
                <w:b/>
                <w:color w:val="D2232A"/>
                <w:szCs w:val="20"/>
              </w:rPr>
            </w:pPr>
            <w:r w:rsidRPr="004605CB">
              <w:rPr>
                <w:rFonts w:cs="Arial"/>
                <w:b/>
                <w:color w:val="D2232A"/>
                <w:szCs w:val="20"/>
              </w:rPr>
              <w:t>Abbreviation</w:t>
            </w:r>
          </w:p>
        </w:tc>
        <w:tc>
          <w:tcPr>
            <w:tcW w:w="7766" w:type="dxa"/>
          </w:tcPr>
          <w:p w:rsidR="00483944" w:rsidRPr="00A602DC" w:rsidRDefault="00483944" w:rsidP="00F021E4">
            <w:pPr>
              <w:spacing w:line="288" w:lineRule="auto"/>
              <w:rPr>
                <w:rFonts w:cs="Arial"/>
                <w:b/>
                <w:color w:val="D2232A"/>
                <w:szCs w:val="20"/>
              </w:rPr>
            </w:pPr>
            <w:r>
              <w:rPr>
                <w:rFonts w:cs="Arial"/>
                <w:b/>
                <w:color w:val="D2232A"/>
                <w:szCs w:val="20"/>
              </w:rPr>
              <w:t xml:space="preserve">Explanation </w:t>
            </w:r>
          </w:p>
        </w:tc>
      </w:tr>
      <w:tr w:rsidR="00483944" w:rsidTr="00F021E4">
        <w:tc>
          <w:tcPr>
            <w:tcW w:w="2088" w:type="dxa"/>
          </w:tcPr>
          <w:p w:rsidR="00483944" w:rsidRPr="004605CB" w:rsidRDefault="00483944" w:rsidP="00F021E4">
            <w:pPr>
              <w:spacing w:line="288" w:lineRule="auto"/>
              <w:rPr>
                <w:rFonts w:cs="Arial"/>
                <w:b/>
                <w:szCs w:val="20"/>
              </w:rPr>
            </w:pPr>
            <w:r w:rsidRPr="004605CB">
              <w:rPr>
                <w:rFonts w:cs="Arial"/>
                <w:b/>
                <w:szCs w:val="20"/>
              </w:rPr>
              <w:t>CEPT</w:t>
            </w:r>
          </w:p>
        </w:tc>
        <w:tc>
          <w:tcPr>
            <w:tcW w:w="7766" w:type="dxa"/>
          </w:tcPr>
          <w:p w:rsidR="00483944" w:rsidRPr="00A602DC" w:rsidRDefault="00483944" w:rsidP="00F021E4">
            <w:pPr>
              <w:spacing w:line="288" w:lineRule="auto"/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European Conference of Postal and Telecommunications Administrations</w:t>
            </w:r>
          </w:p>
        </w:tc>
      </w:tr>
      <w:tr w:rsidR="00483944" w:rsidTr="00F021E4">
        <w:tc>
          <w:tcPr>
            <w:tcW w:w="2088" w:type="dxa"/>
          </w:tcPr>
          <w:p w:rsidR="00483944" w:rsidRPr="004605CB" w:rsidRDefault="00483944" w:rsidP="00F021E4">
            <w:pPr>
              <w:spacing w:line="288" w:lineRule="auto"/>
              <w:rPr>
                <w:rFonts w:cs="Arial"/>
                <w:b/>
                <w:szCs w:val="20"/>
              </w:rPr>
            </w:pPr>
            <w:r w:rsidRPr="004605CB">
              <w:rPr>
                <w:rFonts w:cs="Arial"/>
                <w:b/>
                <w:szCs w:val="20"/>
              </w:rPr>
              <w:t>ECC</w:t>
            </w:r>
          </w:p>
        </w:tc>
        <w:tc>
          <w:tcPr>
            <w:tcW w:w="7766" w:type="dxa"/>
          </w:tcPr>
          <w:p w:rsidR="00483944" w:rsidRPr="00A602DC" w:rsidRDefault="00483944" w:rsidP="00F021E4">
            <w:pPr>
              <w:pStyle w:val="ECCParagraph"/>
              <w:spacing w:after="0" w:line="288" w:lineRule="auto"/>
              <w:jc w:val="left"/>
              <w:rPr>
                <w:rFonts w:cs="Arial"/>
                <w:szCs w:val="20"/>
              </w:rPr>
            </w:pPr>
            <w:r w:rsidRPr="00A602DC">
              <w:rPr>
                <w:rFonts w:cs="Arial"/>
                <w:szCs w:val="20"/>
              </w:rPr>
              <w:t>Electronic Communications Committee</w:t>
            </w:r>
          </w:p>
        </w:tc>
      </w:tr>
      <w:tr w:rsidR="00483944" w:rsidTr="00F021E4">
        <w:tc>
          <w:tcPr>
            <w:tcW w:w="2088" w:type="dxa"/>
          </w:tcPr>
          <w:p w:rsidR="00483944" w:rsidRPr="004605CB" w:rsidRDefault="00483944" w:rsidP="00F021E4">
            <w:pPr>
              <w:spacing w:line="288" w:lineRule="auto"/>
              <w:rPr>
                <w:rFonts w:cs="Arial"/>
                <w:b/>
                <w:szCs w:val="20"/>
              </w:rPr>
            </w:pPr>
            <w:r w:rsidRPr="004605CB">
              <w:rPr>
                <w:rFonts w:cs="Arial"/>
                <w:b/>
                <w:szCs w:val="20"/>
              </w:rPr>
              <w:t>EBU</w:t>
            </w:r>
          </w:p>
        </w:tc>
        <w:tc>
          <w:tcPr>
            <w:tcW w:w="7766" w:type="dxa"/>
          </w:tcPr>
          <w:p w:rsidR="00483944" w:rsidRDefault="00483944" w:rsidP="00F021E4">
            <w:pPr>
              <w:pStyle w:val="ECCParagraph"/>
              <w:spacing w:after="0" w:line="288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European Broadcasting Union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ACLR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Adjacent Channel Leakage Ratio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ACS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Adjacent Channel Selectivity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BPL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Building Penetration Loss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BS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Broadcasting Service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F1596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CDF</w:t>
            </w:r>
          </w:p>
        </w:tc>
        <w:tc>
          <w:tcPr>
            <w:tcW w:w="7766" w:type="dxa"/>
          </w:tcPr>
          <w:p w:rsidR="00483944" w:rsidRPr="00C34571" w:rsidRDefault="004A1FFE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Cumulative distribution function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CRS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Cognitive Radio System</w:t>
            </w:r>
          </w:p>
        </w:tc>
      </w:tr>
      <w:tr w:rsidR="003A3DB8" w:rsidTr="00F021E4">
        <w:tc>
          <w:tcPr>
            <w:tcW w:w="2088" w:type="dxa"/>
          </w:tcPr>
          <w:p w:rsidR="003A3DB8" w:rsidRPr="00C34571" w:rsidRDefault="003A3DB8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DB</w:t>
            </w:r>
          </w:p>
        </w:tc>
        <w:tc>
          <w:tcPr>
            <w:tcW w:w="7766" w:type="dxa"/>
          </w:tcPr>
          <w:p w:rsidR="003A3DB8" w:rsidRPr="00C34571" w:rsidRDefault="003A3DB8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 xml:space="preserve">Data base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DTT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Digital Terrestrial Television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DTV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 xml:space="preserve">Digital Television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DVB-T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Digital Video Broadcasting – Terrestrial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DVB-H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Digital Video Broadcasting- Handheld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e.i.r.p.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Equivalent isotropically radiated power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ENG/OB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 xml:space="preserve">Electronic News Gathering outside broadcast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ETSI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European Telecommunications Standards Institute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FCC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Federal Communications Commission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IEEE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color w:val="000000"/>
                <w:szCs w:val="20"/>
              </w:rPr>
            </w:pPr>
            <w:r w:rsidRPr="00C34571">
              <w:rPr>
                <w:rFonts w:cs="Arial"/>
                <w:color w:val="000000"/>
                <w:szCs w:val="20"/>
              </w:rPr>
              <w:t xml:space="preserve">Institute of Electrical and Electronics Engineers 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IMD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Inter-Modulation Distortion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AB2DF9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IM</w:t>
            </w:r>
          </w:p>
        </w:tc>
        <w:tc>
          <w:tcPr>
            <w:tcW w:w="7766" w:type="dxa"/>
          </w:tcPr>
          <w:p w:rsidR="00483944" w:rsidRPr="00C34571" w:rsidRDefault="00483944" w:rsidP="00AB2DF9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Interference</w:t>
            </w:r>
            <w:r w:rsidR="00AB2DF9" w:rsidRPr="00C34571">
              <w:rPr>
                <w:rFonts w:cs="Arial"/>
                <w:szCs w:val="20"/>
              </w:rPr>
              <w:t xml:space="preserve"> margin</w:t>
            </w:r>
            <w:r w:rsidRPr="00C34571">
              <w:rPr>
                <w:rFonts w:cs="Arial"/>
                <w:szCs w:val="20"/>
              </w:rPr>
              <w:t xml:space="preserve"> </w:t>
            </w:r>
          </w:p>
        </w:tc>
      </w:tr>
      <w:tr w:rsidR="000106E2" w:rsidTr="00F021E4">
        <w:tc>
          <w:tcPr>
            <w:tcW w:w="2088" w:type="dxa"/>
          </w:tcPr>
          <w:p w:rsidR="000106E2" w:rsidRPr="00C34571" w:rsidRDefault="000106E2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LIM</w:t>
            </w:r>
          </w:p>
        </w:tc>
        <w:tc>
          <w:tcPr>
            <w:tcW w:w="7766" w:type="dxa"/>
          </w:tcPr>
          <w:p w:rsidR="000106E2" w:rsidRPr="00C34571" w:rsidRDefault="000106E2" w:rsidP="00AB2DF9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Limiting nuisance power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LP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 xml:space="preserve">Location Probability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b/>
                <w:lang w:val="en-GB"/>
              </w:rPr>
              <w:t>M-to-M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color w:val="000000"/>
                <w:szCs w:val="20"/>
              </w:rPr>
            </w:pPr>
            <w:r w:rsidRPr="00C34571">
              <w:t xml:space="preserve">Machine-to-Machine communication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Del="00401F48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MI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color w:val="000000"/>
                <w:szCs w:val="20"/>
              </w:rPr>
            </w:pPr>
            <w:r w:rsidRPr="00C34571">
              <w:rPr>
                <w:rFonts w:cs="Arial"/>
                <w:color w:val="000000"/>
                <w:szCs w:val="20"/>
              </w:rPr>
              <w:t>Multiple interference margin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Del="00401F48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PR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Protection Ratio</w:t>
            </w:r>
          </w:p>
        </w:tc>
      </w:tr>
      <w:tr w:rsidR="00B144B5" w:rsidTr="00F021E4">
        <w:tc>
          <w:tcPr>
            <w:tcW w:w="2088" w:type="dxa"/>
          </w:tcPr>
          <w:p w:rsidR="00B144B5" w:rsidRPr="00C34571" w:rsidRDefault="00B144B5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PM</w:t>
            </w:r>
          </w:p>
        </w:tc>
        <w:tc>
          <w:tcPr>
            <w:tcW w:w="7766" w:type="dxa"/>
          </w:tcPr>
          <w:p w:rsidR="00B144B5" w:rsidRPr="00C34571" w:rsidRDefault="00B144B5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Propagation model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PMSE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 xml:space="preserve">Program Making and Special Event </w:t>
            </w:r>
          </w:p>
        </w:tc>
      </w:tr>
      <w:tr w:rsidR="00C06424" w:rsidTr="00F021E4">
        <w:tc>
          <w:tcPr>
            <w:tcW w:w="2088" w:type="dxa"/>
          </w:tcPr>
          <w:p w:rsidR="00C06424" w:rsidRPr="00C34571" w:rsidRDefault="00C0642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POL</w:t>
            </w:r>
          </w:p>
        </w:tc>
        <w:tc>
          <w:tcPr>
            <w:tcW w:w="7766" w:type="dxa"/>
          </w:tcPr>
          <w:p w:rsidR="00C06424" w:rsidRPr="00C34571" w:rsidRDefault="00C06424" w:rsidP="00F021E4">
            <w:pPr>
              <w:rPr>
                <w:rFonts w:cs="Arial"/>
                <w:szCs w:val="20"/>
              </w:rPr>
            </w:pPr>
            <w:r w:rsidRPr="00C34571">
              <w:t>P</w:t>
            </w:r>
            <w:r w:rsidRPr="00C34571">
              <w:rPr>
                <w:lang w:val="en-GB"/>
              </w:rPr>
              <w:t>olarisation</w:t>
            </w:r>
            <w:r w:rsidRPr="00C34571">
              <w:t xml:space="preserve"> discrimination</w:t>
            </w:r>
          </w:p>
        </w:tc>
      </w:tr>
      <w:tr w:rsidR="00B1637D" w:rsidTr="00F021E4">
        <w:tc>
          <w:tcPr>
            <w:tcW w:w="2088" w:type="dxa"/>
          </w:tcPr>
          <w:p w:rsidR="00B1637D" w:rsidRPr="00C34571" w:rsidRDefault="00B1637D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PWMS</w:t>
            </w:r>
          </w:p>
        </w:tc>
        <w:tc>
          <w:tcPr>
            <w:tcW w:w="7766" w:type="dxa"/>
          </w:tcPr>
          <w:p w:rsidR="00B1637D" w:rsidRPr="00C34571" w:rsidRDefault="00B1637D" w:rsidP="00F021E4">
            <w:pPr>
              <w:rPr>
                <w:rFonts w:cs="Arial"/>
                <w:szCs w:val="20"/>
              </w:rPr>
            </w:pPr>
            <w:r w:rsidRPr="00C34571">
              <w:t>Professional wireless microphone systems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563B3C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RA</w:t>
            </w:r>
            <w:r w:rsidR="00483944" w:rsidRPr="00C34571">
              <w:rPr>
                <w:rFonts w:cs="Arial"/>
                <w:b/>
                <w:szCs w:val="20"/>
              </w:rPr>
              <w:t>S</w:t>
            </w:r>
          </w:p>
        </w:tc>
        <w:tc>
          <w:tcPr>
            <w:tcW w:w="7766" w:type="dxa"/>
          </w:tcPr>
          <w:p w:rsidR="00483944" w:rsidRPr="00C34571" w:rsidRDefault="00483944" w:rsidP="00563B3C">
            <w:pPr>
              <w:rPr>
                <w:rFonts w:cs="Arial"/>
                <w:szCs w:val="20"/>
              </w:rPr>
            </w:pPr>
            <w:r w:rsidRPr="00C34571">
              <w:t xml:space="preserve">Radio </w:t>
            </w:r>
            <w:r w:rsidR="00563B3C" w:rsidRPr="00C34571">
              <w:t xml:space="preserve">astronomy service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i/>
                <w:iCs/>
                <w:color w:val="000000"/>
                <w:szCs w:val="20"/>
              </w:rPr>
              <w:t>RFSENS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Reference Sensitivity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O</w:t>
            </w:r>
            <w:r w:rsidRPr="00C34571">
              <w:rPr>
                <w:rFonts w:cs="Arial"/>
                <w:b/>
                <w:szCs w:val="20"/>
                <w:vertAlign w:val="subscript"/>
              </w:rPr>
              <w:t>th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Overloading threshold</w:t>
            </w:r>
          </w:p>
        </w:tc>
      </w:tr>
      <w:tr w:rsidR="00AE2FBC" w:rsidTr="00F021E4">
        <w:tc>
          <w:tcPr>
            <w:tcW w:w="2088" w:type="dxa"/>
          </w:tcPr>
          <w:p w:rsidR="00AE2FBC" w:rsidRPr="00C34571" w:rsidRDefault="00AE2FBC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OOB</w:t>
            </w:r>
          </w:p>
        </w:tc>
        <w:tc>
          <w:tcPr>
            <w:tcW w:w="7766" w:type="dxa"/>
          </w:tcPr>
          <w:p w:rsidR="00AE2FBC" w:rsidRPr="00C34571" w:rsidRDefault="00AE2FBC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 xml:space="preserve">Out-of-Band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3A3DB8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QAM</w:t>
            </w:r>
          </w:p>
        </w:tc>
        <w:tc>
          <w:tcPr>
            <w:tcW w:w="7766" w:type="dxa"/>
          </w:tcPr>
          <w:p w:rsidR="00483944" w:rsidRPr="00C34571" w:rsidRDefault="00C34571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Quadrature amplitude modulation</w:t>
            </w:r>
          </w:p>
        </w:tc>
      </w:tr>
      <w:tr w:rsidR="00483944" w:rsidTr="00F021E4">
        <w:trPr>
          <w:trHeight w:val="59"/>
        </w:trPr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PWMS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Professional Wireless Microphone system</w:t>
            </w:r>
          </w:p>
        </w:tc>
      </w:tr>
      <w:tr w:rsidR="00483944" w:rsidTr="00F021E4">
        <w:trPr>
          <w:trHeight w:val="59"/>
        </w:trPr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SEAMCAT</w:t>
            </w:r>
          </w:p>
        </w:tc>
        <w:tc>
          <w:tcPr>
            <w:tcW w:w="7766" w:type="dxa"/>
          </w:tcPr>
          <w:p w:rsidR="00483944" w:rsidRPr="00C34571" w:rsidRDefault="00DF6EC2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Spectrum Engineering Advanced Monte Carlo Tool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S</w:t>
            </w:r>
            <w:r w:rsidR="00C26DCF" w:rsidRPr="00C34571">
              <w:rPr>
                <w:rFonts w:cs="Arial"/>
                <w:b/>
                <w:szCs w:val="20"/>
              </w:rPr>
              <w:t>I</w:t>
            </w:r>
            <w:r w:rsidRPr="00C34571">
              <w:rPr>
                <w:rFonts w:cs="Arial"/>
                <w:b/>
                <w:szCs w:val="20"/>
              </w:rPr>
              <w:t>NR</w:t>
            </w:r>
          </w:p>
        </w:tc>
        <w:tc>
          <w:tcPr>
            <w:tcW w:w="7766" w:type="dxa"/>
          </w:tcPr>
          <w:p w:rsidR="00483944" w:rsidRPr="00C34571" w:rsidRDefault="00483944" w:rsidP="00CB72B2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Signal</w:t>
            </w:r>
            <w:r w:rsidR="00CB72B2" w:rsidRPr="00C34571">
              <w:rPr>
                <w:rFonts w:cs="Arial"/>
                <w:szCs w:val="20"/>
              </w:rPr>
              <w:t xml:space="preserve"> </w:t>
            </w:r>
            <w:r w:rsidRPr="00C34571">
              <w:rPr>
                <w:rFonts w:cs="Arial"/>
                <w:szCs w:val="20"/>
              </w:rPr>
              <w:t>to</w:t>
            </w:r>
            <w:r w:rsidR="00CB72B2" w:rsidRPr="00C34571">
              <w:rPr>
                <w:rFonts w:cs="Arial"/>
                <w:szCs w:val="20"/>
              </w:rPr>
              <w:t xml:space="preserve"> </w:t>
            </w:r>
            <w:r w:rsidR="00C26DCF" w:rsidRPr="00C34571">
              <w:rPr>
                <w:rFonts w:cs="Arial"/>
                <w:szCs w:val="20"/>
              </w:rPr>
              <w:t>interference</w:t>
            </w:r>
            <w:r w:rsidR="00CB72B2" w:rsidRPr="00C34571">
              <w:rPr>
                <w:rFonts w:cs="Arial"/>
                <w:szCs w:val="20"/>
              </w:rPr>
              <w:t xml:space="preserve"> plus </w:t>
            </w:r>
            <w:r w:rsidRPr="00C34571">
              <w:rPr>
                <w:rFonts w:cs="Arial"/>
                <w:szCs w:val="20"/>
              </w:rPr>
              <w:t>noise ratio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TVWS</w:t>
            </w:r>
          </w:p>
        </w:tc>
        <w:tc>
          <w:tcPr>
            <w:tcW w:w="7766" w:type="dxa"/>
          </w:tcPr>
          <w:p w:rsidR="00483944" w:rsidRPr="00C34571" w:rsidRDefault="00DF6EC2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 xml:space="preserve">TV White Spaces </w:t>
            </w:r>
          </w:p>
        </w:tc>
      </w:tr>
      <w:tr w:rsidR="00483944" w:rsidTr="00F021E4">
        <w:tc>
          <w:tcPr>
            <w:tcW w:w="2088" w:type="dxa"/>
          </w:tcPr>
          <w:p w:rsidR="00483944" w:rsidRPr="00C34571" w:rsidRDefault="00483944" w:rsidP="00F021E4">
            <w:pPr>
              <w:rPr>
                <w:rFonts w:cs="Arial"/>
                <w:b/>
                <w:szCs w:val="20"/>
              </w:rPr>
            </w:pPr>
            <w:r w:rsidRPr="00C34571">
              <w:rPr>
                <w:rFonts w:cs="Arial"/>
                <w:b/>
                <w:szCs w:val="20"/>
              </w:rPr>
              <w:t>WSD</w:t>
            </w:r>
          </w:p>
        </w:tc>
        <w:tc>
          <w:tcPr>
            <w:tcW w:w="7766" w:type="dxa"/>
          </w:tcPr>
          <w:p w:rsidR="00483944" w:rsidRPr="00C34571" w:rsidRDefault="00483944" w:rsidP="00F021E4">
            <w:pPr>
              <w:rPr>
                <w:rFonts w:cs="Arial"/>
                <w:szCs w:val="20"/>
              </w:rPr>
            </w:pPr>
            <w:r w:rsidRPr="00C34571">
              <w:rPr>
                <w:rFonts w:cs="Arial"/>
                <w:szCs w:val="20"/>
              </w:rPr>
              <w:t>White Space Device</w:t>
            </w:r>
          </w:p>
        </w:tc>
      </w:tr>
      <w:tr w:rsidR="00483944" w:rsidTr="00F021E4">
        <w:tc>
          <w:tcPr>
            <w:tcW w:w="2088" w:type="dxa"/>
          </w:tcPr>
          <w:p w:rsidR="00483944" w:rsidRPr="00A602DC" w:rsidRDefault="00483944" w:rsidP="00F021E4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766" w:type="dxa"/>
          </w:tcPr>
          <w:p w:rsidR="00483944" w:rsidRPr="00A602DC" w:rsidRDefault="00483944" w:rsidP="00F021E4">
            <w:pPr>
              <w:rPr>
                <w:rFonts w:cs="Arial"/>
                <w:szCs w:val="20"/>
              </w:rPr>
            </w:pPr>
          </w:p>
        </w:tc>
      </w:tr>
    </w:tbl>
    <w:p w:rsidR="00483944" w:rsidRDefault="00483944"/>
    <w:sectPr w:rsidR="00483944" w:rsidSect="001D4A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v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014"/>
    <w:multiLevelType w:val="hybridMultilevel"/>
    <w:tmpl w:val="A960715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A602DC"/>
    <w:rsid w:val="000106E2"/>
    <w:rsid w:val="00054E91"/>
    <w:rsid w:val="00060FA8"/>
    <w:rsid w:val="000B7F92"/>
    <w:rsid w:val="000F4ED0"/>
    <w:rsid w:val="001158F3"/>
    <w:rsid w:val="0019742D"/>
    <w:rsid w:val="001A1463"/>
    <w:rsid w:val="001D1FC5"/>
    <w:rsid w:val="001D2074"/>
    <w:rsid w:val="001D4AAA"/>
    <w:rsid w:val="00210EA5"/>
    <w:rsid w:val="00295284"/>
    <w:rsid w:val="002A7BD3"/>
    <w:rsid w:val="00364ABB"/>
    <w:rsid w:val="003A3DB8"/>
    <w:rsid w:val="003F53A8"/>
    <w:rsid w:val="00437AC8"/>
    <w:rsid w:val="004605CB"/>
    <w:rsid w:val="00483944"/>
    <w:rsid w:val="004A064F"/>
    <w:rsid w:val="004A1FFE"/>
    <w:rsid w:val="004F1596"/>
    <w:rsid w:val="004F4636"/>
    <w:rsid w:val="00513B58"/>
    <w:rsid w:val="00563B3C"/>
    <w:rsid w:val="0058006F"/>
    <w:rsid w:val="005E3D2E"/>
    <w:rsid w:val="005F2EEC"/>
    <w:rsid w:val="00612E80"/>
    <w:rsid w:val="00656200"/>
    <w:rsid w:val="0067031A"/>
    <w:rsid w:val="006C77B0"/>
    <w:rsid w:val="006D1AEC"/>
    <w:rsid w:val="0070151F"/>
    <w:rsid w:val="00711D2E"/>
    <w:rsid w:val="00793DEA"/>
    <w:rsid w:val="007B04BC"/>
    <w:rsid w:val="00825A4A"/>
    <w:rsid w:val="00850F13"/>
    <w:rsid w:val="008C0413"/>
    <w:rsid w:val="0090685C"/>
    <w:rsid w:val="009741C3"/>
    <w:rsid w:val="009B68AF"/>
    <w:rsid w:val="00A07321"/>
    <w:rsid w:val="00A24198"/>
    <w:rsid w:val="00A32958"/>
    <w:rsid w:val="00A602DC"/>
    <w:rsid w:val="00A72166"/>
    <w:rsid w:val="00A91C5D"/>
    <w:rsid w:val="00AB2DF9"/>
    <w:rsid w:val="00AE2FBC"/>
    <w:rsid w:val="00B144B5"/>
    <w:rsid w:val="00B1637D"/>
    <w:rsid w:val="00B3390F"/>
    <w:rsid w:val="00B33E16"/>
    <w:rsid w:val="00B76F00"/>
    <w:rsid w:val="00BB3CB9"/>
    <w:rsid w:val="00BF2AD6"/>
    <w:rsid w:val="00C06424"/>
    <w:rsid w:val="00C26DCF"/>
    <w:rsid w:val="00C34571"/>
    <w:rsid w:val="00C73007"/>
    <w:rsid w:val="00C84289"/>
    <w:rsid w:val="00CA6D67"/>
    <w:rsid w:val="00CB72B2"/>
    <w:rsid w:val="00CD15DD"/>
    <w:rsid w:val="00D04883"/>
    <w:rsid w:val="00D57BE3"/>
    <w:rsid w:val="00D6341A"/>
    <w:rsid w:val="00DF6A61"/>
    <w:rsid w:val="00DF6EC2"/>
    <w:rsid w:val="00E46A9D"/>
    <w:rsid w:val="00E95CA1"/>
    <w:rsid w:val="00EC0A99"/>
    <w:rsid w:val="00EF7813"/>
    <w:rsid w:val="00F0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D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itre4">
    <w:name w:val="heading 4"/>
    <w:basedOn w:val="Normal"/>
    <w:next w:val="Normal"/>
    <w:link w:val="Titre4Car"/>
    <w:qFormat/>
    <w:rsid w:val="00D04883"/>
    <w:pPr>
      <w:keepNext/>
      <w:outlineLvl w:val="3"/>
    </w:pPr>
    <w:rPr>
      <w:b/>
      <w:sz w:val="24"/>
      <w:szCs w:val="20"/>
      <w:lang w:val="en-GB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A602DC"/>
    <w:pPr>
      <w:spacing w:after="240"/>
      <w:jc w:val="both"/>
    </w:pPr>
    <w:rPr>
      <w:lang w:val="en-GB"/>
    </w:rPr>
  </w:style>
  <w:style w:type="character" w:customStyle="1" w:styleId="Titre4Car">
    <w:name w:val="Titre 4 Car"/>
    <w:basedOn w:val="Policepardfaut"/>
    <w:link w:val="Titre4"/>
    <w:rsid w:val="00D04883"/>
    <w:rPr>
      <w:rFonts w:ascii="Arial" w:eastAsia="Times New Roman" w:hAnsi="Arial" w:cs="Times New Roman"/>
      <w:b/>
      <w:sz w:val="24"/>
      <w:szCs w:val="20"/>
      <w:lang w:val="en-GB" w:eastAsia="de-DE"/>
    </w:rPr>
  </w:style>
  <w:style w:type="paragraph" w:customStyle="1" w:styleId="SimonsStyle">
    <w:name w:val="Simon's Style"/>
    <w:basedOn w:val="Normal"/>
    <w:rsid w:val="00D04883"/>
    <w:rPr>
      <w:rFonts w:ascii="Antique Olv (W1)" w:hAnsi="Antique Olv (W1)"/>
      <w:szCs w:val="20"/>
      <w:lang w:val="en-GB" w:eastAsia="fr-FR"/>
    </w:rPr>
  </w:style>
  <w:style w:type="paragraph" w:styleId="Paragraphedeliste">
    <w:name w:val="List Paragraph"/>
    <w:basedOn w:val="Normal"/>
    <w:uiPriority w:val="34"/>
    <w:qFormat/>
    <w:rsid w:val="001D1F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0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D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D04883"/>
    <w:pPr>
      <w:keepNext/>
      <w:outlineLvl w:val="3"/>
    </w:pPr>
    <w:rPr>
      <w:b/>
      <w:sz w:val="24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A602DC"/>
    <w:pPr>
      <w:spacing w:after="240"/>
      <w:jc w:val="both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rsid w:val="00D04883"/>
    <w:rPr>
      <w:rFonts w:ascii="Arial" w:eastAsia="Times New Roman" w:hAnsi="Arial" w:cs="Times New Roman"/>
      <w:b/>
      <w:sz w:val="24"/>
      <w:szCs w:val="20"/>
      <w:lang w:val="en-GB" w:eastAsia="de-DE"/>
    </w:rPr>
  </w:style>
  <w:style w:type="paragraph" w:customStyle="1" w:styleId="SimonsStyle">
    <w:name w:val="Simon's Style"/>
    <w:basedOn w:val="Normal"/>
    <w:rsid w:val="00D04883"/>
    <w:rPr>
      <w:rFonts w:ascii="Antique Olv (W1)" w:hAnsi="Antique Olv (W1)"/>
      <w:szCs w:val="20"/>
      <w:lang w:val="en-GB" w:eastAsia="fr-FR"/>
    </w:rPr>
  </w:style>
  <w:style w:type="paragraph" w:styleId="ListParagraph">
    <w:name w:val="List Paragraph"/>
    <w:basedOn w:val="Normal"/>
    <w:uiPriority w:val="34"/>
    <w:qFormat/>
    <w:rsid w:val="001D1F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0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amca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AB14-2745-498F-A703-F6FF82C0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Lyubchenko</dc:creator>
  <cp:lastModifiedBy>Alexandre Kholod</cp:lastModifiedBy>
  <cp:revision>2</cp:revision>
  <dcterms:created xsi:type="dcterms:W3CDTF">2012-03-16T20:19:00Z</dcterms:created>
  <dcterms:modified xsi:type="dcterms:W3CDTF">2012-03-16T20:19:00Z</dcterms:modified>
</cp:coreProperties>
</file>