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DED" w:rsidRPr="00041FA4" w:rsidRDefault="00041FA4" w:rsidP="00041FA4">
      <w:pPr>
        <w:jc w:val="center"/>
        <w:rPr>
          <w:b/>
          <w:u w:val="single"/>
        </w:rPr>
      </w:pPr>
      <w:r w:rsidRPr="00041FA4">
        <w:rPr>
          <w:b/>
          <w:u w:val="single"/>
        </w:rPr>
        <w:t>870 – 876 MHz and 915 – 921 MHz Impact Assessment</w:t>
      </w:r>
    </w:p>
    <w:p w:rsidR="00041FA4" w:rsidRPr="00B11DED" w:rsidRDefault="00B11DED">
      <w:pPr>
        <w:rPr>
          <w:u w:val="single"/>
        </w:rPr>
      </w:pPr>
      <w:r w:rsidRPr="00B11DED">
        <w:rPr>
          <w:u w:val="single"/>
        </w:rPr>
        <w:t>Introduction</w:t>
      </w:r>
    </w:p>
    <w:p w:rsidR="00B11DED" w:rsidRDefault="00B11DED" w:rsidP="00B11DED">
      <w:pPr>
        <w:spacing w:after="0" w:line="240" w:lineRule="auto"/>
        <w:jc w:val="both"/>
      </w:pPr>
      <w:r w:rsidRPr="00B11DED">
        <w:rPr>
          <w:highlight w:val="yellow"/>
        </w:rPr>
        <w:t>Identification/description of the issue/problem(s</w:t>
      </w:r>
      <w:r w:rsidRPr="006D0C83">
        <w:t>)</w:t>
      </w:r>
    </w:p>
    <w:p w:rsidR="00B11DED" w:rsidRDefault="00B11DED" w:rsidP="00B11DED">
      <w:pPr>
        <w:spacing w:after="0" w:line="240" w:lineRule="auto"/>
        <w:jc w:val="both"/>
      </w:pPr>
    </w:p>
    <w:p w:rsidR="00B11DED" w:rsidRDefault="00B11DED" w:rsidP="00B11DED">
      <w:pPr>
        <w:spacing w:after="0" w:line="240" w:lineRule="auto"/>
        <w:jc w:val="both"/>
      </w:pPr>
      <w:r>
        <w:t>The spectrum 870-876 MHz and 915-921 MHz appears under-utilised in CEPT region.</w:t>
      </w:r>
    </w:p>
    <w:p w:rsidR="00B11DED" w:rsidRDefault="00B11DED" w:rsidP="00B11DED">
      <w:pPr>
        <w:spacing w:after="0" w:line="240" w:lineRule="auto"/>
        <w:jc w:val="both"/>
      </w:pPr>
    </w:p>
    <w:p w:rsidR="00B11DED" w:rsidRDefault="00B11DED" w:rsidP="00B11DED">
      <w:pPr>
        <w:spacing w:after="0" w:line="240" w:lineRule="auto"/>
        <w:jc w:val="both"/>
      </w:pPr>
      <w:r>
        <w:t xml:space="preserve">Four </w:t>
      </w:r>
      <w:proofErr w:type="spellStart"/>
      <w:r>
        <w:t>SRDoc</w:t>
      </w:r>
      <w:proofErr w:type="spellEnd"/>
      <w:r>
        <w:t xml:space="preserve"> have been developed requesting CEPT consider certain technologies be allocated / designated in this spectrum.</w:t>
      </w:r>
    </w:p>
    <w:p w:rsidR="00B11DED" w:rsidRDefault="00B11DED" w:rsidP="00B11DED">
      <w:pPr>
        <w:spacing w:after="0" w:line="240" w:lineRule="auto"/>
        <w:jc w:val="both"/>
      </w:pPr>
    </w:p>
    <w:p w:rsidR="00B11DED" w:rsidRDefault="00B11DED" w:rsidP="00B11DED">
      <w:pPr>
        <w:spacing w:after="0" w:line="240" w:lineRule="auto"/>
        <w:jc w:val="both"/>
      </w:pPr>
      <w:r w:rsidRPr="00B11DED">
        <w:rPr>
          <w:u w:val="single"/>
        </w:rPr>
        <w:t>Proposa</w:t>
      </w:r>
      <w:r>
        <w:t>l</w:t>
      </w:r>
    </w:p>
    <w:p w:rsidR="00B11DED" w:rsidRDefault="00B11DED" w:rsidP="00B11DED">
      <w:pPr>
        <w:spacing w:after="0" w:line="240" w:lineRule="auto"/>
        <w:jc w:val="both"/>
      </w:pPr>
    </w:p>
    <w:p w:rsidR="00B11DED" w:rsidRDefault="00B11DED" w:rsidP="00B11DED">
      <w:pPr>
        <w:spacing w:after="0" w:line="240" w:lineRule="auto"/>
        <w:jc w:val="both"/>
      </w:pPr>
      <w:r w:rsidRPr="00B11DED">
        <w:rPr>
          <w:highlight w:val="yellow"/>
        </w:rPr>
        <w:t xml:space="preserve">Develop text from each of the </w:t>
      </w:r>
      <w:r>
        <w:rPr>
          <w:highlight w:val="yellow"/>
        </w:rPr>
        <w:t xml:space="preserve">four </w:t>
      </w:r>
      <w:proofErr w:type="spellStart"/>
      <w:r w:rsidRPr="00B11DED">
        <w:rPr>
          <w:highlight w:val="yellow"/>
        </w:rPr>
        <w:t>SRDoc</w:t>
      </w:r>
      <w:proofErr w:type="spellEnd"/>
    </w:p>
    <w:p w:rsidR="00B11DED" w:rsidRDefault="00B11DED" w:rsidP="00B11DED">
      <w:pPr>
        <w:spacing w:after="0" w:line="240" w:lineRule="auto"/>
        <w:jc w:val="both"/>
      </w:pPr>
    </w:p>
    <w:p w:rsidR="00B11DED" w:rsidRDefault="00B11DED" w:rsidP="00B11DED">
      <w:pPr>
        <w:spacing w:after="0" w:line="240" w:lineRule="auto"/>
        <w:jc w:val="both"/>
      </w:pPr>
    </w:p>
    <w:p w:rsidR="00B11DED" w:rsidRPr="00B11DED" w:rsidRDefault="00B11DED" w:rsidP="00B11DED">
      <w:pPr>
        <w:spacing w:after="0" w:line="240" w:lineRule="auto"/>
        <w:jc w:val="both"/>
        <w:rPr>
          <w:u w:val="single"/>
        </w:rPr>
      </w:pPr>
      <w:r w:rsidRPr="00B11DED">
        <w:rPr>
          <w:u w:val="single"/>
        </w:rPr>
        <w:t>Objective of this Impact Assessment</w:t>
      </w:r>
    </w:p>
    <w:p w:rsidR="00B11DED" w:rsidRDefault="00B11DED" w:rsidP="00B11DED">
      <w:pPr>
        <w:spacing w:after="0" w:line="240" w:lineRule="auto"/>
        <w:jc w:val="both"/>
      </w:pPr>
    </w:p>
    <w:p w:rsidR="00B11DED" w:rsidRDefault="00B11DED" w:rsidP="00B11DED">
      <w:pPr>
        <w:spacing w:after="0" w:line="240" w:lineRule="auto"/>
        <w:jc w:val="both"/>
      </w:pPr>
      <w:r w:rsidRPr="00B11DED">
        <w:rPr>
          <w:highlight w:val="yellow"/>
        </w:rPr>
        <w:t>Describe the policy /measure and identify the objectives</w:t>
      </w:r>
    </w:p>
    <w:p w:rsidR="00B11DED" w:rsidRDefault="00B11DED" w:rsidP="00B11DED">
      <w:pPr>
        <w:spacing w:after="0" w:line="240" w:lineRule="auto"/>
        <w:jc w:val="both"/>
      </w:pPr>
    </w:p>
    <w:p w:rsidR="00487788" w:rsidRDefault="00487788" w:rsidP="00487788">
      <w:pPr>
        <w:pStyle w:val="Default"/>
      </w:pPr>
    </w:p>
    <w:p w:rsidR="00487788" w:rsidRPr="00487788" w:rsidRDefault="00487788" w:rsidP="00487788">
      <w:pPr>
        <w:pStyle w:val="Default"/>
        <w:rPr>
          <w:i/>
          <w:sz w:val="22"/>
          <w:szCs w:val="22"/>
        </w:rPr>
      </w:pPr>
      <w:r w:rsidRPr="00487788">
        <w:rPr>
          <w:i/>
          <w:sz w:val="22"/>
          <w:szCs w:val="22"/>
        </w:rPr>
        <w:t xml:space="preserve">Further the interests of European citizens in relation to communications matters; and of consumers in relevant markets, where appropriate by promoting competition. </w:t>
      </w:r>
      <w:r w:rsidR="0099436D">
        <w:rPr>
          <w:i/>
          <w:sz w:val="22"/>
          <w:szCs w:val="22"/>
        </w:rPr>
        <w:t>T</w:t>
      </w:r>
      <w:r w:rsidRPr="00487788">
        <w:rPr>
          <w:i/>
          <w:sz w:val="22"/>
          <w:szCs w:val="22"/>
        </w:rPr>
        <w:t xml:space="preserve">ake account of the impact of our decisions upon both citizen and consumer interests in the market. </w:t>
      </w:r>
      <w:r w:rsidR="0099436D">
        <w:rPr>
          <w:i/>
          <w:sz w:val="22"/>
          <w:szCs w:val="22"/>
        </w:rPr>
        <w:t>I</w:t>
      </w:r>
      <w:r w:rsidRPr="00487788">
        <w:rPr>
          <w:i/>
          <w:sz w:val="22"/>
          <w:szCs w:val="22"/>
        </w:rPr>
        <w:t xml:space="preserve">n particular, secure the optimal use for wireless telegraphy of spectrum and have regard to the principle under which all regulatory activities should be targeted only at cases in which action is needed. In making these changes we considered the wider impact beyond immediate stakeholders in the </w:t>
      </w:r>
      <w:proofErr w:type="spellStart"/>
      <w:r w:rsidRPr="00487788">
        <w:rPr>
          <w:i/>
          <w:sz w:val="22"/>
          <w:szCs w:val="22"/>
        </w:rPr>
        <w:t>radiocommunications</w:t>
      </w:r>
      <w:proofErr w:type="spellEnd"/>
      <w:r w:rsidRPr="00487788">
        <w:rPr>
          <w:i/>
          <w:sz w:val="22"/>
          <w:szCs w:val="22"/>
        </w:rPr>
        <w:t xml:space="preserve"> community. </w:t>
      </w:r>
    </w:p>
    <w:p w:rsidR="00487788" w:rsidRDefault="00487788" w:rsidP="00487788">
      <w:pPr>
        <w:pStyle w:val="Default"/>
        <w:rPr>
          <w:sz w:val="22"/>
          <w:szCs w:val="22"/>
        </w:rPr>
      </w:pPr>
    </w:p>
    <w:p w:rsidR="00487788" w:rsidRDefault="00487788" w:rsidP="007670F6">
      <w:pPr>
        <w:pStyle w:val="Default"/>
        <w:numPr>
          <w:ilvl w:val="0"/>
          <w:numId w:val="2"/>
        </w:numPr>
        <w:rPr>
          <w:sz w:val="22"/>
          <w:szCs w:val="22"/>
        </w:rPr>
      </w:pPr>
      <w:r>
        <w:rPr>
          <w:sz w:val="22"/>
          <w:szCs w:val="22"/>
        </w:rPr>
        <w:t>Where possible make the spectrum as open to competition as possible by having the minimum constraints necessary.</w:t>
      </w:r>
    </w:p>
    <w:p w:rsidR="00487788" w:rsidRDefault="00487788" w:rsidP="00487788">
      <w:pPr>
        <w:pStyle w:val="Default"/>
        <w:rPr>
          <w:sz w:val="22"/>
          <w:szCs w:val="22"/>
        </w:rPr>
      </w:pPr>
    </w:p>
    <w:p w:rsidR="00487788" w:rsidRDefault="00487788" w:rsidP="007670F6">
      <w:pPr>
        <w:pStyle w:val="Default"/>
        <w:numPr>
          <w:ilvl w:val="0"/>
          <w:numId w:val="2"/>
        </w:numPr>
        <w:rPr>
          <w:sz w:val="22"/>
          <w:szCs w:val="22"/>
        </w:rPr>
      </w:pPr>
      <w:r>
        <w:rPr>
          <w:sz w:val="22"/>
          <w:szCs w:val="22"/>
        </w:rPr>
        <w:t>Ensure optimal use of spectrum (the best benefit)</w:t>
      </w:r>
    </w:p>
    <w:p w:rsidR="00487788" w:rsidRDefault="00487788" w:rsidP="00487788">
      <w:pPr>
        <w:pStyle w:val="Default"/>
        <w:rPr>
          <w:sz w:val="22"/>
          <w:szCs w:val="22"/>
        </w:rPr>
      </w:pPr>
    </w:p>
    <w:p w:rsidR="00487788" w:rsidRDefault="00487788" w:rsidP="007670F6">
      <w:pPr>
        <w:pStyle w:val="Default"/>
        <w:numPr>
          <w:ilvl w:val="0"/>
          <w:numId w:val="2"/>
        </w:numPr>
        <w:rPr>
          <w:sz w:val="22"/>
          <w:szCs w:val="22"/>
        </w:rPr>
      </w:pPr>
      <w:r>
        <w:rPr>
          <w:sz w:val="22"/>
          <w:szCs w:val="22"/>
        </w:rPr>
        <w:t>Do not distort the market in other (radio)communications sectors</w:t>
      </w:r>
    </w:p>
    <w:p w:rsidR="00B11DED" w:rsidRDefault="00B11DED" w:rsidP="00B11DED">
      <w:pPr>
        <w:spacing w:after="0" w:line="240" w:lineRule="auto"/>
        <w:jc w:val="both"/>
      </w:pPr>
    </w:p>
    <w:p w:rsidR="00B11DED" w:rsidRPr="00650DEF" w:rsidRDefault="007670F6" w:rsidP="00B11DED">
      <w:pPr>
        <w:spacing w:after="0" w:line="240" w:lineRule="auto"/>
        <w:jc w:val="both"/>
        <w:rPr>
          <w:u w:val="single"/>
        </w:rPr>
      </w:pPr>
      <w:r w:rsidRPr="00650DEF">
        <w:rPr>
          <w:u w:val="single"/>
        </w:rPr>
        <w:t>Regulatory Options</w:t>
      </w:r>
    </w:p>
    <w:p w:rsidR="007670F6" w:rsidRDefault="007670F6" w:rsidP="00B11DED">
      <w:pPr>
        <w:spacing w:after="0" w:line="240" w:lineRule="auto"/>
        <w:jc w:val="both"/>
      </w:pPr>
    </w:p>
    <w:p w:rsidR="007670F6" w:rsidRDefault="007670F6" w:rsidP="00B11DED">
      <w:pPr>
        <w:spacing w:after="0" w:line="240" w:lineRule="auto"/>
        <w:jc w:val="both"/>
      </w:pPr>
      <w:r w:rsidRPr="007670F6">
        <w:rPr>
          <w:highlight w:val="yellow"/>
        </w:rPr>
        <w:t>Identify and describe the regulatory options</w:t>
      </w:r>
    </w:p>
    <w:p w:rsidR="007670F6" w:rsidRDefault="007670F6" w:rsidP="00B11DED">
      <w:pPr>
        <w:spacing w:after="0" w:line="240" w:lineRule="auto"/>
        <w:jc w:val="both"/>
      </w:pPr>
    </w:p>
    <w:p w:rsidR="00B11DED" w:rsidRDefault="00A56ECA" w:rsidP="00A56ECA">
      <w:pPr>
        <w:pStyle w:val="ListParagraph"/>
        <w:spacing w:after="0" w:line="240" w:lineRule="auto"/>
        <w:jc w:val="both"/>
      </w:pPr>
      <w:r>
        <w:t xml:space="preserve">- </w:t>
      </w:r>
      <w:r w:rsidR="007670F6">
        <w:t xml:space="preserve">Describe </w:t>
      </w:r>
      <w:r w:rsidR="00E245C6">
        <w:t xml:space="preserve">the proposed technologies and their preferred </w:t>
      </w:r>
      <w:r w:rsidR="005B33F0">
        <w:t>authorisation mechanism</w:t>
      </w:r>
    </w:p>
    <w:p w:rsidR="007670F6" w:rsidRDefault="007670F6" w:rsidP="00B11DED">
      <w:pPr>
        <w:spacing w:after="0" w:line="240" w:lineRule="auto"/>
        <w:jc w:val="both"/>
      </w:pPr>
    </w:p>
    <w:p w:rsidR="005B33F0" w:rsidRDefault="005B33F0" w:rsidP="005B33F0">
      <w:pPr>
        <w:autoSpaceDE w:val="0"/>
        <w:autoSpaceDN w:val="0"/>
        <w:adjustRightInd w:val="0"/>
        <w:ind w:left="720"/>
      </w:pPr>
      <w:r w:rsidRPr="006D0C83">
        <w:t>- reviewing the options which were initially selected and, where</w:t>
      </w:r>
      <w:r w:rsidR="00A56ECA">
        <w:t xml:space="preserve"> </w:t>
      </w:r>
      <w:r w:rsidRPr="006D0C83">
        <w:t>appropriate, narrowing them down</w:t>
      </w:r>
    </w:p>
    <w:p w:rsidR="009549EF" w:rsidRPr="006D0C83" w:rsidRDefault="009549EF" w:rsidP="009549EF">
      <w:pPr>
        <w:pStyle w:val="ListParagraph"/>
        <w:numPr>
          <w:ilvl w:val="0"/>
          <w:numId w:val="7"/>
        </w:numPr>
        <w:autoSpaceDE w:val="0"/>
        <w:autoSpaceDN w:val="0"/>
        <w:adjustRightInd w:val="0"/>
        <w:spacing w:after="0" w:line="240" w:lineRule="auto"/>
      </w:pPr>
      <w:r w:rsidRPr="006D0C83">
        <w:t>all or part of 870-876 MHz</w:t>
      </w:r>
    </w:p>
    <w:p w:rsidR="009549EF" w:rsidRPr="006D0C83" w:rsidRDefault="009549EF" w:rsidP="009549EF">
      <w:pPr>
        <w:pStyle w:val="ListParagraph"/>
        <w:numPr>
          <w:ilvl w:val="0"/>
          <w:numId w:val="7"/>
        </w:numPr>
        <w:autoSpaceDE w:val="0"/>
        <w:autoSpaceDN w:val="0"/>
        <w:adjustRightInd w:val="0"/>
        <w:spacing w:after="0" w:line="240" w:lineRule="auto"/>
      </w:pPr>
      <w:r w:rsidRPr="006D0C83">
        <w:t>all or part of 915-921 MHz</w:t>
      </w:r>
    </w:p>
    <w:p w:rsidR="009549EF" w:rsidRPr="006D0C83" w:rsidRDefault="009549EF" w:rsidP="009549EF">
      <w:pPr>
        <w:pStyle w:val="ListParagraph"/>
        <w:numPr>
          <w:ilvl w:val="0"/>
          <w:numId w:val="7"/>
        </w:numPr>
        <w:autoSpaceDE w:val="0"/>
        <w:autoSpaceDN w:val="0"/>
        <w:adjustRightInd w:val="0"/>
        <w:spacing w:after="0" w:line="240" w:lineRule="auto"/>
      </w:pPr>
      <w:r w:rsidRPr="006D0C83">
        <w:t>Improvements 863-870 MHz</w:t>
      </w:r>
    </w:p>
    <w:p w:rsidR="009549EF" w:rsidRPr="006D0C83" w:rsidRDefault="009549EF" w:rsidP="009549EF">
      <w:pPr>
        <w:pStyle w:val="ListParagraph"/>
        <w:numPr>
          <w:ilvl w:val="0"/>
          <w:numId w:val="7"/>
        </w:numPr>
        <w:autoSpaceDE w:val="0"/>
        <w:autoSpaceDN w:val="0"/>
        <w:adjustRightInd w:val="0"/>
        <w:spacing w:after="0" w:line="240" w:lineRule="auto"/>
      </w:pPr>
      <w:r w:rsidRPr="006D0C83">
        <w:t>Other frequency bands (169 MHz for some applications such as Smart Metering, cognitive radio solutions in 470-790 MHz</w:t>
      </w:r>
    </w:p>
    <w:p w:rsidR="009549EF" w:rsidRPr="006D0C83" w:rsidRDefault="009549EF" w:rsidP="009549EF">
      <w:pPr>
        <w:pStyle w:val="ListParagraph"/>
        <w:numPr>
          <w:ilvl w:val="0"/>
          <w:numId w:val="7"/>
        </w:numPr>
        <w:autoSpaceDE w:val="0"/>
        <w:autoSpaceDN w:val="0"/>
        <w:adjustRightInd w:val="0"/>
        <w:spacing w:after="0" w:line="240" w:lineRule="auto"/>
      </w:pPr>
      <w:r w:rsidRPr="006D0C83">
        <w:t>Not to identify additional spectrum (“no intervention” option)</w:t>
      </w:r>
    </w:p>
    <w:p w:rsidR="009549EF" w:rsidRPr="006D0C83" w:rsidRDefault="009549EF" w:rsidP="009549EF">
      <w:pPr>
        <w:autoSpaceDE w:val="0"/>
        <w:autoSpaceDN w:val="0"/>
        <w:adjustRightInd w:val="0"/>
      </w:pPr>
    </w:p>
    <w:p w:rsidR="009549EF" w:rsidRPr="006D0C83" w:rsidRDefault="009549EF" w:rsidP="005B33F0">
      <w:pPr>
        <w:autoSpaceDE w:val="0"/>
        <w:autoSpaceDN w:val="0"/>
        <w:adjustRightInd w:val="0"/>
        <w:ind w:left="720"/>
      </w:pPr>
    </w:p>
    <w:p w:rsidR="005B33F0" w:rsidRPr="006D0C83" w:rsidRDefault="005B33F0" w:rsidP="005B33F0">
      <w:pPr>
        <w:autoSpaceDE w:val="0"/>
        <w:autoSpaceDN w:val="0"/>
        <w:adjustRightInd w:val="0"/>
        <w:ind w:left="720"/>
      </w:pPr>
      <w:r w:rsidRPr="006D0C83">
        <w:lastRenderedPageBreak/>
        <w:t>- identifying the impacts of the different options on different types of</w:t>
      </w:r>
      <w:r w:rsidR="00A56ECA">
        <w:t xml:space="preserve"> </w:t>
      </w:r>
      <w:r w:rsidRPr="006D0C83">
        <w:t>stakeholders</w:t>
      </w:r>
    </w:p>
    <w:p w:rsidR="005B33F0" w:rsidRDefault="005B33F0" w:rsidP="005B33F0">
      <w:pPr>
        <w:autoSpaceDE w:val="0"/>
        <w:autoSpaceDN w:val="0"/>
        <w:adjustRightInd w:val="0"/>
        <w:ind w:left="720"/>
      </w:pPr>
      <w:r w:rsidRPr="006D0C83">
        <w:t>- identifying any impacts the different options would have on</w:t>
      </w:r>
      <w:r w:rsidR="00A56ECA">
        <w:t xml:space="preserve"> </w:t>
      </w:r>
      <w:r w:rsidRPr="006D0C83">
        <w:t>competition</w:t>
      </w:r>
    </w:p>
    <w:p w:rsidR="004967F7" w:rsidRPr="007C0120" w:rsidRDefault="007C0120" w:rsidP="007C0120">
      <w:pPr>
        <w:autoSpaceDE w:val="0"/>
        <w:autoSpaceDN w:val="0"/>
        <w:adjustRightInd w:val="0"/>
        <w:rPr>
          <w:u w:val="single"/>
        </w:rPr>
      </w:pPr>
      <w:r w:rsidRPr="007C0120">
        <w:rPr>
          <w:u w:val="single"/>
        </w:rPr>
        <w:t>Assessment of benefits</w:t>
      </w:r>
    </w:p>
    <w:p w:rsidR="004967F7" w:rsidRDefault="004967F7" w:rsidP="004967F7">
      <w:pPr>
        <w:autoSpaceDE w:val="0"/>
        <w:autoSpaceDN w:val="0"/>
        <w:adjustRightInd w:val="0"/>
      </w:pPr>
      <w:r w:rsidRPr="007C0120">
        <w:rPr>
          <w:highlight w:val="yellow"/>
        </w:rPr>
        <w:t>Determine the impacts on all stakeholders including relevant spectrum incumbents</w:t>
      </w:r>
    </w:p>
    <w:p w:rsidR="007C0120" w:rsidRDefault="007C0120" w:rsidP="004967F7">
      <w:pPr>
        <w:autoSpaceDE w:val="0"/>
        <w:autoSpaceDN w:val="0"/>
        <w:adjustRightInd w:val="0"/>
      </w:pPr>
      <w:r>
        <w:t>This must include the;</w:t>
      </w:r>
    </w:p>
    <w:p w:rsidR="007C0120" w:rsidRDefault="007C0120" w:rsidP="00434C21">
      <w:pPr>
        <w:pStyle w:val="ListParagraph"/>
        <w:numPr>
          <w:ilvl w:val="0"/>
          <w:numId w:val="4"/>
        </w:numPr>
        <w:autoSpaceDE w:val="0"/>
        <w:autoSpaceDN w:val="0"/>
        <w:adjustRightInd w:val="0"/>
      </w:pPr>
      <w:r>
        <w:t>Differential benefit of having the use of this spectrum over existing methods of operation</w:t>
      </w:r>
    </w:p>
    <w:p w:rsidR="00434C21" w:rsidRDefault="00434C21" w:rsidP="00434C21">
      <w:pPr>
        <w:pStyle w:val="ListParagraph"/>
        <w:autoSpaceDE w:val="0"/>
        <w:autoSpaceDN w:val="0"/>
        <w:adjustRightInd w:val="0"/>
      </w:pPr>
      <w:r w:rsidRPr="006D0C83">
        <w:t>- analysing the costs and benefits that would flow from those impacts</w:t>
      </w:r>
    </w:p>
    <w:p w:rsidR="007C0120" w:rsidRDefault="007C0120" w:rsidP="00434C21">
      <w:pPr>
        <w:pStyle w:val="ListParagraph"/>
        <w:numPr>
          <w:ilvl w:val="0"/>
          <w:numId w:val="4"/>
        </w:numPr>
        <w:autoSpaceDE w:val="0"/>
        <w:autoSpaceDN w:val="0"/>
        <w:adjustRightInd w:val="0"/>
      </w:pPr>
      <w:r>
        <w:t>Description of the benefit of using this spectrum rather than existing allocations</w:t>
      </w:r>
    </w:p>
    <w:p w:rsidR="00434C21" w:rsidRDefault="00434C21" w:rsidP="00434C21">
      <w:pPr>
        <w:pStyle w:val="ListParagraph"/>
        <w:autoSpaceDE w:val="0"/>
        <w:autoSpaceDN w:val="0"/>
        <w:adjustRightInd w:val="0"/>
      </w:pPr>
      <w:r w:rsidRPr="006D0C83">
        <w:t>- assessing the risks attached to the options and the possible</w:t>
      </w:r>
      <w:r>
        <w:t xml:space="preserve"> </w:t>
      </w:r>
      <w:r w:rsidRPr="006D0C83">
        <w:t>unintended consequences</w:t>
      </w:r>
    </w:p>
    <w:p w:rsidR="007C0120" w:rsidRDefault="00434C21" w:rsidP="00434C21">
      <w:pPr>
        <w:pStyle w:val="ListParagraph"/>
        <w:numPr>
          <w:ilvl w:val="0"/>
          <w:numId w:val="4"/>
        </w:numPr>
        <w:autoSpaceDE w:val="0"/>
        <w:autoSpaceDN w:val="0"/>
        <w:adjustRightInd w:val="0"/>
      </w:pPr>
      <w:r>
        <w:t xml:space="preserve">Why other existing allocations are not suitable </w:t>
      </w:r>
      <w:r w:rsidRPr="00434C21">
        <w:rPr>
          <w:highlight w:val="yellow"/>
        </w:rPr>
        <w:t xml:space="preserve">(169 MHz, Whitespace, </w:t>
      </w:r>
      <w:proofErr w:type="spellStart"/>
      <w:r w:rsidRPr="00434C21">
        <w:rPr>
          <w:highlight w:val="yellow"/>
        </w:rPr>
        <w:t>etc</w:t>
      </w:r>
      <w:proofErr w:type="spellEnd"/>
      <w:r w:rsidRPr="00434C21">
        <w:rPr>
          <w:highlight w:val="yellow"/>
        </w:rPr>
        <w:t>)</w:t>
      </w:r>
    </w:p>
    <w:p w:rsidR="00434C21" w:rsidRDefault="00434C21" w:rsidP="00434C21">
      <w:pPr>
        <w:pStyle w:val="ListParagraph"/>
        <w:numPr>
          <w:ilvl w:val="0"/>
          <w:numId w:val="4"/>
        </w:numPr>
        <w:autoSpaceDE w:val="0"/>
        <w:autoSpaceDN w:val="0"/>
        <w:adjustRightInd w:val="0"/>
      </w:pPr>
      <w:r>
        <w:t>Costs of preventing others from accessing the spectrum</w:t>
      </w:r>
    </w:p>
    <w:p w:rsidR="00434C21" w:rsidRDefault="00434C21" w:rsidP="00434C21">
      <w:pPr>
        <w:pStyle w:val="ListParagraph"/>
        <w:autoSpaceDE w:val="0"/>
        <w:autoSpaceDN w:val="0"/>
        <w:adjustRightInd w:val="0"/>
      </w:pPr>
      <w:r w:rsidRPr="006D0C83">
        <w:t>- analysing the distributional effects that would flow from the different</w:t>
      </w:r>
      <w:r>
        <w:t xml:space="preserve"> </w:t>
      </w:r>
      <w:r w:rsidRPr="006D0C83">
        <w:t>Options</w:t>
      </w:r>
      <w:bookmarkStart w:id="0" w:name="_GoBack"/>
      <w:bookmarkEnd w:id="0"/>
    </w:p>
    <w:p w:rsidR="00F6553F" w:rsidRDefault="00F6553F" w:rsidP="00434C21">
      <w:pPr>
        <w:pStyle w:val="ListParagraph"/>
        <w:autoSpaceDE w:val="0"/>
        <w:autoSpaceDN w:val="0"/>
        <w:adjustRightInd w:val="0"/>
      </w:pPr>
      <w:r>
        <w:t>- Determine list of other technologies that could potentially use the spectrum</w:t>
      </w:r>
    </w:p>
    <w:p w:rsidR="00F6553F" w:rsidRDefault="00F6553F" w:rsidP="00434C21">
      <w:pPr>
        <w:pStyle w:val="ListParagraph"/>
        <w:autoSpaceDE w:val="0"/>
        <w:autoSpaceDN w:val="0"/>
        <w:adjustRightInd w:val="0"/>
      </w:pPr>
    </w:p>
    <w:p w:rsidR="00F6553F" w:rsidRPr="00F6553F" w:rsidRDefault="00F6553F" w:rsidP="00434C21">
      <w:pPr>
        <w:pStyle w:val="ListParagraph"/>
        <w:autoSpaceDE w:val="0"/>
        <w:autoSpaceDN w:val="0"/>
        <w:adjustRightInd w:val="0"/>
        <w:rPr>
          <w:highlight w:val="yellow"/>
        </w:rPr>
      </w:pPr>
      <w:r w:rsidRPr="00F6553F">
        <w:rPr>
          <w:highlight w:val="yellow"/>
        </w:rPr>
        <w:t>Ofcom consultation of February 2010 listed alternatives as</w:t>
      </w:r>
    </w:p>
    <w:tbl>
      <w:tblPr>
        <w:tblW w:w="9255" w:type="dxa"/>
        <w:tblBorders>
          <w:top w:val="nil"/>
          <w:left w:val="nil"/>
          <w:bottom w:val="nil"/>
          <w:right w:val="nil"/>
        </w:tblBorders>
        <w:tblLayout w:type="fixed"/>
        <w:tblLook w:val="0000" w:firstRow="0" w:lastRow="0" w:firstColumn="0" w:lastColumn="0" w:noHBand="0" w:noVBand="0"/>
      </w:tblPr>
      <w:tblGrid>
        <w:gridCol w:w="4500"/>
        <w:gridCol w:w="2195"/>
        <w:gridCol w:w="2560"/>
      </w:tblGrid>
      <w:tr w:rsidR="00F6553F" w:rsidRPr="00F6553F" w:rsidTr="00F6553F">
        <w:trPr>
          <w:trHeight w:val="137"/>
        </w:trPr>
        <w:tc>
          <w:tcPr>
            <w:tcW w:w="4500" w:type="dxa"/>
            <w:tcBorders>
              <w:top w:val="single" w:sz="6" w:space="0" w:color="000000"/>
              <w:left w:val="single" w:sz="4" w:space="0" w:color="000000"/>
              <w:bottom w:val="single" w:sz="6" w:space="0" w:color="000000"/>
              <w:right w:val="single" w:sz="4" w:space="0" w:color="000000"/>
            </w:tcBorders>
          </w:tcPr>
          <w:p w:rsidR="00F6553F" w:rsidRPr="00F6553F" w:rsidRDefault="00F6553F" w:rsidP="00F6553F">
            <w:pPr>
              <w:autoSpaceDE w:val="0"/>
              <w:autoSpaceDN w:val="0"/>
              <w:adjustRightInd w:val="0"/>
              <w:spacing w:after="0" w:line="240" w:lineRule="auto"/>
              <w:jc w:val="center"/>
              <w:rPr>
                <w:rFonts w:ascii="Calibri" w:hAnsi="Calibri" w:cs="Times New Roman"/>
                <w:sz w:val="24"/>
                <w:szCs w:val="24"/>
                <w:highlight w:val="yellow"/>
              </w:rPr>
            </w:pPr>
          </w:p>
        </w:tc>
        <w:tc>
          <w:tcPr>
            <w:tcW w:w="2195" w:type="dxa"/>
            <w:tcBorders>
              <w:top w:val="single" w:sz="6" w:space="0" w:color="000000"/>
              <w:left w:val="single" w:sz="4" w:space="0" w:color="000000"/>
              <w:bottom w:val="single" w:sz="6" w:space="0" w:color="000000"/>
              <w:right w:val="single" w:sz="4" w:space="0" w:color="000000"/>
            </w:tcBorders>
          </w:tcPr>
          <w:p w:rsidR="00F6553F" w:rsidRPr="00F6553F" w:rsidRDefault="00F6553F" w:rsidP="00F6553F">
            <w:pPr>
              <w:autoSpaceDE w:val="0"/>
              <w:autoSpaceDN w:val="0"/>
              <w:adjustRightInd w:val="0"/>
              <w:spacing w:after="0" w:line="240" w:lineRule="auto"/>
              <w:jc w:val="center"/>
              <w:rPr>
                <w:color w:val="000000"/>
                <w:highlight w:val="yellow"/>
              </w:rPr>
            </w:pPr>
            <w:r w:rsidRPr="00F6553F">
              <w:rPr>
                <w:b/>
                <w:bCs/>
                <w:color w:val="000000"/>
                <w:highlight w:val="yellow"/>
              </w:rPr>
              <w:t>Full licensing</w:t>
            </w:r>
          </w:p>
        </w:tc>
        <w:tc>
          <w:tcPr>
            <w:tcW w:w="2560" w:type="dxa"/>
            <w:tcBorders>
              <w:top w:val="single" w:sz="6" w:space="0" w:color="000000"/>
              <w:left w:val="single" w:sz="4" w:space="0" w:color="000000"/>
              <w:bottom w:val="single" w:sz="6" w:space="0" w:color="000000"/>
              <w:right w:val="single" w:sz="4" w:space="0" w:color="000000"/>
            </w:tcBorders>
          </w:tcPr>
          <w:p w:rsidR="00F6553F" w:rsidRPr="00F6553F" w:rsidRDefault="00F6553F" w:rsidP="00F6553F">
            <w:pPr>
              <w:autoSpaceDE w:val="0"/>
              <w:autoSpaceDN w:val="0"/>
              <w:adjustRightInd w:val="0"/>
              <w:spacing w:after="0" w:line="240" w:lineRule="auto"/>
              <w:jc w:val="center"/>
              <w:rPr>
                <w:color w:val="000000"/>
                <w:highlight w:val="yellow"/>
              </w:rPr>
            </w:pPr>
            <w:r w:rsidRPr="00F6553F">
              <w:rPr>
                <w:b/>
                <w:bCs/>
                <w:color w:val="000000"/>
                <w:highlight w:val="yellow"/>
              </w:rPr>
              <w:t>Light regulatory</w:t>
            </w:r>
          </w:p>
        </w:tc>
      </w:tr>
      <w:tr w:rsidR="00F6553F" w:rsidRPr="00F6553F" w:rsidTr="00F6553F">
        <w:trPr>
          <w:trHeight w:val="132"/>
        </w:trPr>
        <w:tc>
          <w:tcPr>
            <w:tcW w:w="4500" w:type="dxa"/>
            <w:tcBorders>
              <w:top w:val="single" w:sz="6" w:space="0" w:color="000000"/>
              <w:left w:val="single" w:sz="4" w:space="0" w:color="000000"/>
              <w:bottom w:val="single" w:sz="6" w:space="0" w:color="000000"/>
              <w:right w:val="single" w:sz="4" w:space="0" w:color="000000"/>
            </w:tcBorders>
            <w:vAlign w:val="center"/>
          </w:tcPr>
          <w:p w:rsidR="00F6553F" w:rsidRPr="00F6553F" w:rsidRDefault="00F6553F" w:rsidP="00F6553F">
            <w:pPr>
              <w:autoSpaceDE w:val="0"/>
              <w:autoSpaceDN w:val="0"/>
              <w:adjustRightInd w:val="0"/>
              <w:spacing w:after="0" w:line="240" w:lineRule="auto"/>
              <w:jc w:val="center"/>
              <w:rPr>
                <w:color w:val="000000"/>
                <w:highlight w:val="yellow"/>
              </w:rPr>
            </w:pPr>
            <w:r w:rsidRPr="00F6553F">
              <w:rPr>
                <w:color w:val="000000"/>
                <w:highlight w:val="yellow"/>
              </w:rPr>
              <w:t>Emergency-service applications</w:t>
            </w:r>
          </w:p>
        </w:tc>
        <w:tc>
          <w:tcPr>
            <w:tcW w:w="2195" w:type="dxa"/>
            <w:tcBorders>
              <w:top w:val="single" w:sz="6" w:space="0" w:color="000000"/>
              <w:left w:val="single" w:sz="4" w:space="0" w:color="000000"/>
              <w:bottom w:val="single" w:sz="6" w:space="0" w:color="000000"/>
              <w:right w:val="single" w:sz="4" w:space="0" w:color="000000"/>
            </w:tcBorders>
            <w:vAlign w:val="center"/>
          </w:tcPr>
          <w:p w:rsidR="00F6553F" w:rsidRPr="00F6553F" w:rsidRDefault="00F6553F" w:rsidP="00F6553F">
            <w:pPr>
              <w:autoSpaceDE w:val="0"/>
              <w:autoSpaceDN w:val="0"/>
              <w:adjustRightInd w:val="0"/>
              <w:spacing w:after="0" w:line="240" w:lineRule="auto"/>
              <w:jc w:val="center"/>
              <w:rPr>
                <w:color w:val="000000"/>
                <w:highlight w:val="yellow"/>
              </w:rPr>
            </w:pPr>
            <w:r w:rsidRPr="00F6553F">
              <w:rPr>
                <w:color w:val="000000"/>
                <w:highlight w:val="yellow"/>
              </w:rPr>
              <w:t>Yes</w:t>
            </w:r>
          </w:p>
        </w:tc>
        <w:tc>
          <w:tcPr>
            <w:tcW w:w="2560" w:type="dxa"/>
            <w:tcBorders>
              <w:top w:val="single" w:sz="6" w:space="0" w:color="000000"/>
              <w:left w:val="single" w:sz="4" w:space="0" w:color="000000"/>
              <w:bottom w:val="single" w:sz="6" w:space="0" w:color="000000"/>
              <w:right w:val="single" w:sz="4" w:space="0" w:color="000000"/>
            </w:tcBorders>
            <w:vAlign w:val="center"/>
          </w:tcPr>
          <w:p w:rsidR="00F6553F" w:rsidRPr="00F6553F" w:rsidRDefault="00F6553F" w:rsidP="00F6553F">
            <w:pPr>
              <w:autoSpaceDE w:val="0"/>
              <w:autoSpaceDN w:val="0"/>
              <w:adjustRightInd w:val="0"/>
              <w:spacing w:after="0" w:line="240" w:lineRule="auto"/>
              <w:jc w:val="center"/>
              <w:rPr>
                <w:color w:val="000000"/>
                <w:highlight w:val="yellow"/>
              </w:rPr>
            </w:pPr>
            <w:r w:rsidRPr="00F6553F">
              <w:rPr>
                <w:color w:val="000000"/>
                <w:highlight w:val="yellow"/>
              </w:rPr>
              <w:t>No</w:t>
            </w:r>
          </w:p>
        </w:tc>
      </w:tr>
      <w:tr w:rsidR="00F6553F" w:rsidRPr="00F6553F" w:rsidTr="00F6553F">
        <w:trPr>
          <w:trHeight w:val="131"/>
        </w:trPr>
        <w:tc>
          <w:tcPr>
            <w:tcW w:w="4500" w:type="dxa"/>
            <w:tcBorders>
              <w:top w:val="single" w:sz="6" w:space="0" w:color="000000"/>
              <w:left w:val="single" w:sz="4" w:space="0" w:color="000000"/>
              <w:bottom w:val="single" w:sz="6" w:space="0" w:color="000000"/>
              <w:right w:val="single" w:sz="4" w:space="0" w:color="000000"/>
            </w:tcBorders>
            <w:vAlign w:val="center"/>
          </w:tcPr>
          <w:p w:rsidR="00F6553F" w:rsidRPr="00F6553F" w:rsidRDefault="00F6553F" w:rsidP="00F6553F">
            <w:pPr>
              <w:autoSpaceDE w:val="0"/>
              <w:autoSpaceDN w:val="0"/>
              <w:adjustRightInd w:val="0"/>
              <w:spacing w:after="0" w:line="240" w:lineRule="auto"/>
              <w:jc w:val="center"/>
              <w:rPr>
                <w:color w:val="000000"/>
                <w:highlight w:val="yellow"/>
              </w:rPr>
            </w:pPr>
            <w:r w:rsidRPr="00F6553F">
              <w:rPr>
                <w:color w:val="000000"/>
                <w:highlight w:val="yellow"/>
              </w:rPr>
              <w:t>GSM-R</w:t>
            </w:r>
          </w:p>
        </w:tc>
        <w:tc>
          <w:tcPr>
            <w:tcW w:w="2195" w:type="dxa"/>
            <w:tcBorders>
              <w:top w:val="single" w:sz="6" w:space="0" w:color="000000"/>
              <w:left w:val="single" w:sz="4" w:space="0" w:color="000000"/>
              <w:bottom w:val="single" w:sz="6" w:space="0" w:color="000000"/>
              <w:right w:val="single" w:sz="4" w:space="0" w:color="000000"/>
            </w:tcBorders>
            <w:vAlign w:val="center"/>
          </w:tcPr>
          <w:p w:rsidR="00F6553F" w:rsidRPr="00F6553F" w:rsidRDefault="00F6553F" w:rsidP="00F6553F">
            <w:pPr>
              <w:autoSpaceDE w:val="0"/>
              <w:autoSpaceDN w:val="0"/>
              <w:adjustRightInd w:val="0"/>
              <w:spacing w:after="0" w:line="240" w:lineRule="auto"/>
              <w:jc w:val="center"/>
              <w:rPr>
                <w:color w:val="000000"/>
                <w:highlight w:val="yellow"/>
              </w:rPr>
            </w:pPr>
            <w:r w:rsidRPr="00F6553F">
              <w:rPr>
                <w:color w:val="000000"/>
                <w:highlight w:val="yellow"/>
              </w:rPr>
              <w:t>Yes</w:t>
            </w:r>
          </w:p>
        </w:tc>
        <w:tc>
          <w:tcPr>
            <w:tcW w:w="2560" w:type="dxa"/>
            <w:tcBorders>
              <w:top w:val="single" w:sz="6" w:space="0" w:color="000000"/>
              <w:left w:val="single" w:sz="4" w:space="0" w:color="000000"/>
              <w:bottom w:val="single" w:sz="6" w:space="0" w:color="000000"/>
              <w:right w:val="single" w:sz="4" w:space="0" w:color="000000"/>
            </w:tcBorders>
            <w:vAlign w:val="center"/>
          </w:tcPr>
          <w:p w:rsidR="00F6553F" w:rsidRPr="00F6553F" w:rsidRDefault="00F6553F" w:rsidP="00F6553F">
            <w:pPr>
              <w:autoSpaceDE w:val="0"/>
              <w:autoSpaceDN w:val="0"/>
              <w:adjustRightInd w:val="0"/>
              <w:spacing w:after="0" w:line="240" w:lineRule="auto"/>
              <w:jc w:val="center"/>
              <w:rPr>
                <w:color w:val="000000"/>
                <w:highlight w:val="yellow"/>
              </w:rPr>
            </w:pPr>
            <w:r w:rsidRPr="00F6553F">
              <w:rPr>
                <w:color w:val="000000"/>
                <w:highlight w:val="yellow"/>
              </w:rPr>
              <w:t>No</w:t>
            </w:r>
          </w:p>
        </w:tc>
      </w:tr>
      <w:tr w:rsidR="00F6553F" w:rsidRPr="00F6553F" w:rsidTr="00F6553F">
        <w:trPr>
          <w:trHeight w:val="132"/>
        </w:trPr>
        <w:tc>
          <w:tcPr>
            <w:tcW w:w="4500" w:type="dxa"/>
            <w:tcBorders>
              <w:top w:val="single" w:sz="6" w:space="0" w:color="000000"/>
              <w:left w:val="single" w:sz="4" w:space="0" w:color="000000"/>
              <w:bottom w:val="single" w:sz="6" w:space="0" w:color="000000"/>
              <w:right w:val="single" w:sz="4" w:space="0" w:color="000000"/>
            </w:tcBorders>
            <w:vAlign w:val="center"/>
          </w:tcPr>
          <w:p w:rsidR="00F6553F" w:rsidRPr="00F6553F" w:rsidRDefault="00F6553F" w:rsidP="00F6553F">
            <w:pPr>
              <w:autoSpaceDE w:val="0"/>
              <w:autoSpaceDN w:val="0"/>
              <w:adjustRightInd w:val="0"/>
              <w:spacing w:after="0" w:line="240" w:lineRule="auto"/>
              <w:jc w:val="center"/>
              <w:rPr>
                <w:color w:val="000000"/>
                <w:highlight w:val="yellow"/>
              </w:rPr>
            </w:pPr>
            <w:r w:rsidRPr="00F6553F">
              <w:rPr>
                <w:color w:val="000000"/>
                <w:highlight w:val="yellow"/>
              </w:rPr>
              <w:t>Mobile broadband</w:t>
            </w:r>
          </w:p>
        </w:tc>
        <w:tc>
          <w:tcPr>
            <w:tcW w:w="2195" w:type="dxa"/>
            <w:tcBorders>
              <w:top w:val="single" w:sz="6" w:space="0" w:color="000000"/>
              <w:left w:val="single" w:sz="4" w:space="0" w:color="000000"/>
              <w:bottom w:val="single" w:sz="6" w:space="0" w:color="000000"/>
              <w:right w:val="single" w:sz="4" w:space="0" w:color="000000"/>
            </w:tcBorders>
            <w:vAlign w:val="center"/>
          </w:tcPr>
          <w:p w:rsidR="00F6553F" w:rsidRPr="00F6553F" w:rsidRDefault="00F6553F" w:rsidP="00F6553F">
            <w:pPr>
              <w:autoSpaceDE w:val="0"/>
              <w:autoSpaceDN w:val="0"/>
              <w:adjustRightInd w:val="0"/>
              <w:spacing w:after="0" w:line="240" w:lineRule="auto"/>
              <w:jc w:val="center"/>
              <w:rPr>
                <w:color w:val="000000"/>
                <w:highlight w:val="yellow"/>
              </w:rPr>
            </w:pPr>
            <w:r w:rsidRPr="00F6553F">
              <w:rPr>
                <w:color w:val="000000"/>
                <w:highlight w:val="yellow"/>
              </w:rPr>
              <w:t>Yes</w:t>
            </w:r>
          </w:p>
        </w:tc>
        <w:tc>
          <w:tcPr>
            <w:tcW w:w="2560" w:type="dxa"/>
            <w:tcBorders>
              <w:top w:val="single" w:sz="6" w:space="0" w:color="000000"/>
              <w:left w:val="single" w:sz="4" w:space="0" w:color="000000"/>
              <w:bottom w:val="single" w:sz="6" w:space="0" w:color="000000"/>
              <w:right w:val="single" w:sz="4" w:space="0" w:color="000000"/>
            </w:tcBorders>
            <w:vAlign w:val="center"/>
          </w:tcPr>
          <w:p w:rsidR="00F6553F" w:rsidRPr="00F6553F" w:rsidRDefault="00F6553F" w:rsidP="00F6553F">
            <w:pPr>
              <w:autoSpaceDE w:val="0"/>
              <w:autoSpaceDN w:val="0"/>
              <w:adjustRightInd w:val="0"/>
              <w:spacing w:after="0" w:line="240" w:lineRule="auto"/>
              <w:jc w:val="center"/>
              <w:rPr>
                <w:color w:val="000000"/>
                <w:highlight w:val="yellow"/>
              </w:rPr>
            </w:pPr>
            <w:r w:rsidRPr="00F6553F">
              <w:rPr>
                <w:color w:val="000000"/>
                <w:highlight w:val="yellow"/>
              </w:rPr>
              <w:t>No</w:t>
            </w:r>
          </w:p>
        </w:tc>
      </w:tr>
      <w:tr w:rsidR="00F6553F" w:rsidRPr="00F6553F" w:rsidTr="00F6553F">
        <w:trPr>
          <w:trHeight w:val="132"/>
        </w:trPr>
        <w:tc>
          <w:tcPr>
            <w:tcW w:w="4500" w:type="dxa"/>
            <w:tcBorders>
              <w:top w:val="single" w:sz="6" w:space="0" w:color="000000"/>
              <w:left w:val="single" w:sz="4" w:space="0" w:color="000000"/>
              <w:bottom w:val="single" w:sz="6" w:space="0" w:color="000000"/>
              <w:right w:val="single" w:sz="4" w:space="0" w:color="000000"/>
            </w:tcBorders>
            <w:vAlign w:val="center"/>
          </w:tcPr>
          <w:p w:rsidR="00F6553F" w:rsidRPr="00F6553F" w:rsidRDefault="00F6553F" w:rsidP="00F6553F">
            <w:pPr>
              <w:autoSpaceDE w:val="0"/>
              <w:autoSpaceDN w:val="0"/>
              <w:adjustRightInd w:val="0"/>
              <w:spacing w:after="0" w:line="240" w:lineRule="auto"/>
              <w:jc w:val="center"/>
              <w:rPr>
                <w:color w:val="000000"/>
                <w:highlight w:val="yellow"/>
              </w:rPr>
            </w:pPr>
            <w:r w:rsidRPr="00F6553F">
              <w:rPr>
                <w:color w:val="000000"/>
                <w:highlight w:val="yellow"/>
              </w:rPr>
              <w:t>RFID</w:t>
            </w:r>
          </w:p>
        </w:tc>
        <w:tc>
          <w:tcPr>
            <w:tcW w:w="2195" w:type="dxa"/>
            <w:tcBorders>
              <w:top w:val="single" w:sz="6" w:space="0" w:color="000000"/>
              <w:left w:val="single" w:sz="4" w:space="0" w:color="000000"/>
              <w:bottom w:val="single" w:sz="6" w:space="0" w:color="000000"/>
              <w:right w:val="single" w:sz="4" w:space="0" w:color="000000"/>
            </w:tcBorders>
            <w:vAlign w:val="center"/>
          </w:tcPr>
          <w:p w:rsidR="00F6553F" w:rsidRPr="00F6553F" w:rsidRDefault="00F6553F" w:rsidP="00F6553F">
            <w:pPr>
              <w:autoSpaceDE w:val="0"/>
              <w:autoSpaceDN w:val="0"/>
              <w:adjustRightInd w:val="0"/>
              <w:spacing w:after="0" w:line="240" w:lineRule="auto"/>
              <w:jc w:val="center"/>
              <w:rPr>
                <w:color w:val="000000"/>
                <w:highlight w:val="yellow"/>
              </w:rPr>
            </w:pPr>
            <w:r w:rsidRPr="00F6553F">
              <w:rPr>
                <w:color w:val="000000"/>
                <w:highlight w:val="yellow"/>
              </w:rPr>
              <w:t>No</w:t>
            </w:r>
          </w:p>
        </w:tc>
        <w:tc>
          <w:tcPr>
            <w:tcW w:w="2560" w:type="dxa"/>
            <w:tcBorders>
              <w:top w:val="single" w:sz="6" w:space="0" w:color="000000"/>
              <w:left w:val="single" w:sz="4" w:space="0" w:color="000000"/>
              <w:bottom w:val="single" w:sz="6" w:space="0" w:color="000000"/>
              <w:right w:val="single" w:sz="4" w:space="0" w:color="000000"/>
            </w:tcBorders>
            <w:vAlign w:val="center"/>
          </w:tcPr>
          <w:p w:rsidR="00F6553F" w:rsidRPr="00F6553F" w:rsidRDefault="00F6553F" w:rsidP="00F6553F">
            <w:pPr>
              <w:autoSpaceDE w:val="0"/>
              <w:autoSpaceDN w:val="0"/>
              <w:adjustRightInd w:val="0"/>
              <w:spacing w:after="0" w:line="240" w:lineRule="auto"/>
              <w:jc w:val="center"/>
              <w:rPr>
                <w:color w:val="000000"/>
                <w:highlight w:val="yellow"/>
              </w:rPr>
            </w:pPr>
            <w:r w:rsidRPr="00F6553F">
              <w:rPr>
                <w:color w:val="000000"/>
                <w:highlight w:val="yellow"/>
              </w:rPr>
              <w:t>Yes</w:t>
            </w:r>
          </w:p>
        </w:tc>
      </w:tr>
      <w:tr w:rsidR="00F6553F" w:rsidRPr="00F6553F" w:rsidTr="00F6553F">
        <w:trPr>
          <w:trHeight w:val="131"/>
        </w:trPr>
        <w:tc>
          <w:tcPr>
            <w:tcW w:w="4500" w:type="dxa"/>
            <w:tcBorders>
              <w:top w:val="single" w:sz="6" w:space="0" w:color="000000"/>
              <w:left w:val="single" w:sz="4" w:space="0" w:color="000000"/>
              <w:bottom w:val="single" w:sz="6" w:space="0" w:color="000000"/>
              <w:right w:val="single" w:sz="4" w:space="0" w:color="000000"/>
            </w:tcBorders>
            <w:vAlign w:val="center"/>
          </w:tcPr>
          <w:p w:rsidR="00F6553F" w:rsidRPr="00F6553F" w:rsidRDefault="00F6553F" w:rsidP="00F6553F">
            <w:pPr>
              <w:autoSpaceDE w:val="0"/>
              <w:autoSpaceDN w:val="0"/>
              <w:adjustRightInd w:val="0"/>
              <w:spacing w:after="0" w:line="240" w:lineRule="auto"/>
              <w:jc w:val="center"/>
              <w:rPr>
                <w:color w:val="000000"/>
                <w:highlight w:val="yellow"/>
              </w:rPr>
            </w:pPr>
            <w:r w:rsidRPr="00F6553F">
              <w:rPr>
                <w:color w:val="000000"/>
                <w:highlight w:val="yellow"/>
              </w:rPr>
              <w:t>Smart metering</w:t>
            </w:r>
          </w:p>
        </w:tc>
        <w:tc>
          <w:tcPr>
            <w:tcW w:w="2195" w:type="dxa"/>
            <w:tcBorders>
              <w:top w:val="single" w:sz="6" w:space="0" w:color="000000"/>
              <w:left w:val="single" w:sz="4" w:space="0" w:color="000000"/>
              <w:bottom w:val="single" w:sz="6" w:space="0" w:color="000000"/>
              <w:right w:val="single" w:sz="4" w:space="0" w:color="000000"/>
            </w:tcBorders>
            <w:vAlign w:val="center"/>
          </w:tcPr>
          <w:p w:rsidR="00F6553F" w:rsidRPr="00F6553F" w:rsidRDefault="00F6553F" w:rsidP="00F6553F">
            <w:pPr>
              <w:autoSpaceDE w:val="0"/>
              <w:autoSpaceDN w:val="0"/>
              <w:adjustRightInd w:val="0"/>
              <w:spacing w:after="0" w:line="240" w:lineRule="auto"/>
              <w:jc w:val="center"/>
              <w:rPr>
                <w:color w:val="000000"/>
                <w:highlight w:val="yellow"/>
              </w:rPr>
            </w:pPr>
            <w:r w:rsidRPr="00F6553F">
              <w:rPr>
                <w:color w:val="000000"/>
                <w:highlight w:val="yellow"/>
              </w:rPr>
              <w:t>No</w:t>
            </w:r>
          </w:p>
        </w:tc>
        <w:tc>
          <w:tcPr>
            <w:tcW w:w="2560" w:type="dxa"/>
            <w:tcBorders>
              <w:top w:val="single" w:sz="6" w:space="0" w:color="000000"/>
              <w:left w:val="single" w:sz="4" w:space="0" w:color="000000"/>
              <w:bottom w:val="single" w:sz="6" w:space="0" w:color="000000"/>
              <w:right w:val="single" w:sz="4" w:space="0" w:color="000000"/>
            </w:tcBorders>
            <w:vAlign w:val="center"/>
          </w:tcPr>
          <w:p w:rsidR="00F6553F" w:rsidRPr="00F6553F" w:rsidRDefault="00F6553F" w:rsidP="00F6553F">
            <w:pPr>
              <w:autoSpaceDE w:val="0"/>
              <w:autoSpaceDN w:val="0"/>
              <w:adjustRightInd w:val="0"/>
              <w:spacing w:after="0" w:line="240" w:lineRule="auto"/>
              <w:jc w:val="center"/>
              <w:rPr>
                <w:color w:val="000000"/>
                <w:highlight w:val="yellow"/>
              </w:rPr>
            </w:pPr>
            <w:r w:rsidRPr="00F6553F">
              <w:rPr>
                <w:color w:val="000000"/>
                <w:highlight w:val="yellow"/>
              </w:rPr>
              <w:t>Yes</w:t>
            </w:r>
          </w:p>
        </w:tc>
      </w:tr>
      <w:tr w:rsidR="00F6553F" w:rsidRPr="00F6553F" w:rsidTr="00F6553F">
        <w:trPr>
          <w:trHeight w:val="132"/>
        </w:trPr>
        <w:tc>
          <w:tcPr>
            <w:tcW w:w="4500" w:type="dxa"/>
            <w:tcBorders>
              <w:top w:val="single" w:sz="6" w:space="0" w:color="000000"/>
              <w:left w:val="single" w:sz="4" w:space="0" w:color="000000"/>
              <w:bottom w:val="single" w:sz="6" w:space="0" w:color="000000"/>
              <w:right w:val="single" w:sz="4" w:space="0" w:color="000000"/>
            </w:tcBorders>
            <w:vAlign w:val="center"/>
          </w:tcPr>
          <w:p w:rsidR="00F6553F" w:rsidRPr="00F6553F" w:rsidRDefault="00F6553F" w:rsidP="00F6553F">
            <w:pPr>
              <w:autoSpaceDE w:val="0"/>
              <w:autoSpaceDN w:val="0"/>
              <w:adjustRightInd w:val="0"/>
              <w:spacing w:after="0" w:line="240" w:lineRule="auto"/>
              <w:jc w:val="center"/>
              <w:rPr>
                <w:color w:val="000000"/>
                <w:highlight w:val="yellow"/>
              </w:rPr>
            </w:pPr>
            <w:r w:rsidRPr="00F6553F">
              <w:rPr>
                <w:color w:val="000000"/>
                <w:highlight w:val="yellow"/>
              </w:rPr>
              <w:t>SRDs</w:t>
            </w:r>
          </w:p>
        </w:tc>
        <w:tc>
          <w:tcPr>
            <w:tcW w:w="2195" w:type="dxa"/>
            <w:tcBorders>
              <w:top w:val="single" w:sz="6" w:space="0" w:color="000000"/>
              <w:left w:val="single" w:sz="4" w:space="0" w:color="000000"/>
              <w:bottom w:val="single" w:sz="6" w:space="0" w:color="000000"/>
              <w:right w:val="single" w:sz="4" w:space="0" w:color="000000"/>
            </w:tcBorders>
            <w:vAlign w:val="center"/>
          </w:tcPr>
          <w:p w:rsidR="00F6553F" w:rsidRPr="00F6553F" w:rsidRDefault="00F6553F" w:rsidP="00F6553F">
            <w:pPr>
              <w:autoSpaceDE w:val="0"/>
              <w:autoSpaceDN w:val="0"/>
              <w:adjustRightInd w:val="0"/>
              <w:spacing w:after="0" w:line="240" w:lineRule="auto"/>
              <w:jc w:val="center"/>
              <w:rPr>
                <w:color w:val="000000"/>
                <w:highlight w:val="yellow"/>
              </w:rPr>
            </w:pPr>
            <w:r w:rsidRPr="00F6553F">
              <w:rPr>
                <w:color w:val="000000"/>
                <w:highlight w:val="yellow"/>
              </w:rPr>
              <w:t>No</w:t>
            </w:r>
          </w:p>
        </w:tc>
        <w:tc>
          <w:tcPr>
            <w:tcW w:w="2560" w:type="dxa"/>
            <w:tcBorders>
              <w:top w:val="single" w:sz="6" w:space="0" w:color="000000"/>
              <w:left w:val="single" w:sz="4" w:space="0" w:color="000000"/>
              <w:bottom w:val="single" w:sz="6" w:space="0" w:color="000000"/>
              <w:right w:val="single" w:sz="4" w:space="0" w:color="000000"/>
            </w:tcBorders>
            <w:vAlign w:val="center"/>
          </w:tcPr>
          <w:p w:rsidR="00F6553F" w:rsidRPr="00F6553F" w:rsidRDefault="00F6553F" w:rsidP="00F6553F">
            <w:pPr>
              <w:autoSpaceDE w:val="0"/>
              <w:autoSpaceDN w:val="0"/>
              <w:adjustRightInd w:val="0"/>
              <w:spacing w:after="0" w:line="240" w:lineRule="auto"/>
              <w:jc w:val="center"/>
              <w:rPr>
                <w:color w:val="000000"/>
                <w:highlight w:val="yellow"/>
              </w:rPr>
            </w:pPr>
            <w:r w:rsidRPr="00F6553F">
              <w:rPr>
                <w:color w:val="000000"/>
                <w:highlight w:val="yellow"/>
              </w:rPr>
              <w:t>Yes</w:t>
            </w:r>
          </w:p>
        </w:tc>
      </w:tr>
      <w:tr w:rsidR="00F6553F" w:rsidRPr="00F6553F" w:rsidTr="00F6553F">
        <w:trPr>
          <w:trHeight w:val="131"/>
        </w:trPr>
        <w:tc>
          <w:tcPr>
            <w:tcW w:w="4500" w:type="dxa"/>
            <w:tcBorders>
              <w:top w:val="single" w:sz="6" w:space="0" w:color="000000"/>
              <w:left w:val="single" w:sz="4" w:space="0" w:color="000000"/>
              <w:bottom w:val="single" w:sz="6" w:space="0" w:color="000000"/>
              <w:right w:val="single" w:sz="4" w:space="0" w:color="000000"/>
            </w:tcBorders>
            <w:vAlign w:val="center"/>
          </w:tcPr>
          <w:p w:rsidR="00F6553F" w:rsidRPr="00F6553F" w:rsidRDefault="00F6553F" w:rsidP="00F6553F">
            <w:pPr>
              <w:autoSpaceDE w:val="0"/>
              <w:autoSpaceDN w:val="0"/>
              <w:adjustRightInd w:val="0"/>
              <w:spacing w:after="0" w:line="240" w:lineRule="auto"/>
              <w:jc w:val="center"/>
              <w:rPr>
                <w:color w:val="000000"/>
                <w:highlight w:val="yellow"/>
              </w:rPr>
            </w:pPr>
            <w:r w:rsidRPr="00F6553F">
              <w:rPr>
                <w:color w:val="000000"/>
                <w:highlight w:val="yellow"/>
              </w:rPr>
              <w:t>UAVs</w:t>
            </w:r>
          </w:p>
        </w:tc>
        <w:tc>
          <w:tcPr>
            <w:tcW w:w="2195" w:type="dxa"/>
            <w:tcBorders>
              <w:top w:val="single" w:sz="6" w:space="0" w:color="000000"/>
              <w:left w:val="single" w:sz="4" w:space="0" w:color="000000"/>
              <w:bottom w:val="single" w:sz="6" w:space="0" w:color="000000"/>
              <w:right w:val="single" w:sz="4" w:space="0" w:color="000000"/>
            </w:tcBorders>
            <w:vAlign w:val="center"/>
          </w:tcPr>
          <w:p w:rsidR="00F6553F" w:rsidRPr="00F6553F" w:rsidRDefault="00F6553F" w:rsidP="00F6553F">
            <w:pPr>
              <w:autoSpaceDE w:val="0"/>
              <w:autoSpaceDN w:val="0"/>
              <w:adjustRightInd w:val="0"/>
              <w:spacing w:after="0" w:line="240" w:lineRule="auto"/>
              <w:jc w:val="center"/>
              <w:rPr>
                <w:color w:val="000000"/>
                <w:highlight w:val="yellow"/>
              </w:rPr>
            </w:pPr>
            <w:r w:rsidRPr="00F6553F">
              <w:rPr>
                <w:color w:val="000000"/>
                <w:highlight w:val="yellow"/>
              </w:rPr>
              <w:t>No</w:t>
            </w:r>
          </w:p>
        </w:tc>
        <w:tc>
          <w:tcPr>
            <w:tcW w:w="2560" w:type="dxa"/>
            <w:tcBorders>
              <w:top w:val="single" w:sz="6" w:space="0" w:color="000000"/>
              <w:left w:val="single" w:sz="4" w:space="0" w:color="000000"/>
              <w:bottom w:val="single" w:sz="6" w:space="0" w:color="000000"/>
              <w:right w:val="single" w:sz="4" w:space="0" w:color="000000"/>
            </w:tcBorders>
            <w:vAlign w:val="center"/>
          </w:tcPr>
          <w:p w:rsidR="00F6553F" w:rsidRPr="00F6553F" w:rsidRDefault="00F6553F" w:rsidP="00F6553F">
            <w:pPr>
              <w:autoSpaceDE w:val="0"/>
              <w:autoSpaceDN w:val="0"/>
              <w:adjustRightInd w:val="0"/>
              <w:spacing w:after="0" w:line="240" w:lineRule="auto"/>
              <w:jc w:val="center"/>
              <w:rPr>
                <w:color w:val="000000"/>
              </w:rPr>
            </w:pPr>
            <w:r w:rsidRPr="00F6553F">
              <w:rPr>
                <w:color w:val="000000"/>
                <w:highlight w:val="yellow"/>
              </w:rPr>
              <w:t>Yes</w:t>
            </w:r>
          </w:p>
        </w:tc>
      </w:tr>
    </w:tbl>
    <w:p w:rsidR="00365B85" w:rsidRDefault="00365B85" w:rsidP="007F2C0D">
      <w:pPr>
        <w:autoSpaceDE w:val="0"/>
        <w:autoSpaceDN w:val="0"/>
        <w:adjustRightInd w:val="0"/>
      </w:pPr>
    </w:p>
    <w:p w:rsidR="00434C21" w:rsidRDefault="00434C21" w:rsidP="00434C21">
      <w:pPr>
        <w:pStyle w:val="ListParagraph"/>
        <w:numPr>
          <w:ilvl w:val="0"/>
          <w:numId w:val="4"/>
        </w:numPr>
        <w:autoSpaceDE w:val="0"/>
        <w:autoSpaceDN w:val="0"/>
        <w:adjustRightInd w:val="0"/>
      </w:pPr>
      <w:r>
        <w:t>Options considered for shared access</w:t>
      </w:r>
    </w:p>
    <w:p w:rsidR="007D5DF5" w:rsidRDefault="007D5DF5" w:rsidP="007D5DF5">
      <w:pPr>
        <w:pStyle w:val="ListParagraph"/>
        <w:numPr>
          <w:ilvl w:val="1"/>
          <w:numId w:val="4"/>
        </w:numPr>
        <w:autoSpaceDE w:val="0"/>
        <w:autoSpaceDN w:val="0"/>
        <w:adjustRightInd w:val="0"/>
      </w:pPr>
      <w:r w:rsidRPr="007D5DF5">
        <w:rPr>
          <w:highlight w:val="green"/>
        </w:rPr>
        <w:t xml:space="preserve">Set out case for segmentation by technology specific means rather than the application specific means requested in each </w:t>
      </w:r>
      <w:proofErr w:type="spellStart"/>
      <w:r w:rsidRPr="007D5DF5">
        <w:rPr>
          <w:highlight w:val="green"/>
        </w:rPr>
        <w:t>SRDoc</w:t>
      </w:r>
      <w:proofErr w:type="spellEnd"/>
      <w:r>
        <w:t>.</w:t>
      </w:r>
    </w:p>
    <w:p w:rsidR="00E47334" w:rsidRDefault="00E47334" w:rsidP="007D5DF5">
      <w:pPr>
        <w:pStyle w:val="ListParagraph"/>
        <w:numPr>
          <w:ilvl w:val="1"/>
          <w:numId w:val="4"/>
        </w:numPr>
        <w:autoSpaceDE w:val="0"/>
        <w:autoSpaceDN w:val="0"/>
        <w:adjustRightInd w:val="0"/>
      </w:pPr>
      <w:r>
        <w:t>Set out options for sharing (e.g. GSM-RE and Smart meters</w:t>
      </w:r>
    </w:p>
    <w:p w:rsidR="00F6553F" w:rsidRPr="00F6553F" w:rsidRDefault="00F6553F" w:rsidP="00F6553F">
      <w:pPr>
        <w:autoSpaceDE w:val="0"/>
        <w:autoSpaceDN w:val="0"/>
        <w:adjustRightInd w:val="0"/>
        <w:rPr>
          <w:u w:val="single"/>
        </w:rPr>
      </w:pPr>
      <w:r w:rsidRPr="00F6553F">
        <w:rPr>
          <w:u w:val="single"/>
        </w:rPr>
        <w:t>Table of Costs and Benefits</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985"/>
        <w:gridCol w:w="3402"/>
        <w:gridCol w:w="3685"/>
      </w:tblGrid>
      <w:tr w:rsidR="007C0120" w:rsidTr="00E47334">
        <w:trPr>
          <w:trHeight w:val="127"/>
        </w:trPr>
        <w:tc>
          <w:tcPr>
            <w:tcW w:w="1843" w:type="dxa"/>
            <w:shd w:val="clear" w:color="auto" w:fill="C1C1C1"/>
            <w:vAlign w:val="center"/>
          </w:tcPr>
          <w:p w:rsidR="007C0120" w:rsidRPr="007C0120" w:rsidRDefault="007C0120">
            <w:pPr>
              <w:pStyle w:val="Default"/>
              <w:rPr>
                <w:b/>
                <w:sz w:val="20"/>
                <w:szCs w:val="20"/>
              </w:rPr>
            </w:pPr>
            <w:r w:rsidRPr="007C0120">
              <w:rPr>
                <w:b/>
                <w:sz w:val="20"/>
                <w:szCs w:val="20"/>
              </w:rPr>
              <w:t>Technology</w:t>
            </w:r>
          </w:p>
        </w:tc>
        <w:tc>
          <w:tcPr>
            <w:tcW w:w="1985" w:type="dxa"/>
            <w:shd w:val="clear" w:color="auto" w:fill="C1C1C1"/>
            <w:vAlign w:val="center"/>
          </w:tcPr>
          <w:p w:rsidR="007C0120" w:rsidRDefault="007C0120" w:rsidP="007C0120">
            <w:pPr>
              <w:pStyle w:val="Default"/>
              <w:rPr>
                <w:sz w:val="20"/>
                <w:szCs w:val="20"/>
              </w:rPr>
            </w:pPr>
            <w:r>
              <w:rPr>
                <w:b/>
                <w:bCs/>
                <w:sz w:val="20"/>
                <w:szCs w:val="20"/>
              </w:rPr>
              <w:t>Proposal</w:t>
            </w:r>
          </w:p>
        </w:tc>
        <w:tc>
          <w:tcPr>
            <w:tcW w:w="3402" w:type="dxa"/>
            <w:shd w:val="clear" w:color="auto" w:fill="C1C1C1"/>
            <w:vAlign w:val="center"/>
          </w:tcPr>
          <w:p w:rsidR="007C0120" w:rsidRDefault="007C0120">
            <w:pPr>
              <w:pStyle w:val="Default"/>
              <w:rPr>
                <w:sz w:val="20"/>
                <w:szCs w:val="20"/>
              </w:rPr>
            </w:pPr>
            <w:r>
              <w:rPr>
                <w:b/>
                <w:bCs/>
                <w:sz w:val="20"/>
                <w:szCs w:val="20"/>
              </w:rPr>
              <w:t>General benefit of authorising</w:t>
            </w:r>
          </w:p>
        </w:tc>
        <w:tc>
          <w:tcPr>
            <w:tcW w:w="3685" w:type="dxa"/>
            <w:shd w:val="clear" w:color="auto" w:fill="C1C1C1"/>
            <w:vAlign w:val="center"/>
          </w:tcPr>
          <w:p w:rsidR="007C0120" w:rsidRDefault="007C0120">
            <w:pPr>
              <w:pStyle w:val="Default"/>
              <w:rPr>
                <w:sz w:val="20"/>
                <w:szCs w:val="20"/>
              </w:rPr>
            </w:pPr>
            <w:r>
              <w:rPr>
                <w:b/>
                <w:bCs/>
                <w:sz w:val="20"/>
                <w:szCs w:val="20"/>
              </w:rPr>
              <w:t>Potential costs</w:t>
            </w:r>
          </w:p>
        </w:tc>
      </w:tr>
      <w:tr w:rsidR="007C0120" w:rsidTr="00E47334">
        <w:trPr>
          <w:trHeight w:val="110"/>
        </w:trPr>
        <w:tc>
          <w:tcPr>
            <w:tcW w:w="1843" w:type="dxa"/>
            <w:vAlign w:val="center"/>
          </w:tcPr>
          <w:p w:rsidR="007C0120" w:rsidRDefault="007C0120">
            <w:pPr>
              <w:pStyle w:val="Default"/>
              <w:rPr>
                <w:sz w:val="20"/>
                <w:szCs w:val="20"/>
              </w:rPr>
            </w:pPr>
          </w:p>
        </w:tc>
        <w:tc>
          <w:tcPr>
            <w:tcW w:w="1985" w:type="dxa"/>
            <w:vAlign w:val="center"/>
          </w:tcPr>
          <w:p w:rsidR="007C0120" w:rsidRDefault="007C0120">
            <w:pPr>
              <w:pStyle w:val="Default"/>
              <w:rPr>
                <w:sz w:val="20"/>
                <w:szCs w:val="20"/>
              </w:rPr>
            </w:pPr>
          </w:p>
        </w:tc>
        <w:tc>
          <w:tcPr>
            <w:tcW w:w="3402" w:type="dxa"/>
            <w:vAlign w:val="center"/>
          </w:tcPr>
          <w:p w:rsidR="007C0120" w:rsidRDefault="007C0120">
            <w:pPr>
              <w:pStyle w:val="Default"/>
              <w:rPr>
                <w:sz w:val="20"/>
                <w:szCs w:val="20"/>
              </w:rPr>
            </w:pPr>
          </w:p>
        </w:tc>
        <w:tc>
          <w:tcPr>
            <w:tcW w:w="3685" w:type="dxa"/>
            <w:vAlign w:val="center"/>
          </w:tcPr>
          <w:p w:rsidR="007C0120" w:rsidRDefault="007C0120">
            <w:pPr>
              <w:pStyle w:val="Default"/>
              <w:rPr>
                <w:sz w:val="20"/>
                <w:szCs w:val="20"/>
              </w:rPr>
            </w:pPr>
          </w:p>
        </w:tc>
      </w:tr>
      <w:tr w:rsidR="007C0120" w:rsidTr="00E47334">
        <w:trPr>
          <w:trHeight w:val="1160"/>
        </w:trPr>
        <w:tc>
          <w:tcPr>
            <w:tcW w:w="1843" w:type="dxa"/>
          </w:tcPr>
          <w:p w:rsidR="007C0120" w:rsidRDefault="00F6553F">
            <w:pPr>
              <w:pStyle w:val="Default"/>
              <w:rPr>
                <w:sz w:val="20"/>
                <w:szCs w:val="20"/>
              </w:rPr>
            </w:pPr>
            <w:r>
              <w:rPr>
                <w:sz w:val="20"/>
                <w:szCs w:val="20"/>
              </w:rPr>
              <w:t>Generic SRD</w:t>
            </w:r>
          </w:p>
        </w:tc>
        <w:tc>
          <w:tcPr>
            <w:tcW w:w="1985" w:type="dxa"/>
          </w:tcPr>
          <w:p w:rsidR="007C0120" w:rsidRDefault="007C0120">
            <w:pPr>
              <w:pStyle w:val="Default"/>
              <w:rPr>
                <w:sz w:val="20"/>
                <w:szCs w:val="20"/>
              </w:rPr>
            </w:pPr>
          </w:p>
        </w:tc>
        <w:tc>
          <w:tcPr>
            <w:tcW w:w="3402" w:type="dxa"/>
          </w:tcPr>
          <w:p w:rsidR="007C0120" w:rsidRDefault="00F6553F">
            <w:pPr>
              <w:pStyle w:val="Default"/>
              <w:rPr>
                <w:sz w:val="20"/>
                <w:szCs w:val="20"/>
              </w:rPr>
            </w:pPr>
            <w:r>
              <w:rPr>
                <w:sz w:val="20"/>
                <w:szCs w:val="20"/>
              </w:rPr>
              <w:t xml:space="preserve">Note any </w:t>
            </w:r>
            <w:r w:rsidR="00A40102">
              <w:rPr>
                <w:sz w:val="20"/>
                <w:szCs w:val="20"/>
              </w:rPr>
              <w:t>NPV evidence.</w:t>
            </w:r>
          </w:p>
          <w:p w:rsidR="00A40102" w:rsidRDefault="00A40102" w:rsidP="00405540">
            <w:pPr>
              <w:pStyle w:val="Default"/>
              <w:ind w:right="176"/>
              <w:rPr>
                <w:sz w:val="20"/>
                <w:szCs w:val="20"/>
              </w:rPr>
            </w:pPr>
            <w:r>
              <w:rPr>
                <w:sz w:val="20"/>
                <w:szCs w:val="20"/>
              </w:rPr>
              <w:t>Note evidence of compatibility.</w:t>
            </w:r>
          </w:p>
        </w:tc>
        <w:tc>
          <w:tcPr>
            <w:tcW w:w="3685" w:type="dxa"/>
          </w:tcPr>
          <w:p w:rsidR="007C0120" w:rsidRDefault="007C0120">
            <w:pPr>
              <w:pStyle w:val="Default"/>
              <w:rPr>
                <w:sz w:val="20"/>
                <w:szCs w:val="20"/>
              </w:rPr>
            </w:pPr>
          </w:p>
        </w:tc>
      </w:tr>
      <w:tr w:rsidR="007D5DF5" w:rsidTr="00E47334">
        <w:trPr>
          <w:trHeight w:val="1160"/>
        </w:trPr>
        <w:tc>
          <w:tcPr>
            <w:tcW w:w="1843" w:type="dxa"/>
          </w:tcPr>
          <w:p w:rsidR="007D5DF5" w:rsidRDefault="007D5DF5">
            <w:pPr>
              <w:pStyle w:val="Default"/>
              <w:rPr>
                <w:sz w:val="20"/>
                <w:szCs w:val="20"/>
              </w:rPr>
            </w:pPr>
            <w:r>
              <w:rPr>
                <w:sz w:val="20"/>
                <w:szCs w:val="20"/>
              </w:rPr>
              <w:t>RFID</w:t>
            </w:r>
          </w:p>
        </w:tc>
        <w:tc>
          <w:tcPr>
            <w:tcW w:w="1985" w:type="dxa"/>
          </w:tcPr>
          <w:p w:rsidR="007D5DF5" w:rsidRDefault="007D5DF5">
            <w:pPr>
              <w:pStyle w:val="Default"/>
              <w:rPr>
                <w:sz w:val="20"/>
                <w:szCs w:val="20"/>
              </w:rPr>
            </w:pPr>
          </w:p>
        </w:tc>
        <w:tc>
          <w:tcPr>
            <w:tcW w:w="3402" w:type="dxa"/>
          </w:tcPr>
          <w:p w:rsidR="007D5DF5" w:rsidRDefault="007D5DF5">
            <w:pPr>
              <w:pStyle w:val="Default"/>
              <w:rPr>
                <w:sz w:val="20"/>
                <w:szCs w:val="20"/>
              </w:rPr>
            </w:pPr>
          </w:p>
        </w:tc>
        <w:tc>
          <w:tcPr>
            <w:tcW w:w="3685" w:type="dxa"/>
          </w:tcPr>
          <w:p w:rsidR="007D5DF5" w:rsidRDefault="007D5DF5">
            <w:pPr>
              <w:pStyle w:val="Default"/>
              <w:rPr>
                <w:sz w:val="20"/>
                <w:szCs w:val="20"/>
              </w:rPr>
            </w:pPr>
          </w:p>
        </w:tc>
      </w:tr>
      <w:tr w:rsidR="007C0120" w:rsidTr="00E47334">
        <w:trPr>
          <w:trHeight w:val="1270"/>
        </w:trPr>
        <w:tc>
          <w:tcPr>
            <w:tcW w:w="1843" w:type="dxa"/>
          </w:tcPr>
          <w:p w:rsidR="007C0120" w:rsidRDefault="007D5DF5">
            <w:pPr>
              <w:pStyle w:val="Default"/>
              <w:rPr>
                <w:sz w:val="20"/>
                <w:szCs w:val="20"/>
              </w:rPr>
            </w:pPr>
            <w:r>
              <w:rPr>
                <w:sz w:val="20"/>
                <w:szCs w:val="20"/>
              </w:rPr>
              <w:lastRenderedPageBreak/>
              <w:t>Smart Meters</w:t>
            </w:r>
          </w:p>
        </w:tc>
        <w:tc>
          <w:tcPr>
            <w:tcW w:w="1985" w:type="dxa"/>
          </w:tcPr>
          <w:p w:rsidR="007C0120" w:rsidRDefault="007C0120">
            <w:pPr>
              <w:pStyle w:val="Default"/>
              <w:rPr>
                <w:sz w:val="20"/>
                <w:szCs w:val="20"/>
              </w:rPr>
            </w:pPr>
          </w:p>
        </w:tc>
        <w:tc>
          <w:tcPr>
            <w:tcW w:w="3402" w:type="dxa"/>
          </w:tcPr>
          <w:p w:rsidR="007C0120" w:rsidRDefault="007C0120">
            <w:pPr>
              <w:pStyle w:val="Default"/>
              <w:rPr>
                <w:sz w:val="20"/>
                <w:szCs w:val="20"/>
              </w:rPr>
            </w:pPr>
          </w:p>
        </w:tc>
        <w:tc>
          <w:tcPr>
            <w:tcW w:w="3685" w:type="dxa"/>
          </w:tcPr>
          <w:p w:rsidR="007C0120" w:rsidRDefault="007C0120">
            <w:pPr>
              <w:pStyle w:val="Default"/>
              <w:rPr>
                <w:sz w:val="20"/>
                <w:szCs w:val="20"/>
              </w:rPr>
            </w:pPr>
          </w:p>
        </w:tc>
      </w:tr>
      <w:tr w:rsidR="00F6553F" w:rsidTr="00E47334">
        <w:trPr>
          <w:trHeight w:val="1270"/>
        </w:trPr>
        <w:tc>
          <w:tcPr>
            <w:tcW w:w="1843" w:type="dxa"/>
          </w:tcPr>
          <w:p w:rsidR="00F6553F" w:rsidRDefault="007D5DF5">
            <w:pPr>
              <w:pStyle w:val="Default"/>
              <w:rPr>
                <w:sz w:val="20"/>
                <w:szCs w:val="20"/>
              </w:rPr>
            </w:pPr>
            <w:r>
              <w:rPr>
                <w:sz w:val="20"/>
                <w:szCs w:val="20"/>
              </w:rPr>
              <w:t>M3N</w:t>
            </w:r>
          </w:p>
        </w:tc>
        <w:tc>
          <w:tcPr>
            <w:tcW w:w="1985" w:type="dxa"/>
          </w:tcPr>
          <w:p w:rsidR="00F6553F" w:rsidRDefault="00F6553F">
            <w:pPr>
              <w:pStyle w:val="Default"/>
              <w:rPr>
                <w:sz w:val="20"/>
                <w:szCs w:val="20"/>
              </w:rPr>
            </w:pPr>
          </w:p>
        </w:tc>
        <w:tc>
          <w:tcPr>
            <w:tcW w:w="3402" w:type="dxa"/>
          </w:tcPr>
          <w:p w:rsidR="00F6553F" w:rsidRDefault="00F6553F">
            <w:pPr>
              <w:pStyle w:val="Default"/>
              <w:rPr>
                <w:sz w:val="20"/>
                <w:szCs w:val="20"/>
              </w:rPr>
            </w:pPr>
          </w:p>
        </w:tc>
        <w:tc>
          <w:tcPr>
            <w:tcW w:w="3685" w:type="dxa"/>
          </w:tcPr>
          <w:p w:rsidR="00F6553F" w:rsidRDefault="00F6553F">
            <w:pPr>
              <w:pStyle w:val="Default"/>
              <w:rPr>
                <w:sz w:val="20"/>
                <w:szCs w:val="20"/>
              </w:rPr>
            </w:pPr>
          </w:p>
        </w:tc>
      </w:tr>
      <w:tr w:rsidR="007C0120" w:rsidTr="00E47334">
        <w:trPr>
          <w:trHeight w:val="1153"/>
        </w:trPr>
        <w:tc>
          <w:tcPr>
            <w:tcW w:w="1843" w:type="dxa"/>
          </w:tcPr>
          <w:p w:rsidR="007C0120" w:rsidRDefault="007D5DF5">
            <w:pPr>
              <w:pStyle w:val="Default"/>
              <w:rPr>
                <w:sz w:val="20"/>
                <w:szCs w:val="20"/>
              </w:rPr>
            </w:pPr>
            <w:r>
              <w:rPr>
                <w:sz w:val="20"/>
                <w:szCs w:val="20"/>
              </w:rPr>
              <w:t>Alarms</w:t>
            </w:r>
          </w:p>
        </w:tc>
        <w:tc>
          <w:tcPr>
            <w:tcW w:w="1985" w:type="dxa"/>
          </w:tcPr>
          <w:p w:rsidR="007C0120" w:rsidRDefault="007C0120">
            <w:pPr>
              <w:pStyle w:val="Default"/>
              <w:rPr>
                <w:sz w:val="20"/>
                <w:szCs w:val="20"/>
              </w:rPr>
            </w:pPr>
          </w:p>
        </w:tc>
        <w:tc>
          <w:tcPr>
            <w:tcW w:w="3402" w:type="dxa"/>
          </w:tcPr>
          <w:p w:rsidR="007C0120" w:rsidRDefault="007C0120">
            <w:pPr>
              <w:pStyle w:val="Default"/>
              <w:rPr>
                <w:sz w:val="20"/>
                <w:szCs w:val="20"/>
              </w:rPr>
            </w:pPr>
          </w:p>
        </w:tc>
        <w:tc>
          <w:tcPr>
            <w:tcW w:w="3685" w:type="dxa"/>
          </w:tcPr>
          <w:p w:rsidR="007C0120" w:rsidRDefault="007C0120">
            <w:pPr>
              <w:pStyle w:val="Default"/>
              <w:rPr>
                <w:sz w:val="20"/>
                <w:szCs w:val="20"/>
              </w:rPr>
            </w:pPr>
          </w:p>
        </w:tc>
      </w:tr>
      <w:tr w:rsidR="007C0120" w:rsidTr="00E47334">
        <w:trPr>
          <w:trHeight w:val="110"/>
        </w:trPr>
        <w:tc>
          <w:tcPr>
            <w:tcW w:w="1843" w:type="dxa"/>
            <w:vAlign w:val="center"/>
          </w:tcPr>
          <w:p w:rsidR="007C0120" w:rsidRDefault="007D5DF5">
            <w:pPr>
              <w:pStyle w:val="Default"/>
              <w:rPr>
                <w:sz w:val="20"/>
                <w:szCs w:val="20"/>
              </w:rPr>
            </w:pPr>
            <w:r>
              <w:rPr>
                <w:sz w:val="20"/>
                <w:szCs w:val="20"/>
              </w:rPr>
              <w:t>Application neutral proposals</w:t>
            </w:r>
          </w:p>
          <w:p w:rsidR="00E47334" w:rsidRDefault="00E47334">
            <w:pPr>
              <w:pStyle w:val="Default"/>
              <w:rPr>
                <w:sz w:val="20"/>
                <w:szCs w:val="20"/>
              </w:rPr>
            </w:pPr>
          </w:p>
          <w:p w:rsidR="00E47334" w:rsidRDefault="00E47334">
            <w:pPr>
              <w:pStyle w:val="Default"/>
              <w:rPr>
                <w:sz w:val="20"/>
                <w:szCs w:val="20"/>
              </w:rPr>
            </w:pPr>
          </w:p>
        </w:tc>
        <w:tc>
          <w:tcPr>
            <w:tcW w:w="1985" w:type="dxa"/>
            <w:vAlign w:val="center"/>
          </w:tcPr>
          <w:p w:rsidR="007C0120" w:rsidRDefault="00E47334">
            <w:pPr>
              <w:pStyle w:val="Default"/>
              <w:rPr>
                <w:sz w:val="20"/>
                <w:szCs w:val="20"/>
              </w:rPr>
            </w:pPr>
            <w:r>
              <w:rPr>
                <w:sz w:val="20"/>
                <w:szCs w:val="20"/>
              </w:rPr>
              <w:t>Note proposal to have for example “high reliability SRD” in 870 to 873 MHz and “high speed data (including SM)” in the 873 to 876 MHz with GSM-RE</w:t>
            </w:r>
          </w:p>
          <w:p w:rsidR="00E47334" w:rsidRDefault="00E47334">
            <w:pPr>
              <w:pStyle w:val="Default"/>
              <w:rPr>
                <w:sz w:val="20"/>
                <w:szCs w:val="20"/>
              </w:rPr>
            </w:pPr>
          </w:p>
        </w:tc>
        <w:tc>
          <w:tcPr>
            <w:tcW w:w="3402" w:type="dxa"/>
            <w:vAlign w:val="center"/>
          </w:tcPr>
          <w:p w:rsidR="007C0120" w:rsidRDefault="007C0120">
            <w:pPr>
              <w:pStyle w:val="Default"/>
              <w:rPr>
                <w:sz w:val="20"/>
                <w:szCs w:val="20"/>
              </w:rPr>
            </w:pPr>
          </w:p>
        </w:tc>
        <w:tc>
          <w:tcPr>
            <w:tcW w:w="3685" w:type="dxa"/>
            <w:vAlign w:val="center"/>
          </w:tcPr>
          <w:p w:rsidR="007C0120" w:rsidRDefault="007C0120">
            <w:pPr>
              <w:pStyle w:val="Default"/>
              <w:rPr>
                <w:sz w:val="20"/>
                <w:szCs w:val="20"/>
              </w:rPr>
            </w:pPr>
          </w:p>
        </w:tc>
      </w:tr>
    </w:tbl>
    <w:p w:rsidR="00E47334" w:rsidRDefault="00E47334" w:rsidP="004967F7">
      <w:pPr>
        <w:autoSpaceDE w:val="0"/>
        <w:autoSpaceDN w:val="0"/>
        <w:adjustRightInd w:val="0"/>
        <w:rPr>
          <w:u w:val="single"/>
        </w:rPr>
      </w:pPr>
    </w:p>
    <w:p w:rsidR="00E47334" w:rsidRDefault="00E47334" w:rsidP="004967F7">
      <w:pPr>
        <w:autoSpaceDE w:val="0"/>
        <w:autoSpaceDN w:val="0"/>
        <w:adjustRightInd w:val="0"/>
        <w:rPr>
          <w:u w:val="single"/>
        </w:rPr>
      </w:pPr>
    </w:p>
    <w:p w:rsidR="00A40102" w:rsidRPr="00A40102" w:rsidRDefault="00A40102" w:rsidP="004967F7">
      <w:pPr>
        <w:autoSpaceDE w:val="0"/>
        <w:autoSpaceDN w:val="0"/>
        <w:adjustRightInd w:val="0"/>
        <w:rPr>
          <w:u w:val="single"/>
        </w:rPr>
      </w:pPr>
      <w:r w:rsidRPr="00A40102">
        <w:rPr>
          <w:u w:val="single"/>
        </w:rPr>
        <w:t>Impact on Competition</w:t>
      </w:r>
    </w:p>
    <w:p w:rsidR="007C0120" w:rsidRDefault="00A40102" w:rsidP="004967F7">
      <w:pPr>
        <w:autoSpaceDE w:val="0"/>
        <w:autoSpaceDN w:val="0"/>
        <w:adjustRightInd w:val="0"/>
      </w:pPr>
      <w:r w:rsidRPr="00A40102">
        <w:rPr>
          <w:highlight w:val="yellow"/>
        </w:rPr>
        <w:t>Determine the impact on competition</w:t>
      </w:r>
    </w:p>
    <w:p w:rsidR="007670F6" w:rsidRDefault="00A40102" w:rsidP="00B11DED">
      <w:pPr>
        <w:spacing w:after="0" w:line="240" w:lineRule="auto"/>
        <w:jc w:val="both"/>
      </w:pPr>
      <w:r>
        <w:t>Detail benefits of collective authorisation to consumers/manufacturers.</w:t>
      </w:r>
    </w:p>
    <w:p w:rsidR="00A40102" w:rsidRDefault="00A40102" w:rsidP="00B11DED">
      <w:pPr>
        <w:spacing w:after="0" w:line="240" w:lineRule="auto"/>
        <w:jc w:val="both"/>
      </w:pPr>
      <w:r>
        <w:t>Detail any foreseen impact on existing manufacturers/consumers</w:t>
      </w:r>
    </w:p>
    <w:p w:rsidR="00A40102" w:rsidRDefault="00A40102" w:rsidP="00B11DED">
      <w:pPr>
        <w:spacing w:after="0" w:line="240" w:lineRule="auto"/>
        <w:jc w:val="both"/>
      </w:pPr>
      <w:r>
        <w:t>(</w:t>
      </w:r>
      <w:proofErr w:type="gramStart"/>
      <w:r>
        <w:t>e.g</w:t>
      </w:r>
      <w:proofErr w:type="gramEnd"/>
      <w:r>
        <w:t xml:space="preserve">. national markets being opened up to </w:t>
      </w:r>
      <w:proofErr w:type="spellStart"/>
      <w:r>
        <w:t>cpompetition</w:t>
      </w:r>
      <w:proofErr w:type="spellEnd"/>
      <w:r>
        <w:t>)</w:t>
      </w:r>
    </w:p>
    <w:p w:rsidR="00A40102" w:rsidRDefault="00A40102" w:rsidP="00B11DED">
      <w:pPr>
        <w:spacing w:after="0" w:line="240" w:lineRule="auto"/>
        <w:jc w:val="both"/>
      </w:pPr>
    </w:p>
    <w:p w:rsidR="00A40102" w:rsidRDefault="00A40102" w:rsidP="00B11DED">
      <w:pPr>
        <w:spacing w:after="0" w:line="240" w:lineRule="auto"/>
        <w:jc w:val="both"/>
      </w:pPr>
    </w:p>
    <w:p w:rsidR="00A40102" w:rsidRDefault="00A40102" w:rsidP="00B11DED">
      <w:pPr>
        <w:spacing w:after="0" w:line="240" w:lineRule="auto"/>
        <w:jc w:val="both"/>
      </w:pPr>
    </w:p>
    <w:p w:rsidR="00A40102" w:rsidRPr="00A40102" w:rsidRDefault="00A40102" w:rsidP="00B11DED">
      <w:pPr>
        <w:spacing w:after="0" w:line="240" w:lineRule="auto"/>
        <w:jc w:val="both"/>
        <w:rPr>
          <w:u w:val="single"/>
        </w:rPr>
      </w:pPr>
      <w:r w:rsidRPr="00A40102">
        <w:rPr>
          <w:u w:val="single"/>
        </w:rPr>
        <w:t>Analysis of Options</w:t>
      </w:r>
    </w:p>
    <w:p w:rsidR="00A40102" w:rsidRDefault="00A40102" w:rsidP="00B11DED">
      <w:pPr>
        <w:spacing w:after="0" w:line="240" w:lineRule="auto"/>
        <w:jc w:val="both"/>
      </w:pPr>
    </w:p>
    <w:p w:rsidR="007670F6" w:rsidRDefault="00A40102" w:rsidP="00B11DED">
      <w:pPr>
        <w:spacing w:after="0" w:line="240" w:lineRule="auto"/>
        <w:jc w:val="both"/>
      </w:pPr>
      <w:r w:rsidRPr="00A40102">
        <w:rPr>
          <w:highlight w:val="yellow"/>
        </w:rPr>
        <w:t>Assess the impacts and choose the best option</w:t>
      </w:r>
    </w:p>
    <w:p w:rsidR="00041FA4" w:rsidRDefault="00041FA4"/>
    <w:p w:rsidR="00A40102" w:rsidRDefault="007D5DF5">
      <w:r>
        <w:t>Note references to research looking at application neutrality costs/benefits</w:t>
      </w:r>
    </w:p>
    <w:p w:rsidR="007D5DF5" w:rsidRDefault="007D5DF5">
      <w:r>
        <w:t>Determine NPV where possible for each option stating risks and uncertainty.</w:t>
      </w:r>
    </w:p>
    <w:p w:rsidR="007D5DF5" w:rsidRDefault="007D5DF5">
      <w:r>
        <w:t>State societal benefits and EU initiatives (E.g. RFID, Smart Metering)</w:t>
      </w:r>
    </w:p>
    <w:p w:rsidR="007D5DF5" w:rsidRDefault="007D5DF5">
      <w:r>
        <w:t>Conclude on best options.</w:t>
      </w:r>
    </w:p>
    <w:sectPr w:rsidR="007D5DF5" w:rsidSect="004666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202A0"/>
    <w:multiLevelType w:val="hybridMultilevel"/>
    <w:tmpl w:val="E7FE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8E61B5"/>
    <w:multiLevelType w:val="hybridMultilevel"/>
    <w:tmpl w:val="6A8CE4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B890249"/>
    <w:multiLevelType w:val="hybridMultilevel"/>
    <w:tmpl w:val="B4582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2BE1AD3"/>
    <w:multiLevelType w:val="hybridMultilevel"/>
    <w:tmpl w:val="AF18B9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EF93BDE"/>
    <w:multiLevelType w:val="hybridMultilevel"/>
    <w:tmpl w:val="FCF4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B892602"/>
    <w:multiLevelType w:val="hybridMultilevel"/>
    <w:tmpl w:val="E142296A"/>
    <w:lvl w:ilvl="0" w:tplc="8B62A986">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2B45E71"/>
    <w:multiLevelType w:val="hybridMultilevel"/>
    <w:tmpl w:val="CE507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FA4"/>
    <w:rsid w:val="000253B0"/>
    <w:rsid w:val="00041FA4"/>
    <w:rsid w:val="00365B85"/>
    <w:rsid w:val="00405540"/>
    <w:rsid w:val="00434C21"/>
    <w:rsid w:val="0046664C"/>
    <w:rsid w:val="00487788"/>
    <w:rsid w:val="004967F7"/>
    <w:rsid w:val="004C2568"/>
    <w:rsid w:val="005B33F0"/>
    <w:rsid w:val="006127A3"/>
    <w:rsid w:val="00650DEF"/>
    <w:rsid w:val="007670F6"/>
    <w:rsid w:val="007C0120"/>
    <w:rsid w:val="007D5DF5"/>
    <w:rsid w:val="007F2C0D"/>
    <w:rsid w:val="00900683"/>
    <w:rsid w:val="009549EF"/>
    <w:rsid w:val="0099436D"/>
    <w:rsid w:val="009D234C"/>
    <w:rsid w:val="00A21BE1"/>
    <w:rsid w:val="00A40102"/>
    <w:rsid w:val="00A55F3A"/>
    <w:rsid w:val="00A56ECA"/>
    <w:rsid w:val="00B11DED"/>
    <w:rsid w:val="00E245C6"/>
    <w:rsid w:val="00E47334"/>
    <w:rsid w:val="00F6553F"/>
    <w:rsid w:val="00FB510A"/>
    <w:rsid w:val="00FC6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64C"/>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778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56E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64C"/>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778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56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OFCOM</Company>
  <LinksUpToDate>false</LinksUpToDate>
  <CharactersWithSpaces>4128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robin.donoghue</dc:creator>
  <cp:lastModifiedBy>Your User Name</cp:lastModifiedBy>
  <cp:revision>2</cp:revision>
  <dcterms:created xsi:type="dcterms:W3CDTF">2011-10-11T19:12:00Z</dcterms:created>
  <dcterms:modified xsi:type="dcterms:W3CDTF">2011-10-11T19:12:00Z</dcterms:modified>
</cp:coreProperties>
</file>