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9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0A0"/>
      </w:tblPr>
      <w:tblGrid>
        <w:gridCol w:w="1962"/>
        <w:gridCol w:w="7938"/>
        <w:gridCol w:w="190"/>
      </w:tblGrid>
      <w:tr w:rsidR="00D24579" w:rsidRPr="002E5375" w:rsidTr="002A02B5">
        <w:trPr>
          <w:trHeight w:val="137"/>
        </w:trPr>
        <w:tc>
          <w:tcPr>
            <w:tcW w:w="10090" w:type="dxa"/>
            <w:gridSpan w:val="3"/>
            <w:tcBorders>
              <w:top w:val="nil"/>
              <w:left w:val="nil"/>
              <w:bottom w:val="single" w:sz="4" w:space="0" w:color="auto"/>
              <w:right w:val="nil"/>
            </w:tcBorders>
          </w:tcPr>
          <w:p w:rsidR="00D24579" w:rsidRPr="00F56077" w:rsidRDefault="00D24579" w:rsidP="00715119">
            <w:pPr>
              <w:jc w:val="center"/>
              <w:outlineLvl w:val="0"/>
              <w:rPr>
                <w:rFonts w:cs="Arial"/>
                <w:b/>
                <w:color w:val="0000FF"/>
                <w:sz w:val="16"/>
                <w:szCs w:val="16"/>
              </w:rPr>
            </w:pPr>
            <w:r w:rsidRPr="00F56077">
              <w:rPr>
                <w:rFonts w:ascii="Arial" w:hAnsi="Arial" w:cs="Arial"/>
                <w:b/>
                <w:smallCaps/>
                <w:sz w:val="36"/>
                <w:szCs w:val="40"/>
              </w:rPr>
              <w:t>Liaison Statement</w:t>
            </w:r>
          </w:p>
        </w:tc>
      </w:tr>
      <w:tr w:rsidR="00D24579" w:rsidRPr="00115454" w:rsidTr="002A02B5">
        <w:trPr>
          <w:gridAfter w:val="1"/>
          <w:wAfter w:w="190" w:type="dxa"/>
        </w:trPr>
        <w:tc>
          <w:tcPr>
            <w:tcW w:w="1962" w:type="dxa"/>
            <w:tcBorders>
              <w:top w:val="nil"/>
              <w:left w:val="nil"/>
              <w:bottom w:val="nil"/>
              <w:right w:val="nil"/>
            </w:tcBorders>
          </w:tcPr>
          <w:p w:rsidR="00D24579" w:rsidRPr="00147514" w:rsidRDefault="00D24579" w:rsidP="00CB4EFD">
            <w:pPr>
              <w:tabs>
                <w:tab w:val="left" w:pos="1701"/>
              </w:tabs>
              <w:jc w:val="right"/>
              <w:rPr>
                <w:rFonts w:ascii="Arial" w:hAnsi="Arial" w:cs="Arial"/>
                <w:sz w:val="24"/>
                <w:szCs w:val="24"/>
              </w:rPr>
            </w:pPr>
            <w:r w:rsidRPr="00147514">
              <w:rPr>
                <w:rFonts w:ascii="Arial" w:hAnsi="Arial" w:cs="Arial"/>
                <w:b/>
                <w:sz w:val="28"/>
                <w:szCs w:val="24"/>
              </w:rPr>
              <w:t>Title:</w:t>
            </w:r>
          </w:p>
        </w:tc>
        <w:tc>
          <w:tcPr>
            <w:tcW w:w="7938" w:type="dxa"/>
            <w:tcBorders>
              <w:top w:val="nil"/>
              <w:left w:val="nil"/>
              <w:bottom w:val="nil"/>
              <w:right w:val="nil"/>
            </w:tcBorders>
          </w:tcPr>
          <w:p w:rsidR="00D24579" w:rsidRPr="002A02B5" w:rsidRDefault="00D24579" w:rsidP="00CB4EFD">
            <w:pPr>
              <w:rPr>
                <w:rFonts w:ascii="Arial" w:hAnsi="Arial" w:cs="Arial"/>
                <w:b/>
                <w:sz w:val="28"/>
                <w:szCs w:val="24"/>
              </w:rPr>
            </w:pPr>
            <w:r w:rsidRPr="002A02B5">
              <w:rPr>
                <w:rFonts w:ascii="Arial" w:hAnsi="Arial" w:cs="Arial"/>
                <w:b/>
                <w:sz w:val="28"/>
                <w:szCs w:val="24"/>
              </w:rPr>
              <w:t>R</w:t>
            </w:r>
            <w:r w:rsidRPr="002A02B5">
              <w:rPr>
                <w:rFonts w:ascii="Arial" w:hAnsi="Arial" w:cs="Arial"/>
                <w:b/>
                <w:sz w:val="28"/>
                <w:szCs w:val="28"/>
              </w:rPr>
              <w:t xml:space="preserve">esponse to ECC-WGFM LSin on Fifth update </w:t>
            </w:r>
            <w:r>
              <w:rPr>
                <w:rFonts w:ascii="Arial" w:hAnsi="Arial" w:cs="Arial"/>
                <w:b/>
                <w:sz w:val="28"/>
                <w:szCs w:val="28"/>
              </w:rPr>
              <w:t xml:space="preserve">of the technical annex of the </w:t>
            </w:r>
            <w:r w:rsidRPr="002A02B5">
              <w:rPr>
                <w:rFonts w:ascii="Arial" w:hAnsi="Arial" w:cs="Arial"/>
                <w:b/>
                <w:sz w:val="28"/>
                <w:szCs w:val="28"/>
              </w:rPr>
              <w:t xml:space="preserve">EC Decision </w:t>
            </w:r>
            <w:r>
              <w:rPr>
                <w:rFonts w:ascii="Arial" w:hAnsi="Arial" w:cs="Arial"/>
                <w:b/>
                <w:sz w:val="28"/>
                <w:szCs w:val="28"/>
              </w:rPr>
              <w:t xml:space="preserve">on </w:t>
            </w:r>
            <w:r w:rsidRPr="002A02B5">
              <w:rPr>
                <w:rFonts w:ascii="Arial" w:hAnsi="Arial" w:cs="Arial"/>
                <w:b/>
                <w:sz w:val="28"/>
                <w:szCs w:val="28"/>
              </w:rPr>
              <w:t>SRDs</w:t>
            </w:r>
          </w:p>
        </w:tc>
      </w:tr>
      <w:tr w:rsidR="00D24579" w:rsidRPr="006E4C00" w:rsidTr="002A02B5">
        <w:trPr>
          <w:gridAfter w:val="1"/>
          <w:wAfter w:w="190" w:type="dxa"/>
          <w:trHeight w:val="140"/>
        </w:trPr>
        <w:tc>
          <w:tcPr>
            <w:tcW w:w="1962" w:type="dxa"/>
            <w:tcBorders>
              <w:top w:val="nil"/>
              <w:left w:val="nil"/>
              <w:bottom w:val="nil"/>
              <w:right w:val="nil"/>
            </w:tcBorders>
            <w:vAlign w:val="center"/>
          </w:tcPr>
          <w:p w:rsidR="00D24579" w:rsidRPr="00D21604" w:rsidRDefault="00D24579" w:rsidP="00CB4EFD">
            <w:pPr>
              <w:tabs>
                <w:tab w:val="left" w:pos="1701"/>
              </w:tabs>
              <w:jc w:val="right"/>
              <w:rPr>
                <w:rFonts w:ascii="Arial" w:hAnsi="Arial" w:cs="Arial"/>
                <w:sz w:val="16"/>
                <w:szCs w:val="24"/>
              </w:rPr>
            </w:pPr>
          </w:p>
        </w:tc>
        <w:tc>
          <w:tcPr>
            <w:tcW w:w="7938" w:type="dxa"/>
            <w:tcBorders>
              <w:top w:val="nil"/>
              <w:left w:val="nil"/>
              <w:bottom w:val="nil"/>
              <w:right w:val="nil"/>
            </w:tcBorders>
            <w:vAlign w:val="center"/>
          </w:tcPr>
          <w:p w:rsidR="00D24579" w:rsidRPr="006E4C00" w:rsidRDefault="00D24579" w:rsidP="00CB4EFD">
            <w:pPr>
              <w:rPr>
                <w:rFonts w:ascii="Arial" w:hAnsi="Arial" w:cs="Arial"/>
                <w:sz w:val="16"/>
              </w:rPr>
            </w:pPr>
          </w:p>
        </w:tc>
      </w:tr>
      <w:tr w:rsidR="00D24579" w:rsidRPr="00C17955" w:rsidTr="002A02B5">
        <w:trPr>
          <w:gridAfter w:val="1"/>
          <w:wAfter w:w="190" w:type="dxa"/>
        </w:trPr>
        <w:tc>
          <w:tcPr>
            <w:tcW w:w="1962" w:type="dxa"/>
            <w:tcBorders>
              <w:top w:val="nil"/>
              <w:left w:val="nil"/>
              <w:bottom w:val="nil"/>
              <w:right w:val="nil"/>
            </w:tcBorders>
            <w:vAlign w:val="center"/>
          </w:tcPr>
          <w:p w:rsidR="00D24579" w:rsidRPr="00147514" w:rsidRDefault="00D24579" w:rsidP="00CB4EFD">
            <w:pPr>
              <w:tabs>
                <w:tab w:val="left" w:pos="1701"/>
              </w:tabs>
              <w:jc w:val="right"/>
              <w:rPr>
                <w:rFonts w:ascii="Arial" w:hAnsi="Arial" w:cs="Arial"/>
                <w:sz w:val="24"/>
              </w:rPr>
            </w:pPr>
            <w:r w:rsidRPr="00147514">
              <w:rPr>
                <w:rFonts w:ascii="Arial" w:hAnsi="Arial" w:cs="Arial"/>
                <w:sz w:val="24"/>
                <w:szCs w:val="24"/>
              </w:rPr>
              <w:t xml:space="preserve">from </w:t>
            </w:r>
            <w:r w:rsidRPr="00147514">
              <w:rPr>
                <w:rFonts w:ascii="Arial" w:hAnsi="Arial" w:cs="Arial"/>
                <w:b/>
                <w:sz w:val="24"/>
                <w:szCs w:val="24"/>
              </w:rPr>
              <w:t>Source</w:t>
            </w:r>
            <w:r w:rsidRPr="009D44A5">
              <w:rPr>
                <w:rFonts w:ascii="Arial" w:hAnsi="Arial" w:cs="Arial"/>
                <w:b/>
                <w:sz w:val="24"/>
                <w:szCs w:val="24"/>
              </w:rPr>
              <w:t>:</w:t>
            </w:r>
          </w:p>
        </w:tc>
        <w:tc>
          <w:tcPr>
            <w:tcW w:w="7938" w:type="dxa"/>
            <w:tcBorders>
              <w:top w:val="nil"/>
              <w:left w:val="nil"/>
              <w:bottom w:val="nil"/>
              <w:right w:val="nil"/>
            </w:tcBorders>
            <w:vAlign w:val="center"/>
          </w:tcPr>
          <w:p w:rsidR="00D24579" w:rsidRPr="00C17955" w:rsidRDefault="00D24579" w:rsidP="00CB4EFD">
            <w:pPr>
              <w:rPr>
                <w:rFonts w:ascii="Arial" w:hAnsi="Arial" w:cs="Arial"/>
              </w:rPr>
            </w:pPr>
            <w:r>
              <w:rPr>
                <w:rFonts w:ascii="Arial" w:hAnsi="Arial" w:cs="Arial"/>
              </w:rPr>
              <w:t xml:space="preserve">ETSI TC ERM, Chairman Dr. Gabrielle Owen </w:t>
            </w:r>
          </w:p>
        </w:tc>
      </w:tr>
      <w:tr w:rsidR="00D24579" w:rsidRPr="006E4C00" w:rsidTr="002A02B5">
        <w:trPr>
          <w:gridAfter w:val="1"/>
          <w:wAfter w:w="190" w:type="dxa"/>
        </w:trPr>
        <w:tc>
          <w:tcPr>
            <w:tcW w:w="1962" w:type="dxa"/>
            <w:tcBorders>
              <w:top w:val="nil"/>
              <w:left w:val="nil"/>
              <w:bottom w:val="nil"/>
              <w:right w:val="nil"/>
            </w:tcBorders>
          </w:tcPr>
          <w:p w:rsidR="00D24579" w:rsidRPr="00C24E32" w:rsidRDefault="00D24579" w:rsidP="00CB4EFD">
            <w:pPr>
              <w:tabs>
                <w:tab w:val="left" w:pos="1701"/>
              </w:tabs>
              <w:ind w:right="480"/>
              <w:rPr>
                <w:rFonts w:ascii="Arial" w:hAnsi="Arial" w:cs="Arial"/>
                <w:b/>
                <w:sz w:val="24"/>
                <w:szCs w:val="24"/>
              </w:rPr>
            </w:pPr>
          </w:p>
        </w:tc>
        <w:tc>
          <w:tcPr>
            <w:tcW w:w="7938" w:type="dxa"/>
            <w:tcBorders>
              <w:top w:val="nil"/>
              <w:left w:val="nil"/>
              <w:bottom w:val="nil"/>
              <w:right w:val="nil"/>
            </w:tcBorders>
          </w:tcPr>
          <w:p w:rsidR="00D24579" w:rsidRPr="006E4C00" w:rsidRDefault="00D24579" w:rsidP="00CB4EFD">
            <w:pPr>
              <w:rPr>
                <w:rFonts w:ascii="Arial" w:hAnsi="Arial" w:cs="Arial"/>
              </w:rPr>
            </w:pPr>
          </w:p>
        </w:tc>
      </w:tr>
      <w:tr w:rsidR="00D24579" w:rsidRPr="00E50B7A" w:rsidTr="002A02B5">
        <w:trPr>
          <w:gridAfter w:val="1"/>
          <w:wAfter w:w="190" w:type="dxa"/>
        </w:trPr>
        <w:tc>
          <w:tcPr>
            <w:tcW w:w="1962" w:type="dxa"/>
            <w:tcBorders>
              <w:top w:val="nil"/>
              <w:left w:val="nil"/>
              <w:bottom w:val="nil"/>
              <w:right w:val="nil"/>
            </w:tcBorders>
          </w:tcPr>
          <w:p w:rsidR="00D24579" w:rsidRDefault="00D24579" w:rsidP="00CB4EFD">
            <w:pPr>
              <w:tabs>
                <w:tab w:val="left" w:pos="1701"/>
              </w:tabs>
              <w:jc w:val="right"/>
              <w:rPr>
                <w:rFonts w:ascii="Arial" w:hAnsi="Arial" w:cs="Arial"/>
                <w:b/>
                <w:sz w:val="24"/>
                <w:szCs w:val="24"/>
              </w:rPr>
            </w:pPr>
            <w:r w:rsidRPr="00147514">
              <w:rPr>
                <w:rFonts w:ascii="Arial" w:hAnsi="Arial" w:cs="Arial"/>
                <w:szCs w:val="24"/>
              </w:rPr>
              <w:t xml:space="preserve">Submitted </w:t>
            </w:r>
            <w:r w:rsidRPr="00147514">
              <w:rPr>
                <w:rFonts w:ascii="Arial" w:hAnsi="Arial" w:cs="Arial"/>
                <w:b/>
                <w:sz w:val="24"/>
                <w:szCs w:val="24"/>
              </w:rPr>
              <w:t>To:</w:t>
            </w:r>
          </w:p>
          <w:p w:rsidR="00D24579" w:rsidRPr="00147514" w:rsidRDefault="00D24579" w:rsidP="00CB4EFD">
            <w:pPr>
              <w:tabs>
                <w:tab w:val="left" w:pos="1701"/>
              </w:tabs>
              <w:jc w:val="right"/>
              <w:rPr>
                <w:rFonts w:ascii="Arial" w:hAnsi="Arial" w:cs="Arial"/>
                <w:b/>
                <w:sz w:val="24"/>
                <w:szCs w:val="24"/>
              </w:rPr>
            </w:pPr>
          </w:p>
        </w:tc>
        <w:tc>
          <w:tcPr>
            <w:tcW w:w="7938" w:type="dxa"/>
            <w:tcBorders>
              <w:top w:val="nil"/>
              <w:left w:val="nil"/>
              <w:bottom w:val="nil"/>
              <w:right w:val="nil"/>
            </w:tcBorders>
          </w:tcPr>
          <w:p w:rsidR="00D24579" w:rsidRDefault="00D24579" w:rsidP="006D130A">
            <w:pPr>
              <w:rPr>
                <w:rFonts w:ascii="Arial" w:hAnsi="Arial" w:cs="Arial"/>
              </w:rPr>
            </w:pPr>
            <w:r>
              <w:rPr>
                <w:rFonts w:ascii="Arial" w:hAnsi="Arial" w:cs="Arial"/>
              </w:rPr>
              <w:t>CEPT/ECC-WG FM, Chairman Mr. Sergey Pastukh</w:t>
            </w:r>
            <w:r w:rsidRPr="00E50B7A">
              <w:rPr>
                <w:rFonts w:ascii="Arial" w:hAnsi="Arial" w:cs="Arial"/>
              </w:rPr>
              <w:t xml:space="preserve"> </w:t>
            </w:r>
          </w:p>
          <w:p w:rsidR="00D24579" w:rsidRDefault="00D24579" w:rsidP="006D130A">
            <w:pPr>
              <w:rPr>
                <w:rFonts w:ascii="Arial" w:hAnsi="Arial" w:cs="Arial"/>
              </w:rPr>
            </w:pPr>
            <w:r>
              <w:rPr>
                <w:rFonts w:ascii="Arial" w:hAnsi="Arial" w:cs="Arial"/>
              </w:rPr>
              <w:t>CEPT/ECC-SRD/MG, Chairman Mr. Thomas Weber</w:t>
            </w:r>
          </w:p>
          <w:p w:rsidR="00D24579" w:rsidRPr="00E50B7A" w:rsidRDefault="00D24579" w:rsidP="00CB4EFD">
            <w:pPr>
              <w:rPr>
                <w:rFonts w:ascii="Arial" w:hAnsi="Arial" w:cs="Arial"/>
              </w:rPr>
            </w:pPr>
          </w:p>
        </w:tc>
      </w:tr>
      <w:tr w:rsidR="00D24579" w:rsidRPr="00E50B7A" w:rsidTr="002A02B5">
        <w:trPr>
          <w:gridAfter w:val="1"/>
          <w:wAfter w:w="190" w:type="dxa"/>
        </w:trPr>
        <w:tc>
          <w:tcPr>
            <w:tcW w:w="1962" w:type="dxa"/>
            <w:tcBorders>
              <w:top w:val="nil"/>
              <w:left w:val="nil"/>
              <w:bottom w:val="nil"/>
              <w:right w:val="nil"/>
            </w:tcBorders>
          </w:tcPr>
          <w:p w:rsidR="00D24579" w:rsidRPr="00C17955" w:rsidRDefault="00D24579" w:rsidP="00CB4EFD">
            <w:pPr>
              <w:tabs>
                <w:tab w:val="left" w:pos="1701"/>
              </w:tabs>
              <w:jc w:val="right"/>
              <w:rPr>
                <w:rFonts w:ascii="Arial" w:hAnsi="Arial" w:cs="Arial"/>
                <w:b/>
                <w:szCs w:val="24"/>
              </w:rPr>
            </w:pPr>
            <w:r w:rsidRPr="00C17955">
              <w:rPr>
                <w:rFonts w:ascii="Arial" w:hAnsi="Arial" w:cs="Arial"/>
                <w:b/>
                <w:szCs w:val="24"/>
              </w:rPr>
              <w:t>cc:</w:t>
            </w:r>
          </w:p>
        </w:tc>
        <w:tc>
          <w:tcPr>
            <w:tcW w:w="7938" w:type="dxa"/>
            <w:tcBorders>
              <w:top w:val="nil"/>
              <w:left w:val="nil"/>
              <w:bottom w:val="nil"/>
              <w:right w:val="nil"/>
            </w:tcBorders>
          </w:tcPr>
          <w:p w:rsidR="00D24579" w:rsidRDefault="00D24579" w:rsidP="00CB4EFD">
            <w:pPr>
              <w:rPr>
                <w:rFonts w:ascii="Arial" w:hAnsi="Arial" w:cs="Arial"/>
              </w:rPr>
            </w:pPr>
            <w:r>
              <w:rPr>
                <w:rFonts w:ascii="Arial" w:hAnsi="Arial" w:cs="Arial"/>
              </w:rPr>
              <w:t>ETSI ERM-TG28, Chairman Mr. Enrico Tosato</w:t>
            </w:r>
          </w:p>
          <w:p w:rsidR="00D24579" w:rsidRDefault="00D24579" w:rsidP="00CB4EFD">
            <w:pPr>
              <w:rPr>
                <w:rFonts w:ascii="Arial" w:hAnsi="Arial" w:cs="Arial"/>
              </w:rPr>
            </w:pPr>
            <w:r>
              <w:rPr>
                <w:rFonts w:ascii="Arial" w:hAnsi="Arial" w:cs="Arial"/>
              </w:rPr>
              <w:t>ETSI Liaison Officer with WG FM, Mr. Edgard Vangeel</w:t>
            </w:r>
          </w:p>
          <w:p w:rsidR="00D24579" w:rsidRDefault="00D24579" w:rsidP="00CB4EFD">
            <w:pPr>
              <w:rPr>
                <w:rFonts w:ascii="Arial" w:hAnsi="Arial" w:cs="Arial"/>
              </w:rPr>
            </w:pPr>
            <w:r w:rsidRPr="00E50B7A">
              <w:rPr>
                <w:rFonts w:ascii="Arial" w:hAnsi="Arial" w:cs="Arial"/>
              </w:rPr>
              <w:t xml:space="preserve">ETSI ERM Technical Officer, Mr. </w:t>
            </w:r>
            <w:smartTag w:uri="urn:schemas-microsoft-com:office:smarttags" w:element="PersonName">
              <w:r w:rsidRPr="00E50B7A">
                <w:rPr>
                  <w:rFonts w:ascii="Arial" w:hAnsi="Arial" w:cs="Arial"/>
                </w:rPr>
                <w:t>Igor Minaev</w:t>
              </w:r>
            </w:smartTag>
          </w:p>
          <w:p w:rsidR="00D24579" w:rsidRDefault="00D24579" w:rsidP="00CB4EFD">
            <w:pPr>
              <w:rPr>
                <w:rFonts w:ascii="Arial" w:hAnsi="Arial" w:cs="Arial"/>
              </w:rPr>
            </w:pPr>
            <w:r>
              <w:rPr>
                <w:rFonts w:ascii="Arial" w:hAnsi="Arial" w:cs="Arial"/>
              </w:rPr>
              <w:t>ETSI contact person with CEPT, Mr. Marcello Pagnozzi</w:t>
            </w:r>
          </w:p>
          <w:p w:rsidR="00D24579" w:rsidRPr="00E50B7A" w:rsidRDefault="00D24579" w:rsidP="00CB4EFD">
            <w:pPr>
              <w:rPr>
                <w:rFonts w:ascii="Arial" w:hAnsi="Arial" w:cs="Arial"/>
              </w:rPr>
            </w:pPr>
          </w:p>
        </w:tc>
      </w:tr>
      <w:tr w:rsidR="00D24579" w:rsidRPr="006821A4" w:rsidTr="002A02B5">
        <w:trPr>
          <w:gridAfter w:val="1"/>
          <w:wAfter w:w="190" w:type="dxa"/>
        </w:trPr>
        <w:tc>
          <w:tcPr>
            <w:tcW w:w="1962" w:type="dxa"/>
            <w:tcBorders>
              <w:top w:val="nil"/>
              <w:left w:val="nil"/>
              <w:bottom w:val="nil"/>
              <w:right w:val="nil"/>
            </w:tcBorders>
          </w:tcPr>
          <w:p w:rsidR="00D24579" w:rsidRPr="00C17955" w:rsidRDefault="00D24579" w:rsidP="00CB4EFD">
            <w:pPr>
              <w:tabs>
                <w:tab w:val="left" w:pos="1701"/>
              </w:tabs>
              <w:jc w:val="right"/>
              <w:rPr>
                <w:rFonts w:ascii="Arial" w:hAnsi="Arial" w:cs="Arial"/>
                <w:b/>
                <w:szCs w:val="24"/>
              </w:rPr>
            </w:pPr>
            <w:r>
              <w:rPr>
                <w:rFonts w:ascii="Arial" w:hAnsi="Arial" w:cs="Arial"/>
                <w:b/>
                <w:szCs w:val="24"/>
              </w:rPr>
              <w:t>Date:</w:t>
            </w:r>
          </w:p>
        </w:tc>
        <w:tc>
          <w:tcPr>
            <w:tcW w:w="7938" w:type="dxa"/>
            <w:tcBorders>
              <w:top w:val="nil"/>
              <w:left w:val="nil"/>
              <w:bottom w:val="nil"/>
              <w:right w:val="nil"/>
            </w:tcBorders>
          </w:tcPr>
          <w:p w:rsidR="00D24579" w:rsidRPr="006821A4" w:rsidRDefault="00D24579" w:rsidP="00CB4EFD">
            <w:pPr>
              <w:rPr>
                <w:rFonts w:ascii="Arial" w:hAnsi="Arial" w:cs="Arial"/>
              </w:rPr>
            </w:pPr>
            <w:r>
              <w:rPr>
                <w:rFonts w:ascii="Arial" w:hAnsi="Arial" w:cs="Arial"/>
              </w:rPr>
              <w:t>19-03-2012</w:t>
            </w:r>
          </w:p>
        </w:tc>
      </w:tr>
      <w:tr w:rsidR="00D24579" w:rsidRPr="006E4C00" w:rsidTr="002A02B5">
        <w:trPr>
          <w:gridAfter w:val="1"/>
          <w:wAfter w:w="190" w:type="dxa"/>
        </w:trPr>
        <w:tc>
          <w:tcPr>
            <w:tcW w:w="1962" w:type="dxa"/>
            <w:tcBorders>
              <w:top w:val="nil"/>
              <w:left w:val="nil"/>
              <w:bottom w:val="nil"/>
              <w:right w:val="nil"/>
            </w:tcBorders>
          </w:tcPr>
          <w:p w:rsidR="00D24579" w:rsidRPr="00147514" w:rsidRDefault="00D24579" w:rsidP="00CB4EFD">
            <w:pPr>
              <w:tabs>
                <w:tab w:val="left" w:pos="1701"/>
              </w:tabs>
              <w:jc w:val="right"/>
              <w:rPr>
                <w:rFonts w:ascii="Arial" w:hAnsi="Arial" w:cs="Arial"/>
                <w:sz w:val="16"/>
                <w:szCs w:val="24"/>
              </w:rPr>
            </w:pPr>
          </w:p>
        </w:tc>
        <w:tc>
          <w:tcPr>
            <w:tcW w:w="7938" w:type="dxa"/>
            <w:tcBorders>
              <w:top w:val="nil"/>
              <w:left w:val="nil"/>
              <w:bottom w:val="nil"/>
              <w:right w:val="nil"/>
            </w:tcBorders>
          </w:tcPr>
          <w:p w:rsidR="00D24579" w:rsidRPr="006E4C00" w:rsidRDefault="00D24579" w:rsidP="00CB4EFD">
            <w:pPr>
              <w:rPr>
                <w:rFonts w:ascii="Arial" w:hAnsi="Arial" w:cs="Arial"/>
                <w:sz w:val="16"/>
              </w:rPr>
            </w:pPr>
          </w:p>
        </w:tc>
      </w:tr>
      <w:tr w:rsidR="00D24579" w:rsidRPr="00E50B7A" w:rsidTr="002A02B5">
        <w:trPr>
          <w:gridAfter w:val="1"/>
          <w:wAfter w:w="190" w:type="dxa"/>
        </w:trPr>
        <w:tc>
          <w:tcPr>
            <w:tcW w:w="1962" w:type="dxa"/>
            <w:tcBorders>
              <w:top w:val="nil"/>
              <w:left w:val="nil"/>
              <w:bottom w:val="nil"/>
              <w:right w:val="nil"/>
            </w:tcBorders>
            <w:vAlign w:val="center"/>
          </w:tcPr>
          <w:p w:rsidR="00D24579" w:rsidRPr="00147514" w:rsidRDefault="00D24579" w:rsidP="00CB4EFD">
            <w:pPr>
              <w:tabs>
                <w:tab w:val="left" w:pos="1701"/>
              </w:tabs>
              <w:jc w:val="right"/>
              <w:rPr>
                <w:rFonts w:ascii="Arial" w:hAnsi="Arial" w:cs="Arial"/>
                <w:b/>
              </w:rPr>
            </w:pPr>
            <w:r>
              <w:rPr>
                <w:rFonts w:ascii="Arial" w:hAnsi="Arial" w:cs="Arial"/>
              </w:rPr>
              <w:t>Is this a response?</w:t>
            </w:r>
            <w:r w:rsidRPr="00147514">
              <w:rPr>
                <w:rFonts w:ascii="Arial" w:hAnsi="Arial" w:cs="Arial"/>
              </w:rPr>
              <w:t>:</w:t>
            </w:r>
          </w:p>
        </w:tc>
        <w:tc>
          <w:tcPr>
            <w:tcW w:w="7938" w:type="dxa"/>
            <w:tcBorders>
              <w:top w:val="nil"/>
              <w:left w:val="nil"/>
              <w:bottom w:val="nil"/>
              <w:right w:val="nil"/>
            </w:tcBorders>
            <w:tcMar>
              <w:left w:w="0" w:type="dxa"/>
              <w:right w:w="0" w:type="dxa"/>
            </w:tcMar>
          </w:tcPr>
          <w:p w:rsidR="00D24579" w:rsidRPr="00E50B7A" w:rsidRDefault="00D24579" w:rsidP="002A02B5">
            <w:pPr>
              <w:rPr>
                <w:rFonts w:ascii="Arial" w:hAnsi="Arial" w:cs="Arial"/>
                <w:sz w:val="24"/>
              </w:rPr>
            </w:pPr>
            <w:r>
              <w:rPr>
                <w:rFonts w:ascii="Arial" w:hAnsi="Arial" w:cs="Arial"/>
              </w:rPr>
              <w:t xml:space="preserve"> Yes</w:t>
            </w:r>
          </w:p>
        </w:tc>
      </w:tr>
      <w:tr w:rsidR="00D24579" w:rsidTr="002A02B5">
        <w:trPr>
          <w:gridAfter w:val="1"/>
          <w:wAfter w:w="190" w:type="dxa"/>
        </w:trPr>
        <w:tc>
          <w:tcPr>
            <w:tcW w:w="1962" w:type="dxa"/>
            <w:tcBorders>
              <w:top w:val="nil"/>
              <w:left w:val="nil"/>
              <w:bottom w:val="nil"/>
              <w:right w:val="nil"/>
            </w:tcBorders>
            <w:vAlign w:val="center"/>
          </w:tcPr>
          <w:p w:rsidR="00D24579" w:rsidRDefault="00D24579" w:rsidP="00CB4EFD">
            <w:pPr>
              <w:tabs>
                <w:tab w:val="left" w:pos="1701"/>
              </w:tabs>
              <w:jc w:val="right"/>
              <w:rPr>
                <w:rFonts w:ascii="Arial" w:hAnsi="Arial" w:cs="Arial"/>
              </w:rPr>
            </w:pPr>
            <w:r w:rsidRPr="004B074B">
              <w:rPr>
                <w:rFonts w:ascii="Arial" w:hAnsi="Arial" w:cs="Arial"/>
              </w:rPr>
              <w:t>Response to</w:t>
            </w:r>
            <w:r>
              <w:rPr>
                <w:rFonts w:ascii="Arial" w:hAnsi="Arial" w:cs="Arial"/>
                <w:color w:val="0000FF"/>
              </w:rPr>
              <w:t>:</w:t>
            </w:r>
          </w:p>
        </w:tc>
        <w:tc>
          <w:tcPr>
            <w:tcW w:w="7938" w:type="dxa"/>
            <w:tcBorders>
              <w:top w:val="nil"/>
              <w:left w:val="nil"/>
              <w:bottom w:val="nil"/>
              <w:right w:val="nil"/>
            </w:tcBorders>
            <w:tcMar>
              <w:left w:w="0" w:type="dxa"/>
              <w:right w:w="0" w:type="dxa"/>
            </w:tcMar>
          </w:tcPr>
          <w:p w:rsidR="00D24579" w:rsidRDefault="00D24579" w:rsidP="00CB4EFD">
            <w:r w:rsidRPr="002A02B5">
              <w:rPr>
                <w:rFonts w:ascii="Arial" w:hAnsi="Arial" w:cs="Arial"/>
              </w:rPr>
              <w:t xml:space="preserve">  LS from ECC WGFM</w:t>
            </w:r>
            <w:r>
              <w:rPr>
                <w:rFonts w:ascii="Arial" w:hAnsi="Arial" w:cs="Arial"/>
                <w:color w:val="0000FF"/>
              </w:rPr>
              <w:t xml:space="preserve"> (</w:t>
            </w:r>
            <w:hyperlink r:id="rId7" w:tgtFrame="_blank" w:history="1">
              <w:r w:rsidRPr="00FB339E">
                <w:rPr>
                  <w:rStyle w:val="Hyperlink"/>
                  <w:rFonts w:ascii="Arial" w:hAnsi="Arial" w:cs="Arial"/>
                </w:rPr>
                <w:t>ERM(11)0544</w:t>
              </w:r>
            </w:hyperlink>
            <w:r>
              <w:rPr>
                <w:rFonts w:ascii="Arial" w:hAnsi="Arial" w:cs="Arial"/>
              </w:rPr>
              <w:t>)</w:t>
            </w:r>
          </w:p>
        </w:tc>
      </w:tr>
      <w:tr w:rsidR="00D24579" w:rsidRPr="00321AE5" w:rsidTr="002A02B5">
        <w:trPr>
          <w:gridAfter w:val="1"/>
          <w:wAfter w:w="190" w:type="dxa"/>
        </w:trPr>
        <w:tc>
          <w:tcPr>
            <w:tcW w:w="1962" w:type="dxa"/>
            <w:tcBorders>
              <w:top w:val="nil"/>
              <w:left w:val="nil"/>
              <w:bottom w:val="nil"/>
              <w:right w:val="nil"/>
            </w:tcBorders>
          </w:tcPr>
          <w:p w:rsidR="00D24579" w:rsidRPr="00147514" w:rsidRDefault="00D24579" w:rsidP="00CB4EFD">
            <w:pPr>
              <w:tabs>
                <w:tab w:val="left" w:pos="1701"/>
              </w:tabs>
              <w:jc w:val="right"/>
              <w:rPr>
                <w:rFonts w:ascii="Arial" w:hAnsi="Arial" w:cs="Arial"/>
              </w:rPr>
            </w:pPr>
            <w:r>
              <w:rPr>
                <w:rFonts w:ascii="Arial" w:hAnsi="Arial" w:cs="Arial"/>
              </w:rPr>
              <w:t>Reply by</w:t>
            </w:r>
            <w:r w:rsidRPr="00147514">
              <w:rPr>
                <w:rFonts w:ascii="Arial" w:hAnsi="Arial" w:cs="Arial"/>
              </w:rPr>
              <w:t>:</w:t>
            </w:r>
          </w:p>
        </w:tc>
        <w:tc>
          <w:tcPr>
            <w:tcW w:w="7938" w:type="dxa"/>
            <w:tcBorders>
              <w:top w:val="nil"/>
              <w:left w:val="nil"/>
              <w:bottom w:val="nil"/>
              <w:right w:val="nil"/>
            </w:tcBorders>
          </w:tcPr>
          <w:p w:rsidR="00D24579" w:rsidRPr="00321AE5" w:rsidRDefault="00D24579" w:rsidP="00CB4EFD">
            <w:pPr>
              <w:rPr>
                <w:rFonts w:ascii="Arial" w:hAnsi="Arial" w:cs="Arial"/>
                <w:color w:val="0000FF"/>
              </w:rPr>
            </w:pPr>
          </w:p>
        </w:tc>
      </w:tr>
      <w:tr w:rsidR="00D24579" w:rsidRPr="00321AE5" w:rsidTr="002A02B5">
        <w:trPr>
          <w:gridAfter w:val="1"/>
          <w:wAfter w:w="190" w:type="dxa"/>
        </w:trPr>
        <w:tc>
          <w:tcPr>
            <w:tcW w:w="1962" w:type="dxa"/>
            <w:tcBorders>
              <w:top w:val="nil"/>
              <w:left w:val="nil"/>
              <w:bottom w:val="nil"/>
              <w:right w:val="nil"/>
            </w:tcBorders>
          </w:tcPr>
          <w:p w:rsidR="00D24579" w:rsidRPr="00D21604" w:rsidRDefault="00D24579" w:rsidP="00CB4EFD">
            <w:pPr>
              <w:tabs>
                <w:tab w:val="left" w:pos="1701"/>
              </w:tabs>
              <w:jc w:val="right"/>
              <w:rPr>
                <w:rFonts w:ascii="Arial" w:hAnsi="Arial" w:cs="Arial"/>
                <w:sz w:val="16"/>
              </w:rPr>
            </w:pPr>
          </w:p>
        </w:tc>
        <w:tc>
          <w:tcPr>
            <w:tcW w:w="7938" w:type="dxa"/>
            <w:tcBorders>
              <w:top w:val="nil"/>
              <w:left w:val="nil"/>
              <w:bottom w:val="nil"/>
              <w:right w:val="nil"/>
            </w:tcBorders>
          </w:tcPr>
          <w:p w:rsidR="00D24579" w:rsidRPr="00321AE5" w:rsidRDefault="00D24579" w:rsidP="00CB4EFD">
            <w:pPr>
              <w:ind w:left="57"/>
              <w:rPr>
                <w:rFonts w:ascii="Arial" w:hAnsi="Arial" w:cs="Arial"/>
                <w:color w:val="0000FF"/>
                <w:sz w:val="16"/>
              </w:rPr>
            </w:pPr>
          </w:p>
        </w:tc>
      </w:tr>
      <w:tr w:rsidR="00D24579" w:rsidRPr="006D130A" w:rsidTr="002A02B5">
        <w:trPr>
          <w:gridAfter w:val="1"/>
          <w:wAfter w:w="190" w:type="dxa"/>
        </w:trPr>
        <w:tc>
          <w:tcPr>
            <w:tcW w:w="1962" w:type="dxa"/>
            <w:tcBorders>
              <w:top w:val="nil"/>
              <w:left w:val="nil"/>
              <w:bottom w:val="nil"/>
              <w:right w:val="nil"/>
            </w:tcBorders>
          </w:tcPr>
          <w:p w:rsidR="00D24579" w:rsidRPr="00147514" w:rsidRDefault="00D24579" w:rsidP="00CB4EFD">
            <w:pPr>
              <w:tabs>
                <w:tab w:val="left" w:pos="1701"/>
              </w:tabs>
              <w:jc w:val="right"/>
              <w:rPr>
                <w:rFonts w:ascii="Arial" w:hAnsi="Arial" w:cs="Arial"/>
              </w:rPr>
            </w:pPr>
            <w:r w:rsidRPr="00147514">
              <w:rPr>
                <w:rFonts w:ascii="Arial" w:hAnsi="Arial" w:cs="Arial"/>
              </w:rPr>
              <w:t>Relevant WI(s), or deliverable(s):</w:t>
            </w:r>
          </w:p>
        </w:tc>
        <w:tc>
          <w:tcPr>
            <w:tcW w:w="7938" w:type="dxa"/>
            <w:tcBorders>
              <w:top w:val="nil"/>
              <w:left w:val="nil"/>
              <w:bottom w:val="nil"/>
              <w:right w:val="nil"/>
            </w:tcBorders>
          </w:tcPr>
          <w:p w:rsidR="00D24579" w:rsidRPr="007F2AC5" w:rsidRDefault="00D24579" w:rsidP="00CB4EFD">
            <w:pPr>
              <w:rPr>
                <w:rFonts w:ascii="Arial" w:hAnsi="Arial" w:cs="Arial"/>
                <w:lang w:val="nl-NL"/>
              </w:rPr>
            </w:pPr>
            <w:hyperlink r:id="rId8" w:history="1">
              <w:r w:rsidRPr="007F2AC5">
                <w:rPr>
                  <w:rStyle w:val="Hyperlink"/>
                  <w:rFonts w:ascii="Arial" w:hAnsi="Arial" w:cs="Arial"/>
                  <w:lang w:val="nl-NL"/>
                </w:rPr>
                <w:t>EN 302 608</w:t>
              </w:r>
            </w:hyperlink>
            <w:r w:rsidRPr="007F2AC5">
              <w:rPr>
                <w:rFonts w:ascii="Arial" w:hAnsi="Arial" w:cs="Arial"/>
                <w:lang w:val="nl-NL"/>
              </w:rPr>
              <w:t xml:space="preserve">, </w:t>
            </w:r>
            <w:hyperlink r:id="rId9" w:history="1">
              <w:r w:rsidRPr="007F2AC5">
                <w:rPr>
                  <w:rStyle w:val="Hyperlink"/>
                  <w:rFonts w:ascii="Arial" w:hAnsi="Arial" w:cs="Arial"/>
                  <w:lang w:val="nl-NL"/>
                </w:rPr>
                <w:t>EN 300 330</w:t>
              </w:r>
            </w:hyperlink>
            <w:r w:rsidRPr="007F2AC5">
              <w:rPr>
                <w:rFonts w:ascii="Arial" w:hAnsi="Arial" w:cs="Arial"/>
                <w:lang w:val="nl-NL"/>
              </w:rPr>
              <w:t xml:space="preserve">, </w:t>
            </w:r>
            <w:hyperlink r:id="rId10" w:history="1">
              <w:r w:rsidRPr="007F2AC5">
                <w:rPr>
                  <w:rStyle w:val="Hyperlink"/>
                  <w:rFonts w:ascii="Arial" w:hAnsi="Arial" w:cs="Arial"/>
                  <w:lang w:val="nl-NL"/>
                </w:rPr>
                <w:t>EN 302 609</w:t>
              </w:r>
            </w:hyperlink>
            <w:r w:rsidRPr="007F2AC5">
              <w:rPr>
                <w:rFonts w:ascii="Arial" w:hAnsi="Arial" w:cs="Arial"/>
                <w:lang w:val="nl-NL"/>
              </w:rPr>
              <w:t xml:space="preserve">, </w:t>
            </w:r>
            <w:hyperlink r:id="rId11" w:history="1">
              <w:r w:rsidRPr="007F2AC5">
                <w:rPr>
                  <w:rStyle w:val="Hyperlink"/>
                  <w:rFonts w:ascii="Arial" w:hAnsi="Arial" w:cs="Arial"/>
                  <w:lang w:val="nl-NL"/>
                </w:rPr>
                <w:t>EN 302 195</w:t>
              </w:r>
            </w:hyperlink>
            <w:r w:rsidRPr="007F2AC5">
              <w:rPr>
                <w:rFonts w:ascii="Arial" w:hAnsi="Arial" w:cs="Arial"/>
                <w:lang w:val="nl-NL"/>
              </w:rPr>
              <w:t xml:space="preserve">, </w:t>
            </w:r>
            <w:hyperlink r:id="rId12" w:history="1">
              <w:r w:rsidRPr="007F2AC5">
                <w:rPr>
                  <w:rStyle w:val="Hyperlink"/>
                  <w:rFonts w:ascii="Arial" w:hAnsi="Arial" w:cs="Arial"/>
                  <w:lang w:val="nl-NL"/>
                </w:rPr>
                <w:t>EN 302 536</w:t>
              </w:r>
            </w:hyperlink>
            <w:r w:rsidRPr="007F2AC5">
              <w:rPr>
                <w:rFonts w:ascii="Arial" w:hAnsi="Arial" w:cs="Arial"/>
                <w:lang w:val="nl-NL"/>
              </w:rPr>
              <w:t xml:space="preserve">, </w:t>
            </w:r>
            <w:hyperlink r:id="rId13" w:history="1">
              <w:r w:rsidRPr="007F2AC5">
                <w:rPr>
                  <w:rStyle w:val="Hyperlink"/>
                  <w:rFonts w:ascii="Arial" w:hAnsi="Arial" w:cs="Arial"/>
                  <w:lang w:val="nl-NL"/>
                </w:rPr>
                <w:t>TS 103 060</w:t>
              </w:r>
            </w:hyperlink>
            <w:r w:rsidRPr="007F2AC5">
              <w:rPr>
                <w:rFonts w:ascii="Arial" w:hAnsi="Arial" w:cs="Arial"/>
                <w:lang w:val="nl-NL"/>
              </w:rPr>
              <w:t xml:space="preserve">, </w:t>
            </w:r>
            <w:hyperlink r:id="rId14" w:history="1">
              <w:r w:rsidRPr="007F2AC5">
                <w:rPr>
                  <w:rStyle w:val="Hyperlink"/>
                  <w:rFonts w:ascii="Arial" w:hAnsi="Arial" w:cs="Arial"/>
                  <w:lang w:val="nl-NL"/>
                </w:rPr>
                <w:t>TR</w:t>
              </w:r>
              <w:r>
                <w:rPr>
                  <w:rStyle w:val="Hyperlink"/>
                  <w:rFonts w:ascii="Arial" w:hAnsi="Arial" w:cs="Arial"/>
                  <w:lang w:val="nl-NL"/>
                </w:rPr>
                <w:t> 103 </w:t>
              </w:r>
              <w:r w:rsidRPr="007F2AC5">
                <w:rPr>
                  <w:rStyle w:val="Hyperlink"/>
                  <w:rFonts w:ascii="Arial" w:hAnsi="Arial" w:cs="Arial"/>
                  <w:lang w:val="nl-NL"/>
                </w:rPr>
                <w:t>056</w:t>
              </w:r>
            </w:hyperlink>
          </w:p>
          <w:p w:rsidR="00D24579" w:rsidRPr="006D130A" w:rsidRDefault="00D24579" w:rsidP="00CB4EFD">
            <w:pPr>
              <w:rPr>
                <w:rFonts w:ascii="Arial" w:hAnsi="Arial" w:cs="Arial"/>
                <w:lang w:val="nl-NL"/>
              </w:rPr>
            </w:pPr>
          </w:p>
        </w:tc>
      </w:tr>
      <w:tr w:rsidR="00D24579" w:rsidRPr="00E50B7A" w:rsidTr="002A02B5">
        <w:trPr>
          <w:gridAfter w:val="1"/>
          <w:wAfter w:w="190" w:type="dxa"/>
        </w:trPr>
        <w:tc>
          <w:tcPr>
            <w:tcW w:w="1962" w:type="dxa"/>
            <w:tcBorders>
              <w:top w:val="nil"/>
              <w:left w:val="nil"/>
              <w:bottom w:val="nil"/>
              <w:right w:val="nil"/>
            </w:tcBorders>
          </w:tcPr>
          <w:p w:rsidR="00D24579" w:rsidRPr="00147514" w:rsidRDefault="00D24579" w:rsidP="00CB4EFD">
            <w:pPr>
              <w:tabs>
                <w:tab w:val="left" w:pos="1701"/>
              </w:tabs>
              <w:jc w:val="right"/>
              <w:rPr>
                <w:rFonts w:ascii="Arial" w:hAnsi="Arial" w:cs="Arial"/>
              </w:rPr>
            </w:pPr>
            <w:r w:rsidRPr="00147514">
              <w:rPr>
                <w:rFonts w:ascii="Arial" w:hAnsi="Arial" w:cs="Arial"/>
              </w:rPr>
              <w:t>A</w:t>
            </w:r>
            <w:r>
              <w:rPr>
                <w:rFonts w:ascii="Arial" w:hAnsi="Arial" w:cs="Arial"/>
              </w:rPr>
              <w:t>ttachments</w:t>
            </w:r>
            <w:r w:rsidRPr="00147514">
              <w:rPr>
                <w:rFonts w:ascii="Arial" w:hAnsi="Arial" w:cs="Arial"/>
              </w:rPr>
              <w:t>:</w:t>
            </w:r>
          </w:p>
        </w:tc>
        <w:tc>
          <w:tcPr>
            <w:tcW w:w="7938" w:type="dxa"/>
            <w:tcBorders>
              <w:top w:val="nil"/>
              <w:left w:val="nil"/>
              <w:bottom w:val="nil"/>
              <w:right w:val="nil"/>
            </w:tcBorders>
          </w:tcPr>
          <w:p w:rsidR="00D24579" w:rsidRPr="005B0847" w:rsidRDefault="00D24579" w:rsidP="00591258">
            <w:pPr>
              <w:numPr>
                <w:ilvl w:val="0"/>
                <w:numId w:val="39"/>
              </w:numPr>
              <w:rPr>
                <w:rFonts w:ascii="Arial" w:hAnsi="Arial" w:cs="Arial"/>
              </w:rPr>
            </w:pPr>
            <w:r w:rsidRPr="00591258">
              <w:rPr>
                <w:rFonts w:ascii="Arial" w:hAnsi="Arial" w:cs="Arial"/>
              </w:rPr>
              <w:t>ERM(12)46_106_addendum-1_Notes on Inductive limits</w:t>
            </w:r>
            <w:r w:rsidRPr="005B0847">
              <w:rPr>
                <w:rFonts w:ascii="Arial" w:hAnsi="Arial" w:cs="Arial"/>
              </w:rPr>
              <w:t xml:space="preserve">.zip </w:t>
            </w:r>
          </w:p>
          <w:p w:rsidR="00D24579" w:rsidRPr="002A02B5" w:rsidRDefault="00D24579" w:rsidP="00591258">
            <w:pPr>
              <w:numPr>
                <w:ilvl w:val="0"/>
                <w:numId w:val="39"/>
              </w:numPr>
              <w:rPr>
                <w:rFonts w:ascii="Arial" w:hAnsi="Arial" w:cs="Arial"/>
                <w:color w:val="0000FF"/>
              </w:rPr>
            </w:pPr>
            <w:r w:rsidRPr="00591258">
              <w:rPr>
                <w:rFonts w:ascii="Arial" w:hAnsi="Arial" w:cs="Arial"/>
              </w:rPr>
              <w:t xml:space="preserve">ERM(12)46_106_addendum-2_Inductive - TG30 Liaison Statement </w:t>
            </w:r>
            <w:r w:rsidRPr="005B0847">
              <w:rPr>
                <w:rFonts w:ascii="Arial" w:hAnsi="Arial" w:cs="Arial"/>
              </w:rPr>
              <w:t>(</w:t>
            </w:r>
            <w:hyperlink r:id="rId15" w:history="1">
              <w:r w:rsidRPr="005B0847">
                <w:rPr>
                  <w:rStyle w:val="Hyperlink"/>
                  <w:rFonts w:ascii="Arial" w:hAnsi="Arial" w:cs="Arial"/>
                </w:rPr>
                <w:t>ERMTG28(12)31_021</w:t>
              </w:r>
            </w:hyperlink>
            <w:r w:rsidRPr="005B0847">
              <w:rPr>
                <w:rFonts w:ascii="Arial" w:hAnsi="Arial" w:cs="Arial"/>
              </w:rPr>
              <w:t>)</w:t>
            </w:r>
            <w:r>
              <w:rPr>
                <w:rFonts w:ascii="Arial" w:hAnsi="Arial" w:cs="Arial"/>
              </w:rPr>
              <w:t>.doc</w:t>
            </w:r>
          </w:p>
        </w:tc>
      </w:tr>
    </w:tbl>
    <w:p w:rsidR="00D24579" w:rsidRPr="00EE44E9" w:rsidRDefault="00D24579" w:rsidP="00725BA1">
      <w:pPr>
        <w:pBdr>
          <w:bottom w:val="single" w:sz="4" w:space="1" w:color="auto"/>
        </w:pBdr>
        <w:spacing w:before="120"/>
        <w:rPr>
          <w:rFonts w:ascii="Arial" w:hAnsi="Arial" w:cs="Arial"/>
          <w:sz w:val="22"/>
          <w:szCs w:val="22"/>
        </w:rPr>
      </w:pPr>
    </w:p>
    <w:p w:rsidR="00D24579" w:rsidRDefault="00D24579" w:rsidP="00715119">
      <w:pPr>
        <w:spacing w:before="120"/>
        <w:rPr>
          <w:rFonts w:ascii="Arial" w:hAnsi="Arial" w:cs="Arial"/>
          <w:sz w:val="22"/>
          <w:szCs w:val="22"/>
          <w:lang w:val="en-IE"/>
        </w:rPr>
      </w:pPr>
    </w:p>
    <w:p w:rsidR="00D24579" w:rsidRDefault="00D24579" w:rsidP="00715119">
      <w:pPr>
        <w:spacing w:before="120"/>
        <w:rPr>
          <w:rFonts w:ascii="Arial" w:hAnsi="Arial" w:cs="Arial"/>
          <w:sz w:val="22"/>
          <w:szCs w:val="22"/>
          <w:lang w:val="en-IE"/>
        </w:rPr>
      </w:pPr>
      <w:r>
        <w:rPr>
          <w:rFonts w:ascii="Arial" w:hAnsi="Arial" w:cs="Arial"/>
          <w:sz w:val="22"/>
          <w:szCs w:val="22"/>
          <w:lang w:val="en-IE"/>
        </w:rPr>
        <w:t>Dear Sergey and Thomas,</w:t>
      </w:r>
    </w:p>
    <w:p w:rsidR="00D24579" w:rsidRDefault="00D24579" w:rsidP="00715119">
      <w:pPr>
        <w:spacing w:before="120"/>
        <w:rPr>
          <w:rFonts w:ascii="Arial" w:hAnsi="Arial" w:cs="Arial"/>
          <w:sz w:val="22"/>
          <w:szCs w:val="22"/>
          <w:lang w:val="en-IE"/>
        </w:rPr>
      </w:pPr>
    </w:p>
    <w:p w:rsidR="00D24579" w:rsidRDefault="00D24579" w:rsidP="00715119">
      <w:pPr>
        <w:spacing w:before="120"/>
        <w:rPr>
          <w:rFonts w:ascii="Arial" w:hAnsi="Arial" w:cs="Arial"/>
          <w:sz w:val="22"/>
          <w:szCs w:val="22"/>
          <w:lang w:val="en-IE"/>
        </w:rPr>
      </w:pPr>
      <w:r>
        <w:rPr>
          <w:rFonts w:ascii="Arial" w:hAnsi="Arial" w:cs="Arial"/>
          <w:sz w:val="22"/>
          <w:szCs w:val="22"/>
          <w:lang w:val="en-IE"/>
        </w:rPr>
        <w:t>TC ERM considered the LS from WGFM to TC ERM dated 21</w:t>
      </w:r>
      <w:r w:rsidRPr="00F75BE0">
        <w:rPr>
          <w:rFonts w:ascii="Arial" w:hAnsi="Arial" w:cs="Arial"/>
          <w:sz w:val="22"/>
          <w:szCs w:val="22"/>
          <w:vertAlign w:val="superscript"/>
          <w:lang w:val="en-IE"/>
        </w:rPr>
        <w:t>st</w:t>
      </w:r>
      <w:r>
        <w:rPr>
          <w:rFonts w:ascii="Arial" w:hAnsi="Arial" w:cs="Arial"/>
          <w:sz w:val="22"/>
          <w:szCs w:val="22"/>
          <w:lang w:val="en-IE"/>
        </w:rPr>
        <w:t xml:space="preserve"> October 2011 on </w:t>
      </w:r>
      <w:r w:rsidRPr="00F75BE0">
        <w:rPr>
          <w:rFonts w:ascii="Arial" w:hAnsi="Arial" w:cs="Arial"/>
          <w:sz w:val="22"/>
          <w:szCs w:val="22"/>
          <w:lang w:val="en-IE"/>
        </w:rPr>
        <w:t>the fifth update of the technical annex of the EC Decision for SRD</w:t>
      </w:r>
      <w:r>
        <w:rPr>
          <w:rFonts w:ascii="Arial" w:hAnsi="Arial" w:cs="Arial"/>
          <w:sz w:val="22"/>
          <w:szCs w:val="22"/>
          <w:lang w:val="en-IE"/>
        </w:rPr>
        <w:t xml:space="preserve">s, document </w:t>
      </w:r>
      <w:hyperlink r:id="rId16" w:tgtFrame="_blank" w:history="1">
        <w:r w:rsidRPr="00725BA1">
          <w:rPr>
            <w:rStyle w:val="Hyperlink"/>
            <w:rFonts w:ascii="Arial" w:hAnsi="Arial" w:cs="Arial"/>
            <w:sz w:val="22"/>
            <w:szCs w:val="22"/>
          </w:rPr>
          <w:t>ERM(11)0544</w:t>
        </w:r>
      </w:hyperlink>
      <w:r>
        <w:rPr>
          <w:rFonts w:ascii="Arial" w:hAnsi="Arial" w:cs="Arial"/>
          <w:sz w:val="22"/>
          <w:szCs w:val="22"/>
          <w:lang w:val="en-IE"/>
        </w:rPr>
        <w:t>.</w:t>
      </w:r>
    </w:p>
    <w:p w:rsidR="00D24579" w:rsidRDefault="00D24579" w:rsidP="00715119">
      <w:pPr>
        <w:spacing w:before="120"/>
        <w:rPr>
          <w:rFonts w:ascii="Arial" w:hAnsi="Arial" w:cs="Arial"/>
          <w:sz w:val="22"/>
          <w:szCs w:val="22"/>
          <w:lang w:val="en-IE"/>
        </w:rPr>
      </w:pPr>
      <w:r>
        <w:rPr>
          <w:rFonts w:ascii="Arial" w:hAnsi="Arial" w:cs="Arial"/>
          <w:sz w:val="22"/>
          <w:szCs w:val="22"/>
          <w:lang w:val="en-IE"/>
        </w:rPr>
        <w:t>This was also addressed by ERM TG28 during its meeting#31 (February 2012) and a response was elaborated and submitted to TC ERM that endorsed it and is now forwarding it accordingly.</w:t>
      </w:r>
    </w:p>
    <w:p w:rsidR="00D24579" w:rsidRDefault="00D24579" w:rsidP="00715119">
      <w:pPr>
        <w:spacing w:before="120"/>
        <w:rPr>
          <w:rFonts w:ascii="Arial" w:hAnsi="Arial" w:cs="Arial"/>
          <w:sz w:val="22"/>
          <w:szCs w:val="22"/>
          <w:lang w:val="en-IE"/>
        </w:rPr>
      </w:pPr>
      <w:r>
        <w:rPr>
          <w:rFonts w:ascii="Arial" w:hAnsi="Arial" w:cs="Arial"/>
          <w:sz w:val="22"/>
          <w:szCs w:val="22"/>
          <w:lang w:val="en-IE"/>
        </w:rPr>
        <w:t>Through the LS from WG FM, our opinion on a number of questions was sought. Below we list your questions in quotation marks and our responses, i.e. A1, A2, A3, etc.</w:t>
      </w:r>
    </w:p>
    <w:p w:rsidR="00D24579" w:rsidRDefault="00D24579" w:rsidP="00715119">
      <w:pPr>
        <w:spacing w:before="120"/>
        <w:rPr>
          <w:rFonts w:ascii="Arial" w:hAnsi="Arial" w:cs="Arial"/>
          <w:sz w:val="22"/>
          <w:szCs w:val="22"/>
          <w:lang w:val="en-IE"/>
        </w:rPr>
      </w:pPr>
      <w:r>
        <w:rPr>
          <w:rFonts w:ascii="Arial" w:hAnsi="Arial" w:cs="Arial"/>
          <w:sz w:val="22"/>
          <w:szCs w:val="22"/>
          <w:lang w:val="en-IE"/>
        </w:rPr>
        <w:t>We trust that this is of assistance and offer our further help to SRD/MG as required.</w:t>
      </w:r>
    </w:p>
    <w:p w:rsidR="00D24579" w:rsidRDefault="00D24579" w:rsidP="00715119">
      <w:pPr>
        <w:spacing w:before="120"/>
        <w:rPr>
          <w:rFonts w:ascii="Arial" w:hAnsi="Arial" w:cs="Arial"/>
          <w:sz w:val="22"/>
          <w:szCs w:val="22"/>
          <w:lang w:val="en-IE"/>
        </w:rPr>
      </w:pPr>
    </w:p>
    <w:p w:rsidR="00D24579" w:rsidRDefault="00D24579" w:rsidP="00715119">
      <w:pPr>
        <w:spacing w:before="120"/>
        <w:rPr>
          <w:rFonts w:ascii="Arial" w:hAnsi="Arial" w:cs="Arial"/>
          <w:sz w:val="22"/>
          <w:szCs w:val="22"/>
          <w:lang w:val="en-IE"/>
        </w:rPr>
      </w:pPr>
      <w:r>
        <w:rPr>
          <w:rFonts w:ascii="Arial" w:hAnsi="Arial" w:cs="Arial"/>
          <w:sz w:val="22"/>
          <w:szCs w:val="22"/>
          <w:lang w:val="en-IE"/>
        </w:rPr>
        <w:t>Best regards,</w:t>
      </w:r>
    </w:p>
    <w:p w:rsidR="00D24579" w:rsidRDefault="00D24579" w:rsidP="00715119">
      <w:pPr>
        <w:spacing w:before="120"/>
        <w:rPr>
          <w:rFonts w:ascii="Arial" w:hAnsi="Arial" w:cs="Arial"/>
          <w:sz w:val="22"/>
          <w:szCs w:val="22"/>
          <w:lang w:val="en-IE"/>
        </w:rPr>
      </w:pPr>
    </w:p>
    <w:p w:rsidR="00D24579" w:rsidRDefault="00D24579" w:rsidP="00715119">
      <w:pPr>
        <w:spacing w:before="120"/>
        <w:rPr>
          <w:rFonts w:ascii="Arial" w:hAnsi="Arial" w:cs="Arial"/>
          <w:sz w:val="22"/>
          <w:szCs w:val="22"/>
          <w:lang w:val="en-IE"/>
        </w:rPr>
      </w:pPr>
      <w:r>
        <w:rPr>
          <w:rFonts w:ascii="Arial" w:hAnsi="Arial" w:cs="Arial"/>
          <w:sz w:val="22"/>
          <w:szCs w:val="22"/>
          <w:lang w:val="en-IE"/>
        </w:rPr>
        <w:t>Gabrielle Owen</w:t>
      </w:r>
    </w:p>
    <w:p w:rsidR="00D24579" w:rsidRDefault="00D24579" w:rsidP="000D1B9E">
      <w:pPr>
        <w:rPr>
          <w:rFonts w:ascii="Arial" w:hAnsi="Arial" w:cs="Arial"/>
          <w:sz w:val="22"/>
          <w:szCs w:val="22"/>
          <w:lang w:val="en-IE"/>
        </w:rPr>
      </w:pPr>
      <w:r>
        <w:rPr>
          <w:rFonts w:ascii="Arial" w:hAnsi="Arial" w:cs="Arial"/>
          <w:sz w:val="22"/>
          <w:szCs w:val="22"/>
          <w:lang w:val="en-IE"/>
        </w:rPr>
        <w:t>Chairman TC ERM</w:t>
      </w:r>
    </w:p>
    <w:p w:rsidR="00D24579" w:rsidRDefault="00D24579" w:rsidP="00715119">
      <w:pPr>
        <w:spacing w:before="120"/>
        <w:rPr>
          <w:rFonts w:ascii="Arial" w:hAnsi="Arial" w:cs="Arial"/>
          <w:sz w:val="22"/>
          <w:szCs w:val="22"/>
          <w:lang w:val="en-IE"/>
        </w:rPr>
      </w:pPr>
    </w:p>
    <w:p w:rsidR="00D24579" w:rsidRDefault="00D24579" w:rsidP="00715119">
      <w:pPr>
        <w:spacing w:before="120"/>
        <w:rPr>
          <w:rFonts w:ascii="Arial" w:hAnsi="Arial" w:cs="Arial"/>
          <w:sz w:val="22"/>
          <w:szCs w:val="22"/>
          <w:lang w:val="en-IE"/>
        </w:rPr>
      </w:pPr>
    </w:p>
    <w:p w:rsidR="00D24579" w:rsidRDefault="00D24579" w:rsidP="00715119">
      <w:pPr>
        <w:spacing w:before="120"/>
        <w:rPr>
          <w:rFonts w:ascii="Arial" w:hAnsi="Arial" w:cs="Arial"/>
          <w:sz w:val="22"/>
          <w:szCs w:val="22"/>
          <w:lang w:val="en-IE"/>
        </w:rPr>
      </w:pPr>
    </w:p>
    <w:p w:rsidR="00D24579" w:rsidRDefault="00D24579" w:rsidP="00715119">
      <w:pPr>
        <w:spacing w:before="120"/>
        <w:rPr>
          <w:rFonts w:ascii="Arial" w:hAnsi="Arial" w:cs="Arial"/>
          <w:sz w:val="22"/>
          <w:szCs w:val="22"/>
          <w:lang w:val="en-IE"/>
        </w:rPr>
      </w:pPr>
    </w:p>
    <w:p w:rsidR="00D24579" w:rsidRDefault="00D24579" w:rsidP="00715119">
      <w:pPr>
        <w:spacing w:before="120"/>
        <w:rPr>
          <w:rFonts w:ascii="Arial" w:hAnsi="Arial" w:cs="Arial"/>
          <w:sz w:val="22"/>
          <w:szCs w:val="22"/>
          <w:lang w:val="en-IE"/>
        </w:rPr>
      </w:pPr>
    </w:p>
    <w:p w:rsidR="00D24579" w:rsidRDefault="00D24579" w:rsidP="00715119">
      <w:pPr>
        <w:spacing w:before="120"/>
        <w:rPr>
          <w:rFonts w:ascii="Arial" w:hAnsi="Arial" w:cs="Arial"/>
          <w:sz w:val="22"/>
          <w:szCs w:val="22"/>
          <w:lang w:val="en-IE"/>
        </w:rPr>
      </w:pPr>
    </w:p>
    <w:p w:rsidR="00D24579" w:rsidRDefault="00D24579" w:rsidP="00715119">
      <w:pPr>
        <w:spacing w:before="120"/>
        <w:rPr>
          <w:rFonts w:ascii="Arial" w:hAnsi="Arial" w:cs="Arial"/>
          <w:sz w:val="22"/>
          <w:szCs w:val="22"/>
          <w:lang w:val="en-IE"/>
        </w:rPr>
      </w:pPr>
    </w:p>
    <w:p w:rsidR="00D24579" w:rsidRPr="00334B96" w:rsidRDefault="00D24579" w:rsidP="00715119">
      <w:pPr>
        <w:spacing w:before="120"/>
        <w:jc w:val="both"/>
        <w:rPr>
          <w:rFonts w:ascii="Arial" w:hAnsi="Arial" w:cs="Arial"/>
          <w:sz w:val="22"/>
          <w:szCs w:val="22"/>
          <w:lang w:val="en-IE"/>
        </w:rPr>
      </w:pPr>
      <w:r w:rsidRPr="008A2540">
        <w:rPr>
          <w:rFonts w:ascii="Arial" w:hAnsi="Arial" w:cs="Arial"/>
          <w:sz w:val="22"/>
          <w:szCs w:val="22"/>
          <w:lang w:val="en-IE"/>
        </w:rPr>
        <w:t>1)</w:t>
      </w:r>
      <w:r w:rsidRPr="008A2540">
        <w:rPr>
          <w:rFonts w:ascii="Arial" w:hAnsi="Arial" w:cs="Arial"/>
          <w:sz w:val="22"/>
          <w:szCs w:val="22"/>
          <w:lang w:val="en-IE"/>
        </w:rPr>
        <w:tab/>
      </w:r>
      <w:r>
        <w:rPr>
          <w:rFonts w:ascii="Arial" w:hAnsi="Arial" w:cs="Arial"/>
          <w:sz w:val="22"/>
          <w:szCs w:val="22"/>
          <w:lang w:val="en-IE"/>
        </w:rPr>
        <w:t>"</w:t>
      </w:r>
      <w:r w:rsidRPr="008A2540">
        <w:rPr>
          <w:rFonts w:ascii="Arial" w:hAnsi="Arial" w:cs="Arial"/>
          <w:sz w:val="22"/>
          <w:szCs w:val="22"/>
          <w:lang w:val="en-IE"/>
        </w:rPr>
        <w:t xml:space="preserve">Improvement in the description of duty cycle / activity factors as discussed under current work item SE24_23, especially regarding the frequency range 863-870 MHz (it also relates to note </w:t>
      </w:r>
      <w:smartTag w:uri="urn:schemas-microsoft-com:office:smarttags" w:element="metricconverter">
        <w:smartTagPr>
          <w:attr w:name="ProductID" w:val="3 in"/>
        </w:smartTagPr>
        <w:r w:rsidRPr="008A2540">
          <w:rPr>
            <w:rFonts w:ascii="Arial" w:hAnsi="Arial" w:cs="Arial"/>
            <w:sz w:val="22"/>
            <w:szCs w:val="22"/>
            <w:lang w:val="en-IE"/>
          </w:rPr>
          <w:t>3 in</w:t>
        </w:r>
      </w:smartTag>
      <w:r w:rsidRPr="008A2540">
        <w:rPr>
          <w:rFonts w:ascii="Arial" w:hAnsi="Arial" w:cs="Arial"/>
          <w:sz w:val="22"/>
          <w:szCs w:val="22"/>
          <w:lang w:val="en-IE"/>
        </w:rPr>
        <w:t xml:space="preserve"> annex 1 of ERC REC 70-03)</w:t>
      </w:r>
      <w:r>
        <w:rPr>
          <w:rFonts w:ascii="Arial" w:hAnsi="Arial" w:cs="Arial"/>
          <w:sz w:val="22"/>
          <w:szCs w:val="22"/>
          <w:lang w:val="en-IE"/>
        </w:rPr>
        <w:t>"</w:t>
      </w:r>
      <w:r w:rsidRPr="008A2540">
        <w:rPr>
          <w:rFonts w:ascii="Arial" w:hAnsi="Arial" w:cs="Arial"/>
          <w:sz w:val="22"/>
          <w:szCs w:val="22"/>
          <w:lang w:val="en-IE"/>
        </w:rPr>
        <w:t>;</w:t>
      </w:r>
    </w:p>
    <w:p w:rsidR="00D24579" w:rsidRDefault="00D24579" w:rsidP="00E4752A">
      <w:pPr>
        <w:spacing w:before="120"/>
        <w:ind w:left="720"/>
        <w:jc w:val="both"/>
        <w:rPr>
          <w:sz w:val="24"/>
          <w:szCs w:val="24"/>
          <w:lang w:val="en-IE"/>
        </w:rPr>
      </w:pPr>
      <w:r>
        <w:rPr>
          <w:sz w:val="24"/>
          <w:szCs w:val="24"/>
          <w:lang w:val="en-IE"/>
        </w:rPr>
        <w:t xml:space="preserve">(A1) </w:t>
      </w:r>
      <w:r w:rsidRPr="00CD31C4">
        <w:rPr>
          <w:sz w:val="24"/>
          <w:szCs w:val="24"/>
          <w:lang w:val="en-IE"/>
        </w:rPr>
        <w:t xml:space="preserve">This is under consideration in ETSI </w:t>
      </w:r>
      <w:hyperlink r:id="rId17" w:history="1">
        <w:r w:rsidRPr="00000624">
          <w:rPr>
            <w:rStyle w:val="Hyperlink"/>
            <w:sz w:val="24"/>
            <w:szCs w:val="24"/>
            <w:lang w:val="en-IE"/>
          </w:rPr>
          <w:t>STF 411</w:t>
        </w:r>
      </w:hyperlink>
      <w:r w:rsidRPr="00CD31C4">
        <w:rPr>
          <w:sz w:val="24"/>
          <w:szCs w:val="24"/>
          <w:lang w:val="en-IE"/>
        </w:rPr>
        <w:t xml:space="preserve"> which will result in </w:t>
      </w:r>
      <w:hyperlink r:id="rId18" w:history="1">
        <w:r w:rsidRPr="00533343">
          <w:rPr>
            <w:rStyle w:val="Hyperlink"/>
            <w:sz w:val="24"/>
            <w:szCs w:val="24"/>
            <w:lang w:val="en-IE"/>
          </w:rPr>
          <w:t>TS 103 060</w:t>
        </w:r>
      </w:hyperlink>
      <w:r w:rsidRPr="00CD31C4">
        <w:rPr>
          <w:sz w:val="24"/>
          <w:szCs w:val="24"/>
          <w:lang w:val="en-IE"/>
        </w:rPr>
        <w:t xml:space="preserve">.  </w:t>
      </w:r>
      <w:r>
        <w:rPr>
          <w:sz w:val="24"/>
          <w:szCs w:val="24"/>
          <w:lang w:val="en-IE"/>
        </w:rPr>
        <w:t>T</w:t>
      </w:r>
      <w:r w:rsidRPr="00CD31C4">
        <w:rPr>
          <w:sz w:val="24"/>
          <w:szCs w:val="24"/>
          <w:lang w:val="en-IE"/>
        </w:rPr>
        <w:t>he STF Leader prepare</w:t>
      </w:r>
      <w:r>
        <w:rPr>
          <w:sz w:val="24"/>
          <w:szCs w:val="24"/>
          <w:lang w:val="en-IE"/>
        </w:rPr>
        <w:t>d</w:t>
      </w:r>
      <w:r w:rsidRPr="00CD31C4">
        <w:rPr>
          <w:sz w:val="24"/>
          <w:szCs w:val="24"/>
          <w:lang w:val="en-IE"/>
        </w:rPr>
        <w:t xml:space="preserve"> a report for the TC ERM</w:t>
      </w:r>
      <w:r>
        <w:rPr>
          <w:sz w:val="24"/>
          <w:szCs w:val="24"/>
          <w:lang w:val="en-IE"/>
        </w:rPr>
        <w:t>#46</w:t>
      </w:r>
      <w:r w:rsidRPr="00CD31C4">
        <w:rPr>
          <w:sz w:val="24"/>
          <w:szCs w:val="24"/>
          <w:lang w:val="en-IE"/>
        </w:rPr>
        <w:t xml:space="preserve"> meeting</w:t>
      </w:r>
      <w:r>
        <w:rPr>
          <w:sz w:val="24"/>
          <w:szCs w:val="24"/>
          <w:lang w:val="en-IE"/>
        </w:rPr>
        <w:t xml:space="preserve">: </w:t>
      </w:r>
      <w:hyperlink r:id="rId19" w:history="1">
        <w:r w:rsidRPr="0058690A">
          <w:rPr>
            <w:rStyle w:val="Hyperlink"/>
            <w:sz w:val="24"/>
            <w:szCs w:val="24"/>
            <w:lang w:val="en-IE"/>
          </w:rPr>
          <w:t>ERM(12)46_072</w:t>
        </w:r>
      </w:hyperlink>
      <w:r w:rsidRPr="00CD31C4">
        <w:rPr>
          <w:sz w:val="24"/>
          <w:szCs w:val="24"/>
          <w:lang w:val="en-IE"/>
        </w:rPr>
        <w:t>.</w:t>
      </w:r>
    </w:p>
    <w:p w:rsidR="00D24579" w:rsidRDefault="00D24579" w:rsidP="00715119">
      <w:pPr>
        <w:spacing w:before="120"/>
        <w:jc w:val="both"/>
        <w:rPr>
          <w:sz w:val="24"/>
          <w:szCs w:val="24"/>
          <w:lang w:val="en-IE"/>
        </w:rPr>
      </w:pPr>
    </w:p>
    <w:p w:rsidR="00D24579" w:rsidRDefault="00D24579" w:rsidP="00715119">
      <w:pPr>
        <w:spacing w:before="120"/>
        <w:jc w:val="both"/>
        <w:rPr>
          <w:rFonts w:ascii="Arial" w:hAnsi="Arial" w:cs="Arial"/>
          <w:sz w:val="22"/>
          <w:szCs w:val="22"/>
          <w:lang w:val="en-IE"/>
        </w:rPr>
      </w:pPr>
      <w:r w:rsidRPr="008A2540">
        <w:rPr>
          <w:rFonts w:ascii="Arial" w:hAnsi="Arial" w:cs="Arial"/>
          <w:sz w:val="22"/>
          <w:szCs w:val="22"/>
          <w:lang w:val="en-IE"/>
        </w:rPr>
        <w:t>2)</w:t>
      </w:r>
      <w:r w:rsidRPr="008A2540">
        <w:rPr>
          <w:rFonts w:ascii="Arial" w:hAnsi="Arial" w:cs="Arial"/>
          <w:sz w:val="22"/>
          <w:szCs w:val="22"/>
          <w:lang w:val="en-IE"/>
        </w:rPr>
        <w:tab/>
      </w:r>
      <w:r>
        <w:rPr>
          <w:rFonts w:ascii="Arial" w:hAnsi="Arial" w:cs="Arial"/>
          <w:sz w:val="22"/>
          <w:szCs w:val="22"/>
          <w:lang w:val="en-IE"/>
        </w:rPr>
        <w:t>"</w:t>
      </w:r>
      <w:r w:rsidRPr="008A2540">
        <w:rPr>
          <w:rFonts w:ascii="Arial" w:hAnsi="Arial" w:cs="Arial"/>
          <w:sz w:val="22"/>
          <w:szCs w:val="22"/>
          <w:lang w:val="en-IE"/>
        </w:rPr>
        <w:t>Check the consistency between the non-specific inductive limits with those for inductive railway applications and medical applications (coincides with entries 12b to 12e</w:t>
      </w:r>
      <w:r>
        <w:rPr>
          <w:rFonts w:ascii="Arial" w:hAnsi="Arial" w:cs="Arial"/>
          <w:sz w:val="22"/>
          <w:szCs w:val="22"/>
          <w:lang w:val="en-IE"/>
        </w:rPr>
        <w:t xml:space="preserve"> in ERC Recommendation 70-03</w:t>
      </w:r>
      <w:r w:rsidRPr="008A2540">
        <w:rPr>
          <w:rFonts w:ascii="Arial" w:hAnsi="Arial" w:cs="Arial"/>
          <w:sz w:val="22"/>
          <w:szCs w:val="22"/>
          <w:lang w:val="en-IE"/>
        </w:rPr>
        <w:t>)</w:t>
      </w:r>
      <w:r>
        <w:rPr>
          <w:rFonts w:ascii="Arial" w:hAnsi="Arial" w:cs="Arial"/>
          <w:sz w:val="22"/>
          <w:szCs w:val="22"/>
          <w:lang w:val="en-IE"/>
        </w:rPr>
        <w:t>"</w:t>
      </w:r>
      <w:r w:rsidRPr="008A2540">
        <w:rPr>
          <w:rFonts w:ascii="Arial" w:hAnsi="Arial" w:cs="Arial"/>
          <w:sz w:val="22"/>
          <w:szCs w:val="22"/>
          <w:lang w:val="en-IE"/>
        </w:rPr>
        <w:t>;</w:t>
      </w:r>
    </w:p>
    <w:p w:rsidR="00D24579" w:rsidRDefault="00D24579" w:rsidP="00E4752A">
      <w:pPr>
        <w:spacing w:before="120"/>
        <w:ind w:left="720"/>
        <w:jc w:val="both"/>
        <w:rPr>
          <w:sz w:val="24"/>
          <w:szCs w:val="24"/>
          <w:lang w:val="en-IE"/>
        </w:rPr>
      </w:pPr>
      <w:r>
        <w:rPr>
          <w:sz w:val="24"/>
          <w:szCs w:val="24"/>
          <w:lang w:val="en-IE"/>
        </w:rPr>
        <w:t xml:space="preserve">(A2) </w:t>
      </w:r>
      <w:r w:rsidRPr="00CD31C4">
        <w:rPr>
          <w:sz w:val="24"/>
          <w:szCs w:val="24"/>
          <w:lang w:val="en-IE"/>
        </w:rPr>
        <w:t xml:space="preserve">On </w:t>
      </w:r>
      <w:r>
        <w:rPr>
          <w:sz w:val="24"/>
          <w:szCs w:val="24"/>
          <w:lang w:val="en-IE"/>
        </w:rPr>
        <w:t xml:space="preserve">inductive limits for </w:t>
      </w:r>
      <w:r w:rsidRPr="00CD31C4">
        <w:rPr>
          <w:sz w:val="24"/>
          <w:szCs w:val="24"/>
          <w:lang w:val="en-IE"/>
        </w:rPr>
        <w:t>railway and other applications, please note t</w:t>
      </w:r>
      <w:r>
        <w:rPr>
          <w:sz w:val="24"/>
          <w:szCs w:val="24"/>
          <w:lang w:val="en-IE"/>
        </w:rPr>
        <w:t xml:space="preserve">he attached documents (addendum 1 to this document) </w:t>
      </w:r>
      <w:r w:rsidRPr="00CD31C4">
        <w:rPr>
          <w:sz w:val="24"/>
          <w:szCs w:val="24"/>
          <w:lang w:val="en-IE"/>
        </w:rPr>
        <w:t xml:space="preserve">which are trial arrangements collecting the information in the format of </w:t>
      </w:r>
      <w:r>
        <w:rPr>
          <w:sz w:val="24"/>
          <w:szCs w:val="24"/>
          <w:lang w:val="en-IE"/>
        </w:rPr>
        <w:t xml:space="preserve">ERC </w:t>
      </w:r>
      <w:r w:rsidRPr="00CD31C4">
        <w:rPr>
          <w:sz w:val="24"/>
          <w:szCs w:val="24"/>
          <w:lang w:val="en-IE"/>
        </w:rPr>
        <w:t>Rec</w:t>
      </w:r>
      <w:r>
        <w:rPr>
          <w:sz w:val="24"/>
          <w:szCs w:val="24"/>
          <w:lang w:val="en-IE"/>
        </w:rPr>
        <w:t>.</w:t>
      </w:r>
      <w:r w:rsidRPr="00CD31C4">
        <w:rPr>
          <w:sz w:val="24"/>
          <w:szCs w:val="24"/>
          <w:lang w:val="en-IE"/>
        </w:rPr>
        <w:t xml:space="preserve"> 70-03.</w:t>
      </w:r>
    </w:p>
    <w:p w:rsidR="00D24579" w:rsidRDefault="00D24579" w:rsidP="00E4752A">
      <w:pPr>
        <w:spacing w:before="120"/>
        <w:ind w:left="720"/>
        <w:jc w:val="both"/>
        <w:rPr>
          <w:sz w:val="24"/>
          <w:szCs w:val="24"/>
          <w:lang w:val="en-IE"/>
        </w:rPr>
      </w:pPr>
      <w:r>
        <w:rPr>
          <w:sz w:val="24"/>
          <w:szCs w:val="24"/>
          <w:lang w:val="en-IE"/>
        </w:rPr>
        <w:t>We note that inductive railway applications have specific conditions and ECC Report 98 is relevant here.</w:t>
      </w:r>
    </w:p>
    <w:p w:rsidR="00D24579" w:rsidRPr="00CD31C4" w:rsidRDefault="00D24579" w:rsidP="00E4752A">
      <w:pPr>
        <w:spacing w:before="120"/>
        <w:ind w:left="720"/>
        <w:jc w:val="both"/>
        <w:rPr>
          <w:sz w:val="24"/>
          <w:szCs w:val="24"/>
          <w:lang w:val="en-IE"/>
        </w:rPr>
      </w:pPr>
      <w:r w:rsidRPr="00CD31C4">
        <w:rPr>
          <w:sz w:val="24"/>
          <w:szCs w:val="24"/>
          <w:lang w:val="en-IE"/>
        </w:rPr>
        <w:t xml:space="preserve">On medical applications, we note the LS received from </w:t>
      </w:r>
      <w:r>
        <w:rPr>
          <w:sz w:val="24"/>
          <w:szCs w:val="24"/>
          <w:lang w:val="en-IE"/>
        </w:rPr>
        <w:t xml:space="preserve">ERM </w:t>
      </w:r>
      <w:r w:rsidRPr="00CD31C4">
        <w:rPr>
          <w:sz w:val="24"/>
          <w:szCs w:val="24"/>
          <w:lang w:val="en-IE"/>
        </w:rPr>
        <w:t>TG30, which we also atta</w:t>
      </w:r>
      <w:r>
        <w:rPr>
          <w:sz w:val="24"/>
          <w:szCs w:val="24"/>
          <w:lang w:val="en-IE"/>
        </w:rPr>
        <w:t>ch as being of relevance (addendum 2</w:t>
      </w:r>
      <w:r w:rsidRPr="000B3D7C">
        <w:rPr>
          <w:sz w:val="24"/>
          <w:szCs w:val="24"/>
          <w:lang w:val="en-IE"/>
        </w:rPr>
        <w:t xml:space="preserve"> to this document)</w:t>
      </w:r>
      <w:r w:rsidRPr="00CD31C4">
        <w:rPr>
          <w:sz w:val="24"/>
          <w:szCs w:val="24"/>
          <w:lang w:val="en-IE"/>
        </w:rPr>
        <w:t>.</w:t>
      </w:r>
    </w:p>
    <w:p w:rsidR="00D24579" w:rsidRPr="00CD31C4" w:rsidRDefault="00D24579" w:rsidP="00E4752A">
      <w:pPr>
        <w:spacing w:before="120"/>
        <w:ind w:left="720"/>
        <w:jc w:val="both"/>
        <w:rPr>
          <w:sz w:val="24"/>
          <w:szCs w:val="24"/>
          <w:lang w:val="en-IE"/>
        </w:rPr>
      </w:pPr>
      <w:r>
        <w:rPr>
          <w:sz w:val="24"/>
          <w:szCs w:val="24"/>
          <w:lang w:val="en-IE"/>
        </w:rPr>
        <w:t>In conclusion, it is important that the technical</w:t>
      </w:r>
      <w:bookmarkStart w:id="0" w:name="_GoBack"/>
      <w:bookmarkEnd w:id="0"/>
      <w:r>
        <w:rPr>
          <w:sz w:val="24"/>
          <w:szCs w:val="24"/>
          <w:lang w:val="en-IE"/>
        </w:rPr>
        <w:t xml:space="preserve"> parameters for inductive limits are retained in the EC Decision, since they are related to specific spectrum sharing conditions, i.e. protection of radiocommunication services. Therefore we believe there is no real value in introducing the related frequency designations under the umbrella of generic SRDs.</w:t>
      </w:r>
    </w:p>
    <w:p w:rsidR="00D24579" w:rsidRPr="00461405" w:rsidRDefault="00D24579" w:rsidP="00715119">
      <w:pPr>
        <w:spacing w:before="120"/>
        <w:jc w:val="both"/>
        <w:rPr>
          <w:lang w:val="en-IE"/>
        </w:rPr>
      </w:pPr>
    </w:p>
    <w:p w:rsidR="00D24579" w:rsidRPr="008A2540" w:rsidRDefault="00D24579" w:rsidP="00715119">
      <w:pPr>
        <w:spacing w:before="120"/>
        <w:jc w:val="both"/>
        <w:rPr>
          <w:rFonts w:ascii="Arial" w:hAnsi="Arial" w:cs="Arial"/>
          <w:sz w:val="22"/>
          <w:szCs w:val="22"/>
          <w:lang w:val="en-IE"/>
        </w:rPr>
      </w:pPr>
      <w:r w:rsidRPr="008A2540">
        <w:rPr>
          <w:rFonts w:ascii="Arial" w:hAnsi="Arial" w:cs="Arial"/>
          <w:sz w:val="22"/>
          <w:szCs w:val="22"/>
          <w:lang w:val="en-IE"/>
        </w:rPr>
        <w:t>3)</w:t>
      </w:r>
      <w:r w:rsidRPr="008A2540">
        <w:rPr>
          <w:rFonts w:ascii="Arial" w:hAnsi="Arial" w:cs="Arial"/>
          <w:sz w:val="22"/>
          <w:szCs w:val="22"/>
          <w:lang w:val="en-IE"/>
        </w:rPr>
        <w:tab/>
        <w:t>Discuss the 17.1-17.3 GHz entry (currently wideband data systems) for non-specific SRD usage;</w:t>
      </w:r>
    </w:p>
    <w:p w:rsidR="00D24579" w:rsidRDefault="00D24579" w:rsidP="00E4752A">
      <w:pPr>
        <w:spacing w:before="120"/>
        <w:ind w:left="720"/>
        <w:jc w:val="both"/>
        <w:rPr>
          <w:sz w:val="24"/>
          <w:szCs w:val="24"/>
          <w:lang w:val="en-IE"/>
        </w:rPr>
      </w:pPr>
      <w:r>
        <w:rPr>
          <w:sz w:val="24"/>
          <w:szCs w:val="24"/>
          <w:lang w:val="en-IE"/>
        </w:rPr>
        <w:t xml:space="preserve">(A3) To the knowledge of ERM TG28 there is little industry interest in generic use of this band, since it is not harmonised outside </w:t>
      </w:r>
      <w:smartTag w:uri="urn:schemas-microsoft-com:office:smarttags" w:element="place">
        <w:r>
          <w:rPr>
            <w:sz w:val="24"/>
            <w:szCs w:val="24"/>
            <w:lang w:val="en-IE"/>
          </w:rPr>
          <w:t>Europe</w:t>
        </w:r>
      </w:smartTag>
      <w:r>
        <w:rPr>
          <w:sz w:val="24"/>
          <w:szCs w:val="24"/>
          <w:lang w:val="en-IE"/>
        </w:rPr>
        <w:t>. We also note the frequency band is outlined for wideband data transmission (formerly Hiperlan); however, we are not aware of such use. Other groups in ETSI (e.g. ERM TG11, TC BRAN) may have more information in this regard.</w:t>
      </w:r>
    </w:p>
    <w:p w:rsidR="00D24579" w:rsidRPr="00CD31C4" w:rsidRDefault="00D24579" w:rsidP="00E4752A">
      <w:pPr>
        <w:spacing w:before="120"/>
        <w:ind w:left="720"/>
        <w:jc w:val="both"/>
        <w:rPr>
          <w:sz w:val="24"/>
          <w:szCs w:val="24"/>
          <w:lang w:val="en-IE"/>
        </w:rPr>
      </w:pPr>
      <w:r>
        <w:rPr>
          <w:sz w:val="24"/>
          <w:szCs w:val="24"/>
          <w:lang w:val="en-IE"/>
        </w:rPr>
        <w:t>To our understanding, there is today GBSAR use, for which specific technical conditions have been established in order to share the spectrum with sensitive radiocommunication services, i.e., EESS, Fixed Links and military radar (see ECC Report 111) on a careful opportunistic basis.</w:t>
      </w:r>
    </w:p>
    <w:p w:rsidR="00D24579" w:rsidRDefault="00D24579" w:rsidP="00E4752A">
      <w:pPr>
        <w:spacing w:before="120"/>
        <w:ind w:left="720"/>
        <w:jc w:val="both"/>
        <w:rPr>
          <w:sz w:val="24"/>
          <w:szCs w:val="24"/>
          <w:lang w:val="en-IE"/>
        </w:rPr>
      </w:pPr>
      <w:r>
        <w:rPr>
          <w:sz w:val="24"/>
          <w:szCs w:val="24"/>
          <w:lang w:val="en-IE"/>
        </w:rPr>
        <w:t>Therefore we believe there is no real value in introducing this frequency designation under the umbrella of generic SRDs.</w:t>
      </w:r>
    </w:p>
    <w:p w:rsidR="00D24579" w:rsidRDefault="00D24579" w:rsidP="00715119">
      <w:pPr>
        <w:spacing w:before="120"/>
        <w:jc w:val="both"/>
        <w:rPr>
          <w:rFonts w:ascii="Arial" w:hAnsi="Arial" w:cs="Arial"/>
          <w:sz w:val="22"/>
          <w:szCs w:val="22"/>
          <w:lang w:val="en-IE"/>
        </w:rPr>
      </w:pPr>
    </w:p>
    <w:p w:rsidR="00D24579" w:rsidRPr="008A2540" w:rsidRDefault="00D24579" w:rsidP="00715119">
      <w:pPr>
        <w:spacing w:before="120"/>
        <w:jc w:val="both"/>
        <w:rPr>
          <w:rFonts w:ascii="Arial" w:hAnsi="Arial" w:cs="Arial"/>
          <w:sz w:val="22"/>
          <w:szCs w:val="22"/>
          <w:lang w:val="en-IE"/>
        </w:rPr>
      </w:pPr>
      <w:r>
        <w:rPr>
          <w:rFonts w:ascii="Arial" w:hAnsi="Arial" w:cs="Arial"/>
          <w:sz w:val="22"/>
          <w:szCs w:val="22"/>
          <w:lang w:val="en-IE"/>
        </w:rPr>
        <w:t>4</w:t>
      </w:r>
      <w:r w:rsidRPr="008A2540">
        <w:rPr>
          <w:rFonts w:ascii="Arial" w:hAnsi="Arial" w:cs="Arial"/>
          <w:sz w:val="22"/>
          <w:szCs w:val="22"/>
          <w:lang w:val="en-IE"/>
        </w:rPr>
        <w:t>)</w:t>
      </w:r>
      <w:r w:rsidRPr="008A2540">
        <w:rPr>
          <w:rFonts w:ascii="Arial" w:hAnsi="Arial" w:cs="Arial"/>
          <w:sz w:val="22"/>
          <w:szCs w:val="22"/>
          <w:lang w:val="en-IE"/>
        </w:rPr>
        <w:tab/>
        <w:t>Discuss a possible broadening of the scope of (some) model control frequencies to also include other wireless controls;</w:t>
      </w:r>
    </w:p>
    <w:p w:rsidR="00D24579" w:rsidRPr="00CD31C4" w:rsidRDefault="00D24579" w:rsidP="00E4752A">
      <w:pPr>
        <w:spacing w:before="120"/>
        <w:ind w:left="720"/>
        <w:jc w:val="both"/>
        <w:rPr>
          <w:sz w:val="24"/>
          <w:szCs w:val="24"/>
        </w:rPr>
      </w:pPr>
      <w:r>
        <w:rPr>
          <w:sz w:val="24"/>
          <w:szCs w:val="24"/>
        </w:rPr>
        <w:t xml:space="preserve">(A4) </w:t>
      </w:r>
      <w:r w:rsidRPr="00CD31C4">
        <w:rPr>
          <w:sz w:val="24"/>
          <w:szCs w:val="24"/>
        </w:rPr>
        <w:t xml:space="preserve">We have no extensive experience but we understand the general situation is this: 27 MHz is in use for sailing models, some of which are very old. Newer models are mainly on 2.4 GHz. Lots of flying models are still on </w:t>
      </w:r>
      <w:r>
        <w:rPr>
          <w:sz w:val="24"/>
          <w:szCs w:val="24"/>
        </w:rPr>
        <w:t>35/</w:t>
      </w:r>
      <w:r w:rsidRPr="00CD31C4">
        <w:rPr>
          <w:sz w:val="24"/>
          <w:szCs w:val="24"/>
        </w:rPr>
        <w:t xml:space="preserve">36 MHz; and </w:t>
      </w:r>
      <w:r>
        <w:rPr>
          <w:sz w:val="24"/>
          <w:szCs w:val="24"/>
        </w:rPr>
        <w:t>the users</w:t>
      </w:r>
      <w:r w:rsidRPr="00CD31C4">
        <w:rPr>
          <w:sz w:val="24"/>
          <w:szCs w:val="24"/>
        </w:rPr>
        <w:t xml:space="preserve"> are keen to retain this as a dedicated band. 40 MHz is used for power boats. For 35/36 MHz flying models, it would require talking to aviation authorities as they base their regulations on an understanding of the radio environment.</w:t>
      </w:r>
    </w:p>
    <w:p w:rsidR="00D24579" w:rsidRDefault="00D24579" w:rsidP="00E4752A">
      <w:pPr>
        <w:spacing w:before="120"/>
        <w:ind w:left="720"/>
        <w:jc w:val="both"/>
        <w:rPr>
          <w:sz w:val="24"/>
          <w:szCs w:val="24"/>
        </w:rPr>
      </w:pPr>
      <w:r w:rsidRPr="00CD31C4">
        <w:rPr>
          <w:sz w:val="24"/>
          <w:szCs w:val="24"/>
        </w:rPr>
        <w:t xml:space="preserve">We note that the model control channels in Annex 8a fall within the generic allocation in Annex 1, but model control </w:t>
      </w:r>
      <w:r>
        <w:rPr>
          <w:sz w:val="24"/>
          <w:szCs w:val="24"/>
        </w:rPr>
        <w:t xml:space="preserve">is </w:t>
      </w:r>
      <w:r w:rsidRPr="00CD31C4">
        <w:rPr>
          <w:sz w:val="24"/>
          <w:szCs w:val="24"/>
        </w:rPr>
        <w:t>allowed 100 mW, instead of 10 mW. (100 mW erp at these freq</w:t>
      </w:r>
      <w:r>
        <w:rPr>
          <w:sz w:val="24"/>
          <w:szCs w:val="24"/>
        </w:rPr>
        <w:t>uencie</w:t>
      </w:r>
      <w:r w:rsidRPr="00CD31C4">
        <w:rPr>
          <w:sz w:val="24"/>
          <w:szCs w:val="24"/>
        </w:rPr>
        <w:t xml:space="preserve">s is not </w:t>
      </w:r>
      <w:r>
        <w:rPr>
          <w:sz w:val="24"/>
          <w:szCs w:val="24"/>
        </w:rPr>
        <w:t xml:space="preserve">readily </w:t>
      </w:r>
      <w:r w:rsidRPr="00CD31C4">
        <w:rPr>
          <w:sz w:val="24"/>
          <w:szCs w:val="24"/>
        </w:rPr>
        <w:t xml:space="preserve">practical from portable devices.) Also that these frequencies are used by other, non SRD, applications. </w:t>
      </w:r>
    </w:p>
    <w:p w:rsidR="00D24579" w:rsidRPr="00CD31C4" w:rsidRDefault="00D24579" w:rsidP="00E4752A">
      <w:pPr>
        <w:spacing w:before="120"/>
        <w:ind w:left="720"/>
        <w:jc w:val="both"/>
        <w:rPr>
          <w:sz w:val="24"/>
          <w:szCs w:val="24"/>
          <w:lang w:val="en-IE"/>
        </w:rPr>
      </w:pPr>
      <w:r>
        <w:rPr>
          <w:sz w:val="24"/>
          <w:szCs w:val="24"/>
        </w:rPr>
        <w:t>With regard to</w:t>
      </w:r>
      <w:r w:rsidRPr="00CD31C4">
        <w:rPr>
          <w:sz w:val="24"/>
          <w:szCs w:val="24"/>
        </w:rPr>
        <w:t xml:space="preserve"> the proposal to extend to all types of telecommand and control equipment, we ask if there are watertight definitions of such applications. In fact, is there a watertight definition of “model control”</w:t>
      </w:r>
      <w:r>
        <w:rPr>
          <w:sz w:val="24"/>
          <w:szCs w:val="24"/>
        </w:rPr>
        <w:t>?</w:t>
      </w:r>
    </w:p>
    <w:p w:rsidR="00D24579" w:rsidRDefault="00D24579" w:rsidP="00E4752A">
      <w:pPr>
        <w:spacing w:before="120"/>
        <w:ind w:left="720"/>
        <w:jc w:val="both"/>
        <w:rPr>
          <w:sz w:val="24"/>
          <w:szCs w:val="24"/>
          <w:lang w:val="en-IE"/>
        </w:rPr>
      </w:pPr>
      <w:r>
        <w:rPr>
          <w:sz w:val="24"/>
          <w:szCs w:val="24"/>
          <w:lang w:val="en-IE"/>
        </w:rPr>
        <w:t>We suggest ECO might arrange</w:t>
      </w:r>
      <w:r w:rsidRPr="00CD31C4">
        <w:rPr>
          <w:sz w:val="24"/>
          <w:szCs w:val="24"/>
          <w:lang w:val="en-IE"/>
        </w:rPr>
        <w:t xml:space="preserve"> a questionnaire to </w:t>
      </w:r>
      <w:r>
        <w:rPr>
          <w:sz w:val="24"/>
          <w:szCs w:val="24"/>
          <w:lang w:val="en-IE"/>
        </w:rPr>
        <w:t xml:space="preserve">be sent to </w:t>
      </w:r>
      <w:r w:rsidRPr="00CD31C4">
        <w:rPr>
          <w:sz w:val="24"/>
          <w:szCs w:val="24"/>
          <w:lang w:val="en-IE"/>
        </w:rPr>
        <w:t>the model control industry and users</w:t>
      </w:r>
      <w:r>
        <w:rPr>
          <w:sz w:val="24"/>
          <w:szCs w:val="24"/>
          <w:lang w:val="en-IE"/>
        </w:rPr>
        <w:t xml:space="preserve"> via administrations.</w:t>
      </w:r>
    </w:p>
    <w:p w:rsidR="00D24579" w:rsidRPr="00F601BC" w:rsidRDefault="00D24579" w:rsidP="00715119">
      <w:pPr>
        <w:spacing w:before="120"/>
        <w:jc w:val="both"/>
        <w:rPr>
          <w:lang w:val="en-IE"/>
        </w:rPr>
      </w:pPr>
    </w:p>
    <w:p w:rsidR="00D24579" w:rsidRPr="00E4752A" w:rsidRDefault="00D24579" w:rsidP="00715119">
      <w:pPr>
        <w:spacing w:before="120"/>
        <w:jc w:val="both"/>
        <w:rPr>
          <w:rFonts w:ascii="Arial" w:hAnsi="Arial" w:cs="Arial"/>
          <w:sz w:val="22"/>
          <w:szCs w:val="22"/>
          <w:lang w:val="en-IE"/>
        </w:rPr>
      </w:pPr>
      <w:r>
        <w:rPr>
          <w:rFonts w:ascii="Arial" w:hAnsi="Arial" w:cs="Arial"/>
          <w:sz w:val="22"/>
          <w:szCs w:val="22"/>
          <w:lang w:val="en-IE"/>
        </w:rPr>
        <w:t>5</w:t>
      </w:r>
      <w:r w:rsidRPr="008A2540">
        <w:rPr>
          <w:rFonts w:ascii="Arial" w:hAnsi="Arial" w:cs="Arial"/>
          <w:sz w:val="22"/>
          <w:szCs w:val="22"/>
          <w:lang w:val="en-IE"/>
        </w:rPr>
        <w:t>)</w:t>
      </w:r>
      <w:r w:rsidRPr="008A2540">
        <w:rPr>
          <w:rFonts w:ascii="Arial" w:hAnsi="Arial" w:cs="Arial"/>
          <w:sz w:val="22"/>
          <w:szCs w:val="22"/>
          <w:lang w:val="en-IE"/>
        </w:rPr>
        <w:tab/>
        <w:t>Discuss the entry for 169 MHz social alarms, also seen under the scope of the 5th update (in addition to the 169 MHz mandate) and noting that an ETSI S</w:t>
      </w:r>
      <w:r>
        <w:rPr>
          <w:rFonts w:ascii="Arial" w:hAnsi="Arial" w:cs="Arial"/>
          <w:sz w:val="22"/>
          <w:szCs w:val="22"/>
          <w:lang w:val="en-IE"/>
        </w:rPr>
        <w:t xml:space="preserve">ystem Reference Document for alarms/social alarms is </w:t>
      </w:r>
      <w:r w:rsidRPr="008A2540">
        <w:rPr>
          <w:rFonts w:ascii="Arial" w:hAnsi="Arial" w:cs="Arial"/>
          <w:sz w:val="22"/>
          <w:szCs w:val="22"/>
          <w:lang w:val="en-IE"/>
        </w:rPr>
        <w:t>under preparation.</w:t>
      </w:r>
    </w:p>
    <w:p w:rsidR="00D24579" w:rsidRPr="001951BC" w:rsidRDefault="00D24579" w:rsidP="00E4752A">
      <w:pPr>
        <w:spacing w:before="120"/>
        <w:ind w:left="720"/>
        <w:jc w:val="both"/>
        <w:rPr>
          <w:sz w:val="24"/>
          <w:szCs w:val="24"/>
        </w:rPr>
      </w:pPr>
      <w:r>
        <w:rPr>
          <w:sz w:val="24"/>
          <w:szCs w:val="24"/>
        </w:rPr>
        <w:t xml:space="preserve">(A5) </w:t>
      </w:r>
      <w:r w:rsidRPr="00CD31C4">
        <w:rPr>
          <w:sz w:val="24"/>
          <w:szCs w:val="24"/>
        </w:rPr>
        <w:t xml:space="preserve">The </w:t>
      </w:r>
      <w:r>
        <w:rPr>
          <w:sz w:val="24"/>
          <w:szCs w:val="24"/>
        </w:rPr>
        <w:t>“</w:t>
      </w:r>
      <w:r w:rsidRPr="00CD31C4">
        <w:rPr>
          <w:sz w:val="24"/>
          <w:szCs w:val="24"/>
        </w:rPr>
        <w:t>Alarms</w:t>
      </w:r>
      <w:r>
        <w:rPr>
          <w:sz w:val="24"/>
          <w:szCs w:val="24"/>
        </w:rPr>
        <w:t xml:space="preserve">” ETSI </w:t>
      </w:r>
      <w:r w:rsidRPr="00CD31C4">
        <w:rPr>
          <w:sz w:val="24"/>
          <w:szCs w:val="24"/>
        </w:rPr>
        <w:t>S</w:t>
      </w:r>
      <w:r>
        <w:rPr>
          <w:sz w:val="24"/>
          <w:szCs w:val="24"/>
        </w:rPr>
        <w:t xml:space="preserve">ystem </w:t>
      </w:r>
      <w:r w:rsidRPr="00CD31C4">
        <w:rPr>
          <w:sz w:val="24"/>
          <w:szCs w:val="24"/>
        </w:rPr>
        <w:t>R</w:t>
      </w:r>
      <w:r>
        <w:rPr>
          <w:sz w:val="24"/>
          <w:szCs w:val="24"/>
        </w:rPr>
        <w:t xml:space="preserve">eference </w:t>
      </w:r>
      <w:r w:rsidRPr="00CD31C4">
        <w:rPr>
          <w:sz w:val="24"/>
          <w:szCs w:val="24"/>
        </w:rPr>
        <w:t>Doc</w:t>
      </w:r>
      <w:r>
        <w:rPr>
          <w:sz w:val="24"/>
          <w:szCs w:val="24"/>
        </w:rPr>
        <w:t>ument</w:t>
      </w:r>
      <w:r w:rsidRPr="00CD31C4">
        <w:rPr>
          <w:sz w:val="24"/>
          <w:szCs w:val="24"/>
        </w:rPr>
        <w:t xml:space="preserve"> </w:t>
      </w:r>
      <w:hyperlink r:id="rId20" w:history="1">
        <w:r w:rsidRPr="00253D28">
          <w:rPr>
            <w:rStyle w:val="Hyperlink"/>
            <w:sz w:val="24"/>
            <w:szCs w:val="24"/>
          </w:rPr>
          <w:t>TR 103 056</w:t>
        </w:r>
      </w:hyperlink>
      <w:r w:rsidRPr="00CD31C4">
        <w:rPr>
          <w:sz w:val="24"/>
          <w:szCs w:val="24"/>
        </w:rPr>
        <w:t xml:space="preserve"> is now available. It does not actually promote 169 MHz for alarms; it just mentions it in Annex E. This band is seen as difficult for social alarms because of antenna size issues; although we understand some companies are considering it because of </w:t>
      </w:r>
      <w:r>
        <w:rPr>
          <w:sz w:val="24"/>
          <w:szCs w:val="24"/>
        </w:rPr>
        <w:t xml:space="preserve">possible interference from </w:t>
      </w:r>
      <w:r w:rsidRPr="00CD31C4">
        <w:rPr>
          <w:sz w:val="24"/>
          <w:szCs w:val="24"/>
        </w:rPr>
        <w:t>800 MHz LTE</w:t>
      </w:r>
      <w:r>
        <w:rPr>
          <w:sz w:val="24"/>
          <w:szCs w:val="24"/>
        </w:rPr>
        <w:t xml:space="preserve"> in the SRDs UHF 863-870 MHz band</w:t>
      </w:r>
      <w:r w:rsidRPr="00CD31C4">
        <w:rPr>
          <w:sz w:val="24"/>
          <w:szCs w:val="24"/>
        </w:rPr>
        <w:t>.</w:t>
      </w:r>
    </w:p>
    <w:p w:rsidR="00D24579" w:rsidRDefault="00D24579" w:rsidP="007833A7">
      <w:pPr>
        <w:rPr>
          <w:rFonts w:ascii="Arial" w:hAnsi="Arial" w:cs="Arial"/>
        </w:rPr>
      </w:pPr>
    </w:p>
    <w:sectPr w:rsidR="00D24579" w:rsidSect="00B703A5">
      <w:headerReference w:type="default" r:id="rId21"/>
      <w:footerReference w:type="default" r:id="rId22"/>
      <w:pgSz w:w="11906" w:h="16838"/>
      <w:pgMar w:top="1247" w:right="1134" w:bottom="1440"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4579" w:rsidRDefault="00D24579" w:rsidP="00D9435B">
      <w:r>
        <w:separator/>
      </w:r>
    </w:p>
  </w:endnote>
  <w:endnote w:type="continuationSeparator" w:id="1">
    <w:p w:rsidR="00D24579" w:rsidRDefault="00D24579" w:rsidP="00D943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579" w:rsidRPr="0083399D" w:rsidRDefault="00D24579" w:rsidP="0083399D">
    <w:pPr>
      <w:tabs>
        <w:tab w:val="center" w:pos="4536"/>
      </w:tabs>
      <w:rPr>
        <w:rFonts w:ascii="Arial" w:hAnsi="Arial" w:cs="Arial"/>
      </w:rPr>
    </w:pPr>
    <w:r>
      <w:tab/>
    </w:r>
    <w:r w:rsidRPr="0083399D">
      <w:rPr>
        <w:rFonts w:ascii="Arial" w:hAnsi="Arial" w:cs="Arial"/>
      </w:rPr>
      <w:fldChar w:fldCharType="begin"/>
    </w:r>
    <w:r w:rsidRPr="0083399D">
      <w:rPr>
        <w:rFonts w:ascii="Arial" w:hAnsi="Arial" w:cs="Arial"/>
      </w:rPr>
      <w:instrText xml:space="preserve"> PAGE   \* MERGEFORMAT </w:instrText>
    </w:r>
    <w:r w:rsidRPr="0083399D">
      <w:rPr>
        <w:rFonts w:ascii="Arial" w:hAnsi="Arial" w:cs="Arial"/>
      </w:rPr>
      <w:fldChar w:fldCharType="separate"/>
    </w:r>
    <w:r>
      <w:rPr>
        <w:rFonts w:ascii="Arial" w:hAnsi="Arial" w:cs="Arial"/>
        <w:noProof/>
      </w:rPr>
      <w:t>1</w:t>
    </w:r>
    <w:r w:rsidRPr="0083399D">
      <w:rPr>
        <w:rFonts w:ascii="Arial" w:hAnsi="Arial" w:cs="Arial"/>
      </w:rPr>
      <w:fldChar w:fldCharType="end"/>
    </w:r>
    <w:r w:rsidRPr="0083399D">
      <w:rPr>
        <w:rFonts w:ascii="Arial" w:hAnsi="Arial" w:cs="Arial"/>
      </w:rPr>
      <w:t>/</w:t>
    </w:r>
    <w:fldSimple w:instr=" NUMPAGES   \* MERGEFORMAT ">
      <w:r w:rsidRPr="00EE44E9">
        <w:rPr>
          <w:rFonts w:ascii="Arial" w:hAnsi="Arial" w:cs="Arial"/>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4579" w:rsidRDefault="00D24579" w:rsidP="00D9435B">
      <w:r>
        <w:separator/>
      </w:r>
    </w:p>
  </w:footnote>
  <w:footnote w:type="continuationSeparator" w:id="1">
    <w:p w:rsidR="00D24579" w:rsidRDefault="00D24579"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579" w:rsidRPr="00D9435B" w:rsidRDefault="00D24579" w:rsidP="002A02B5">
    <w:pPr>
      <w:tabs>
        <w:tab w:val="right" w:pos="9356"/>
      </w:tabs>
      <w:spacing w:after="120"/>
      <w:ind w:left="-567"/>
      <w:jc w:val="right"/>
      <w:rPr>
        <w:rFonts w:ascii="Arial" w:hAnsi="Arial" w:cs="Arial"/>
        <w:i/>
        <w:color w:val="0000FF"/>
        <w:szCs w:val="36"/>
      </w:rP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2049" type="#_x0000_t75" style="position:absolute;left:0;text-align:left;margin-left:42.55pt;margin-top:21.25pt;width:113.4pt;height:34.85pt;z-index:-251656192;visibility:visible;mso-position-horizontal-relative:page;mso-position-vertical-relative:page" wrapcoords="0 0 0 20453 21438 20453 21438 0 0 0">
          <v:imagedata r:id="rId1" o:title=""/>
          <w10:wrap type="tight" anchorx="page" anchory="page"/>
        </v:shape>
      </w:pict>
    </w:r>
    <w:r>
      <w:rPr>
        <w:rFonts w:ascii="Arial" w:hAnsi="Arial" w:cs="Arial"/>
        <w:b/>
        <w:sz w:val="36"/>
        <w:szCs w:val="36"/>
        <w:shd w:val="clear" w:color="auto" w:fill="DBE5F1"/>
      </w:rPr>
      <w:t>ERM(12)46_106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rPr>
        <w:rFonts w:cs="Times New Roman"/>
      </w:rPr>
    </w:lvl>
    <w:lvl w:ilvl="1" w:tplc="08090019" w:tentative="1">
      <w:start w:val="1"/>
      <w:numFmt w:val="lowerLetter"/>
      <w:lvlText w:val="%2."/>
      <w:lvlJc w:val="left"/>
      <w:pPr>
        <w:ind w:left="2870" w:hanging="360"/>
      </w:pPr>
      <w:rPr>
        <w:rFonts w:cs="Times New Roman"/>
      </w:rPr>
    </w:lvl>
    <w:lvl w:ilvl="2" w:tplc="0809001B" w:tentative="1">
      <w:start w:val="1"/>
      <w:numFmt w:val="lowerRoman"/>
      <w:lvlText w:val="%3."/>
      <w:lvlJc w:val="right"/>
      <w:pPr>
        <w:ind w:left="3590" w:hanging="180"/>
      </w:pPr>
      <w:rPr>
        <w:rFonts w:cs="Times New Roman"/>
      </w:rPr>
    </w:lvl>
    <w:lvl w:ilvl="3" w:tplc="0809000F" w:tentative="1">
      <w:start w:val="1"/>
      <w:numFmt w:val="decimal"/>
      <w:lvlText w:val="%4."/>
      <w:lvlJc w:val="left"/>
      <w:pPr>
        <w:ind w:left="4310" w:hanging="360"/>
      </w:pPr>
      <w:rPr>
        <w:rFonts w:cs="Times New Roman"/>
      </w:rPr>
    </w:lvl>
    <w:lvl w:ilvl="4" w:tplc="08090019" w:tentative="1">
      <w:start w:val="1"/>
      <w:numFmt w:val="lowerLetter"/>
      <w:lvlText w:val="%5."/>
      <w:lvlJc w:val="left"/>
      <w:pPr>
        <w:ind w:left="5030" w:hanging="360"/>
      </w:pPr>
      <w:rPr>
        <w:rFonts w:cs="Times New Roman"/>
      </w:rPr>
    </w:lvl>
    <w:lvl w:ilvl="5" w:tplc="0809001B" w:tentative="1">
      <w:start w:val="1"/>
      <w:numFmt w:val="lowerRoman"/>
      <w:lvlText w:val="%6."/>
      <w:lvlJc w:val="right"/>
      <w:pPr>
        <w:ind w:left="5750" w:hanging="180"/>
      </w:pPr>
      <w:rPr>
        <w:rFonts w:cs="Times New Roman"/>
      </w:rPr>
    </w:lvl>
    <w:lvl w:ilvl="6" w:tplc="0809000F" w:tentative="1">
      <w:start w:val="1"/>
      <w:numFmt w:val="decimal"/>
      <w:lvlText w:val="%7."/>
      <w:lvlJc w:val="left"/>
      <w:pPr>
        <w:ind w:left="6470" w:hanging="360"/>
      </w:pPr>
      <w:rPr>
        <w:rFonts w:cs="Times New Roman"/>
      </w:rPr>
    </w:lvl>
    <w:lvl w:ilvl="7" w:tplc="08090019" w:tentative="1">
      <w:start w:val="1"/>
      <w:numFmt w:val="lowerLetter"/>
      <w:lvlText w:val="%8."/>
      <w:lvlJc w:val="left"/>
      <w:pPr>
        <w:ind w:left="7190" w:hanging="360"/>
      </w:pPr>
      <w:rPr>
        <w:rFonts w:cs="Times New Roman"/>
      </w:rPr>
    </w:lvl>
    <w:lvl w:ilvl="8" w:tplc="0809001B" w:tentative="1">
      <w:start w:val="1"/>
      <w:numFmt w:val="lowerRoman"/>
      <w:lvlText w:val="%9."/>
      <w:lvlJc w:val="right"/>
      <w:pPr>
        <w:ind w:left="7910" w:hanging="180"/>
      </w:pPr>
      <w:rPr>
        <w:rFonts w:cs="Times New Roman"/>
      </w:rPr>
    </w:lvl>
  </w:abstractNum>
  <w:abstractNum w:abstractNumId="9">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793C0A"/>
    <w:multiLevelType w:val="hybridMultilevel"/>
    <w:tmpl w:val="650274CE"/>
    <w:lvl w:ilvl="0" w:tplc="0809000F">
      <w:start w:val="1"/>
      <w:numFmt w:val="decimal"/>
      <w:lvlText w:val="%1."/>
      <w:lvlJc w:val="left"/>
      <w:pPr>
        <w:ind w:left="1182" w:hanging="360"/>
      </w:pPr>
      <w:rPr>
        <w:rFonts w:cs="Times New Roman" w:hint="default"/>
      </w:rPr>
    </w:lvl>
    <w:lvl w:ilvl="1" w:tplc="0809000F">
      <w:start w:val="1"/>
      <w:numFmt w:val="decimal"/>
      <w:lvlText w:val="%2."/>
      <w:lvlJc w:val="left"/>
      <w:pPr>
        <w:ind w:left="1902" w:hanging="360"/>
      </w:pPr>
      <w:rPr>
        <w:rFonts w:cs="Times New Roman"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nsid w:val="22862FB9"/>
    <w:multiLevelType w:val="hybridMultilevel"/>
    <w:tmpl w:val="2BF6F51C"/>
    <w:lvl w:ilvl="0" w:tplc="0809000F">
      <w:start w:val="1"/>
      <w:numFmt w:val="decimal"/>
      <w:lvlText w:val="%1."/>
      <w:lvlJc w:val="left"/>
      <w:pPr>
        <w:ind w:left="1182" w:hanging="360"/>
      </w:pPr>
      <w:rPr>
        <w:rFonts w:cs="Times New Roman"/>
      </w:rPr>
    </w:lvl>
    <w:lvl w:ilvl="1" w:tplc="08090019" w:tentative="1">
      <w:start w:val="1"/>
      <w:numFmt w:val="lowerLetter"/>
      <w:lvlText w:val="%2."/>
      <w:lvlJc w:val="left"/>
      <w:pPr>
        <w:ind w:left="1902" w:hanging="360"/>
      </w:pPr>
      <w:rPr>
        <w:rFonts w:cs="Times New Roman"/>
      </w:rPr>
    </w:lvl>
    <w:lvl w:ilvl="2" w:tplc="0809001B" w:tentative="1">
      <w:start w:val="1"/>
      <w:numFmt w:val="lowerRoman"/>
      <w:lvlText w:val="%3."/>
      <w:lvlJc w:val="right"/>
      <w:pPr>
        <w:ind w:left="2622" w:hanging="180"/>
      </w:pPr>
      <w:rPr>
        <w:rFonts w:cs="Times New Roman"/>
      </w:rPr>
    </w:lvl>
    <w:lvl w:ilvl="3" w:tplc="0809000F" w:tentative="1">
      <w:start w:val="1"/>
      <w:numFmt w:val="decimal"/>
      <w:lvlText w:val="%4."/>
      <w:lvlJc w:val="left"/>
      <w:pPr>
        <w:ind w:left="3342" w:hanging="360"/>
      </w:pPr>
      <w:rPr>
        <w:rFonts w:cs="Times New Roman"/>
      </w:rPr>
    </w:lvl>
    <w:lvl w:ilvl="4" w:tplc="08090019" w:tentative="1">
      <w:start w:val="1"/>
      <w:numFmt w:val="lowerLetter"/>
      <w:lvlText w:val="%5."/>
      <w:lvlJc w:val="left"/>
      <w:pPr>
        <w:ind w:left="4062" w:hanging="360"/>
      </w:pPr>
      <w:rPr>
        <w:rFonts w:cs="Times New Roman"/>
      </w:rPr>
    </w:lvl>
    <w:lvl w:ilvl="5" w:tplc="0809001B" w:tentative="1">
      <w:start w:val="1"/>
      <w:numFmt w:val="lowerRoman"/>
      <w:lvlText w:val="%6."/>
      <w:lvlJc w:val="right"/>
      <w:pPr>
        <w:ind w:left="4782" w:hanging="180"/>
      </w:pPr>
      <w:rPr>
        <w:rFonts w:cs="Times New Roman"/>
      </w:rPr>
    </w:lvl>
    <w:lvl w:ilvl="6" w:tplc="0809000F" w:tentative="1">
      <w:start w:val="1"/>
      <w:numFmt w:val="decimal"/>
      <w:lvlText w:val="%7."/>
      <w:lvlJc w:val="left"/>
      <w:pPr>
        <w:ind w:left="5502" w:hanging="360"/>
      </w:pPr>
      <w:rPr>
        <w:rFonts w:cs="Times New Roman"/>
      </w:rPr>
    </w:lvl>
    <w:lvl w:ilvl="7" w:tplc="08090019" w:tentative="1">
      <w:start w:val="1"/>
      <w:numFmt w:val="lowerLetter"/>
      <w:lvlText w:val="%8."/>
      <w:lvlJc w:val="left"/>
      <w:pPr>
        <w:ind w:left="6222" w:hanging="360"/>
      </w:pPr>
      <w:rPr>
        <w:rFonts w:cs="Times New Roman"/>
      </w:rPr>
    </w:lvl>
    <w:lvl w:ilvl="8" w:tplc="0809001B" w:tentative="1">
      <w:start w:val="1"/>
      <w:numFmt w:val="lowerRoman"/>
      <w:lvlText w:val="%9."/>
      <w:lvlJc w:val="right"/>
      <w:pPr>
        <w:ind w:left="6942" w:hanging="180"/>
      </w:pPr>
      <w:rPr>
        <w:rFonts w:cs="Times New Roman"/>
      </w:rPr>
    </w:lvl>
  </w:abstractNum>
  <w:abstractNum w:abstractNumId="12">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66883822"/>
    <w:multiLevelType w:val="hybridMultilevel"/>
    <w:tmpl w:val="960CCDEE"/>
    <w:lvl w:ilvl="0" w:tplc="8788D2E2">
      <w:start w:val="1"/>
      <w:numFmt w:val="bullet"/>
      <w:lvlText w:val=""/>
      <w:lvlJc w:val="left"/>
      <w:pPr>
        <w:tabs>
          <w:tab w:val="num" w:pos="644"/>
        </w:tabs>
        <w:ind w:left="568" w:hanging="284"/>
      </w:pPr>
      <w:rPr>
        <w:rFonts w:ascii="Symbol" w:hAnsi="Symbol" w:hint="default"/>
        <w:color w:val="auto"/>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rPr>
        <w:rFonts w:cs="Times New Roman"/>
      </w:rPr>
    </w:lvl>
    <w:lvl w:ilvl="2" w:tplc="0809001B" w:tentative="1">
      <w:start w:val="1"/>
      <w:numFmt w:val="lowerRoman"/>
      <w:lvlText w:val="%3."/>
      <w:lvlJc w:val="right"/>
      <w:pPr>
        <w:ind w:left="2510" w:hanging="180"/>
      </w:pPr>
      <w:rPr>
        <w:rFonts w:cs="Times New Roman"/>
      </w:rPr>
    </w:lvl>
    <w:lvl w:ilvl="3" w:tplc="0809000F" w:tentative="1">
      <w:start w:val="1"/>
      <w:numFmt w:val="decimal"/>
      <w:lvlText w:val="%4."/>
      <w:lvlJc w:val="left"/>
      <w:pPr>
        <w:ind w:left="3230" w:hanging="360"/>
      </w:pPr>
      <w:rPr>
        <w:rFonts w:cs="Times New Roman"/>
      </w:rPr>
    </w:lvl>
    <w:lvl w:ilvl="4" w:tplc="08090019" w:tentative="1">
      <w:start w:val="1"/>
      <w:numFmt w:val="lowerLetter"/>
      <w:lvlText w:val="%5."/>
      <w:lvlJc w:val="left"/>
      <w:pPr>
        <w:ind w:left="3950" w:hanging="360"/>
      </w:pPr>
      <w:rPr>
        <w:rFonts w:cs="Times New Roman"/>
      </w:rPr>
    </w:lvl>
    <w:lvl w:ilvl="5" w:tplc="0809001B" w:tentative="1">
      <w:start w:val="1"/>
      <w:numFmt w:val="lowerRoman"/>
      <w:lvlText w:val="%6."/>
      <w:lvlJc w:val="right"/>
      <w:pPr>
        <w:ind w:left="4670" w:hanging="180"/>
      </w:pPr>
      <w:rPr>
        <w:rFonts w:cs="Times New Roman"/>
      </w:rPr>
    </w:lvl>
    <w:lvl w:ilvl="6" w:tplc="0809000F" w:tentative="1">
      <w:start w:val="1"/>
      <w:numFmt w:val="decimal"/>
      <w:lvlText w:val="%7."/>
      <w:lvlJc w:val="left"/>
      <w:pPr>
        <w:ind w:left="5390" w:hanging="360"/>
      </w:pPr>
      <w:rPr>
        <w:rFonts w:cs="Times New Roman"/>
      </w:rPr>
    </w:lvl>
    <w:lvl w:ilvl="7" w:tplc="08090019" w:tentative="1">
      <w:start w:val="1"/>
      <w:numFmt w:val="lowerLetter"/>
      <w:lvlText w:val="%8."/>
      <w:lvlJc w:val="left"/>
      <w:pPr>
        <w:ind w:left="6110" w:hanging="360"/>
      </w:pPr>
      <w:rPr>
        <w:rFonts w:cs="Times New Roman"/>
      </w:rPr>
    </w:lvl>
    <w:lvl w:ilvl="8" w:tplc="0809001B" w:tentative="1">
      <w:start w:val="1"/>
      <w:numFmt w:val="lowerRoman"/>
      <w:lvlText w:val="%9."/>
      <w:lvlJc w:val="right"/>
      <w:pPr>
        <w:ind w:left="6830" w:hanging="180"/>
      </w:pPr>
      <w:rPr>
        <w:rFonts w:cs="Times New Roman"/>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13"/>
  </w:num>
  <w:num w:numId="16">
    <w:abstractNumId w:val="21"/>
  </w:num>
  <w:num w:numId="17">
    <w:abstractNumId w:val="7"/>
  </w:num>
  <w:num w:numId="18">
    <w:abstractNumId w:val="18"/>
  </w:num>
  <w:num w:numId="19">
    <w:abstractNumId w:val="15"/>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20"/>
  </w:num>
  <w:num w:numId="28">
    <w:abstractNumId w:val="8"/>
  </w:num>
  <w:num w:numId="29">
    <w:abstractNumId w:val="11"/>
  </w:num>
  <w:num w:numId="30">
    <w:abstractNumId w:val="17"/>
  </w:num>
  <w:num w:numId="31">
    <w:abstractNumId w:val="10"/>
  </w:num>
  <w:num w:numId="32">
    <w:abstractNumId w:val="14"/>
  </w:num>
  <w:num w:numId="33">
    <w:abstractNumId w:val="12"/>
  </w:num>
  <w:num w:numId="34">
    <w:abstractNumId w:val="16"/>
  </w:num>
  <w:num w:numId="35">
    <w:abstractNumId w:val="9"/>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39">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hdrShapeDefaults>
    <o:shapedefaults v:ext="edit" spidmax="2050"/>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9435B"/>
    <w:rsid w:val="00000624"/>
    <w:rsid w:val="0000428F"/>
    <w:rsid w:val="000153E5"/>
    <w:rsid w:val="0002568A"/>
    <w:rsid w:val="000B3D7C"/>
    <w:rsid w:val="000C4CB6"/>
    <w:rsid w:val="000D1B9E"/>
    <w:rsid w:val="00115454"/>
    <w:rsid w:val="00123CC4"/>
    <w:rsid w:val="0012662F"/>
    <w:rsid w:val="001268AB"/>
    <w:rsid w:val="00147514"/>
    <w:rsid w:val="00156C98"/>
    <w:rsid w:val="00181471"/>
    <w:rsid w:val="00191D22"/>
    <w:rsid w:val="001951BC"/>
    <w:rsid w:val="001A0FCB"/>
    <w:rsid w:val="001C30D5"/>
    <w:rsid w:val="001D35C0"/>
    <w:rsid w:val="00207B4A"/>
    <w:rsid w:val="00216D13"/>
    <w:rsid w:val="00253D28"/>
    <w:rsid w:val="002676F5"/>
    <w:rsid w:val="00297B33"/>
    <w:rsid w:val="002A02B5"/>
    <w:rsid w:val="002A36EA"/>
    <w:rsid w:val="002D4F7E"/>
    <w:rsid w:val="002E5375"/>
    <w:rsid w:val="002F5958"/>
    <w:rsid w:val="003050B4"/>
    <w:rsid w:val="003158F5"/>
    <w:rsid w:val="00321AE5"/>
    <w:rsid w:val="00334B96"/>
    <w:rsid w:val="003354CE"/>
    <w:rsid w:val="0036058F"/>
    <w:rsid w:val="00372B47"/>
    <w:rsid w:val="003D24F2"/>
    <w:rsid w:val="003D5716"/>
    <w:rsid w:val="003E36BB"/>
    <w:rsid w:val="003F2726"/>
    <w:rsid w:val="004050E6"/>
    <w:rsid w:val="004124A2"/>
    <w:rsid w:val="00451D22"/>
    <w:rsid w:val="00461405"/>
    <w:rsid w:val="00462F7D"/>
    <w:rsid w:val="004777A7"/>
    <w:rsid w:val="004950B1"/>
    <w:rsid w:val="004A75BC"/>
    <w:rsid w:val="004B074B"/>
    <w:rsid w:val="004C68FD"/>
    <w:rsid w:val="004C7102"/>
    <w:rsid w:val="004D1743"/>
    <w:rsid w:val="004E5792"/>
    <w:rsid w:val="00503C30"/>
    <w:rsid w:val="00516885"/>
    <w:rsid w:val="00521B98"/>
    <w:rsid w:val="00533343"/>
    <w:rsid w:val="00551F4D"/>
    <w:rsid w:val="00556207"/>
    <w:rsid w:val="00571482"/>
    <w:rsid w:val="0058690A"/>
    <w:rsid w:val="00591258"/>
    <w:rsid w:val="005B0847"/>
    <w:rsid w:val="005B115B"/>
    <w:rsid w:val="005C5BE9"/>
    <w:rsid w:val="005F35FC"/>
    <w:rsid w:val="006017EC"/>
    <w:rsid w:val="00610CBA"/>
    <w:rsid w:val="00620AA5"/>
    <w:rsid w:val="00631480"/>
    <w:rsid w:val="00656833"/>
    <w:rsid w:val="006821A4"/>
    <w:rsid w:val="006D130A"/>
    <w:rsid w:val="006E4C00"/>
    <w:rsid w:val="006E55B5"/>
    <w:rsid w:val="00704C3A"/>
    <w:rsid w:val="00715119"/>
    <w:rsid w:val="00723463"/>
    <w:rsid w:val="00725BA1"/>
    <w:rsid w:val="00745E27"/>
    <w:rsid w:val="00776B64"/>
    <w:rsid w:val="007833A7"/>
    <w:rsid w:val="00783D2B"/>
    <w:rsid w:val="007A3763"/>
    <w:rsid w:val="007F2AC5"/>
    <w:rsid w:val="008129F5"/>
    <w:rsid w:val="00832E39"/>
    <w:rsid w:val="0083399D"/>
    <w:rsid w:val="0084740A"/>
    <w:rsid w:val="008629A9"/>
    <w:rsid w:val="00866086"/>
    <w:rsid w:val="0087074E"/>
    <w:rsid w:val="008745A4"/>
    <w:rsid w:val="00887234"/>
    <w:rsid w:val="008A2540"/>
    <w:rsid w:val="008D5477"/>
    <w:rsid w:val="0091037B"/>
    <w:rsid w:val="00911477"/>
    <w:rsid w:val="00912D71"/>
    <w:rsid w:val="00913CAE"/>
    <w:rsid w:val="00993435"/>
    <w:rsid w:val="009A013E"/>
    <w:rsid w:val="009D44A5"/>
    <w:rsid w:val="009F0351"/>
    <w:rsid w:val="00A61734"/>
    <w:rsid w:val="00A9005C"/>
    <w:rsid w:val="00B22603"/>
    <w:rsid w:val="00B268C5"/>
    <w:rsid w:val="00B703A5"/>
    <w:rsid w:val="00B837B4"/>
    <w:rsid w:val="00BC37CC"/>
    <w:rsid w:val="00BE7AFE"/>
    <w:rsid w:val="00C04D8B"/>
    <w:rsid w:val="00C15BAD"/>
    <w:rsid w:val="00C17955"/>
    <w:rsid w:val="00C24E32"/>
    <w:rsid w:val="00C44E15"/>
    <w:rsid w:val="00C47D6F"/>
    <w:rsid w:val="00C76D35"/>
    <w:rsid w:val="00CA135C"/>
    <w:rsid w:val="00CB4EFD"/>
    <w:rsid w:val="00CC0049"/>
    <w:rsid w:val="00CD31C4"/>
    <w:rsid w:val="00D21604"/>
    <w:rsid w:val="00D24579"/>
    <w:rsid w:val="00D9435B"/>
    <w:rsid w:val="00D9725B"/>
    <w:rsid w:val="00DA185D"/>
    <w:rsid w:val="00DA65AB"/>
    <w:rsid w:val="00DD314A"/>
    <w:rsid w:val="00DE4DB9"/>
    <w:rsid w:val="00DF6ED5"/>
    <w:rsid w:val="00E00EF0"/>
    <w:rsid w:val="00E02834"/>
    <w:rsid w:val="00E06E1E"/>
    <w:rsid w:val="00E4752A"/>
    <w:rsid w:val="00E50B7A"/>
    <w:rsid w:val="00EA0019"/>
    <w:rsid w:val="00EB16B6"/>
    <w:rsid w:val="00EB1C87"/>
    <w:rsid w:val="00EE44E9"/>
    <w:rsid w:val="00EE7092"/>
    <w:rsid w:val="00EE768B"/>
    <w:rsid w:val="00EF607B"/>
    <w:rsid w:val="00F11466"/>
    <w:rsid w:val="00F12615"/>
    <w:rsid w:val="00F56077"/>
    <w:rsid w:val="00F601BC"/>
    <w:rsid w:val="00F75BE0"/>
    <w:rsid w:val="00F85372"/>
    <w:rsid w:val="00F9024E"/>
    <w:rsid w:val="00FB339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metricconverter"/>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locked="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locked="1" w:uiPriority="0"/>
    <w:lsdException w:name="List Number" w:locked="1" w:uiPriority="0"/>
    <w:lsdException w:name="List 2" w:locked="1" w:uiPriority="0"/>
    <w:lsdException w:name="List 3" w:locked="1" w:uiPriority="0"/>
    <w:lsdException w:name="List 4" w:locked="1" w:uiPriority="0"/>
    <w:lsdException w:name="List 5" w:locked="1" w:uiPriority="0"/>
    <w:lsdException w:name="List Bullet 2" w:locked="1" w:uiPriority="0"/>
    <w:lsdException w:name="List Bullet 3" w:locked="1" w:uiPriority="0"/>
    <w:lsdException w:name="List Bullet 4" w:locked="1" w:uiPriority="0"/>
    <w:lsdException w:name="List Bullet 5" w:locked="1" w:uiPriority="0"/>
    <w:lsdException w:name="List Number 2" w:locked="1" w:uiPriority="0"/>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4CB6"/>
    <w:pPr>
      <w:overflowPunct w:val="0"/>
      <w:autoSpaceDE w:val="0"/>
      <w:autoSpaceDN w:val="0"/>
      <w:adjustRightInd w:val="0"/>
      <w:textAlignment w:val="baseline"/>
    </w:pPr>
    <w:rPr>
      <w:rFonts w:ascii="Times New Roman" w:eastAsia="Times New Roman" w:hAnsi="Times New Roman"/>
      <w:sz w:val="20"/>
      <w:szCs w:val="20"/>
      <w:lang w:val="en-GB"/>
    </w:rPr>
  </w:style>
  <w:style w:type="paragraph" w:styleId="Heading1">
    <w:name w:val="heading 1"/>
    <w:basedOn w:val="Normal"/>
    <w:next w:val="Normal"/>
    <w:link w:val="Heading1Char"/>
    <w:uiPriority w:val="99"/>
    <w:qFormat/>
    <w:rsid w:val="000C4CB6"/>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link w:val="Heading2Char"/>
    <w:uiPriority w:val="99"/>
    <w:qFormat/>
    <w:rsid w:val="000C4CB6"/>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0C4CB6"/>
    <w:pPr>
      <w:spacing w:before="120"/>
      <w:outlineLvl w:val="2"/>
    </w:pPr>
    <w:rPr>
      <w:sz w:val="28"/>
    </w:rPr>
  </w:style>
  <w:style w:type="paragraph" w:styleId="Heading4">
    <w:name w:val="heading 4"/>
    <w:basedOn w:val="Heading3"/>
    <w:next w:val="Normal"/>
    <w:link w:val="Heading4Char"/>
    <w:uiPriority w:val="99"/>
    <w:qFormat/>
    <w:rsid w:val="000C4CB6"/>
    <w:pPr>
      <w:ind w:left="1418" w:hanging="1418"/>
      <w:outlineLvl w:val="3"/>
    </w:pPr>
    <w:rPr>
      <w:sz w:val="24"/>
    </w:rPr>
  </w:style>
  <w:style w:type="paragraph" w:styleId="Heading5">
    <w:name w:val="heading 5"/>
    <w:basedOn w:val="Heading4"/>
    <w:next w:val="Normal"/>
    <w:link w:val="Heading5Char"/>
    <w:uiPriority w:val="99"/>
    <w:qFormat/>
    <w:rsid w:val="000C4CB6"/>
    <w:pPr>
      <w:ind w:left="1701" w:hanging="1701"/>
      <w:outlineLvl w:val="4"/>
    </w:pPr>
    <w:rPr>
      <w:sz w:val="22"/>
    </w:rPr>
  </w:style>
  <w:style w:type="paragraph" w:styleId="Heading6">
    <w:name w:val="heading 6"/>
    <w:basedOn w:val="H6"/>
    <w:next w:val="Normal"/>
    <w:link w:val="Heading6Char"/>
    <w:uiPriority w:val="99"/>
    <w:qFormat/>
    <w:rsid w:val="000C4CB6"/>
    <w:pPr>
      <w:outlineLvl w:val="5"/>
    </w:pPr>
  </w:style>
  <w:style w:type="paragraph" w:styleId="Heading7">
    <w:name w:val="heading 7"/>
    <w:basedOn w:val="H6"/>
    <w:next w:val="Normal"/>
    <w:link w:val="Heading7Char"/>
    <w:uiPriority w:val="99"/>
    <w:qFormat/>
    <w:rsid w:val="000C4CB6"/>
    <w:pPr>
      <w:outlineLvl w:val="6"/>
    </w:pPr>
  </w:style>
  <w:style w:type="paragraph" w:styleId="Heading8">
    <w:name w:val="heading 8"/>
    <w:basedOn w:val="Heading1"/>
    <w:next w:val="Normal"/>
    <w:link w:val="Heading8Char"/>
    <w:uiPriority w:val="99"/>
    <w:qFormat/>
    <w:rsid w:val="000C4CB6"/>
    <w:pPr>
      <w:ind w:left="0" w:firstLine="0"/>
      <w:outlineLvl w:val="7"/>
    </w:pPr>
  </w:style>
  <w:style w:type="paragraph" w:styleId="Heading9">
    <w:name w:val="heading 9"/>
    <w:basedOn w:val="Heading8"/>
    <w:next w:val="Normal"/>
    <w:link w:val="Heading9Char"/>
    <w:uiPriority w:val="99"/>
    <w:qFormat/>
    <w:rsid w:val="000C4CB6"/>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C4CB6"/>
    <w:rPr>
      <w:rFonts w:ascii="Arial" w:hAnsi="Arial" w:cs="Times New Roman"/>
      <w:sz w:val="36"/>
      <w:lang w:val="en-GB" w:eastAsia="en-US" w:bidi="ar-SA"/>
    </w:rPr>
  </w:style>
  <w:style w:type="character" w:customStyle="1" w:styleId="Heading2Char">
    <w:name w:val="Heading 2 Char"/>
    <w:basedOn w:val="DefaultParagraphFont"/>
    <w:link w:val="Heading2"/>
    <w:uiPriority w:val="99"/>
    <w:locked/>
    <w:rsid w:val="000C4CB6"/>
    <w:rPr>
      <w:rFonts w:ascii="Arial" w:hAnsi="Arial" w:cs="Times New Roman"/>
      <w:sz w:val="20"/>
      <w:szCs w:val="20"/>
    </w:rPr>
  </w:style>
  <w:style w:type="character" w:customStyle="1" w:styleId="Heading3Char">
    <w:name w:val="Heading 3 Char"/>
    <w:basedOn w:val="DefaultParagraphFont"/>
    <w:link w:val="Heading3"/>
    <w:uiPriority w:val="99"/>
    <w:locked/>
    <w:rsid w:val="000C4CB6"/>
    <w:rPr>
      <w:rFonts w:ascii="Arial" w:hAnsi="Arial" w:cs="Times New Roman"/>
      <w:sz w:val="20"/>
      <w:szCs w:val="20"/>
    </w:rPr>
  </w:style>
  <w:style w:type="character" w:customStyle="1" w:styleId="Heading4Char">
    <w:name w:val="Heading 4 Char"/>
    <w:basedOn w:val="DefaultParagraphFont"/>
    <w:link w:val="Heading4"/>
    <w:uiPriority w:val="99"/>
    <w:locked/>
    <w:rsid w:val="000C4CB6"/>
    <w:rPr>
      <w:rFonts w:ascii="Arial" w:hAnsi="Arial" w:cs="Times New Roman"/>
      <w:sz w:val="20"/>
      <w:szCs w:val="20"/>
    </w:rPr>
  </w:style>
  <w:style w:type="character" w:customStyle="1" w:styleId="Heading5Char">
    <w:name w:val="Heading 5 Char"/>
    <w:basedOn w:val="DefaultParagraphFont"/>
    <w:link w:val="Heading5"/>
    <w:uiPriority w:val="99"/>
    <w:locked/>
    <w:rsid w:val="000C4CB6"/>
    <w:rPr>
      <w:rFonts w:ascii="Arial" w:hAnsi="Arial" w:cs="Times New Roman"/>
      <w:sz w:val="20"/>
      <w:szCs w:val="20"/>
    </w:rPr>
  </w:style>
  <w:style w:type="character" w:customStyle="1" w:styleId="Heading6Char">
    <w:name w:val="Heading 6 Char"/>
    <w:basedOn w:val="DefaultParagraphFont"/>
    <w:link w:val="Heading6"/>
    <w:uiPriority w:val="99"/>
    <w:locked/>
    <w:rsid w:val="000C4CB6"/>
    <w:rPr>
      <w:rFonts w:ascii="Arial" w:hAnsi="Arial" w:cs="Times New Roman"/>
      <w:sz w:val="20"/>
      <w:szCs w:val="20"/>
    </w:rPr>
  </w:style>
  <w:style w:type="character" w:customStyle="1" w:styleId="Heading7Char">
    <w:name w:val="Heading 7 Char"/>
    <w:basedOn w:val="DefaultParagraphFont"/>
    <w:link w:val="Heading7"/>
    <w:uiPriority w:val="99"/>
    <w:locked/>
    <w:rsid w:val="000C4CB6"/>
    <w:rPr>
      <w:rFonts w:ascii="Arial" w:hAnsi="Arial" w:cs="Times New Roman"/>
      <w:sz w:val="20"/>
      <w:szCs w:val="20"/>
    </w:rPr>
  </w:style>
  <w:style w:type="character" w:customStyle="1" w:styleId="Heading8Char">
    <w:name w:val="Heading 8 Char"/>
    <w:basedOn w:val="DefaultParagraphFont"/>
    <w:link w:val="Heading8"/>
    <w:uiPriority w:val="99"/>
    <w:locked/>
    <w:rsid w:val="000C4CB6"/>
    <w:rPr>
      <w:rFonts w:ascii="Arial" w:hAnsi="Arial" w:cs="Times New Roman"/>
      <w:sz w:val="20"/>
      <w:szCs w:val="20"/>
    </w:rPr>
  </w:style>
  <w:style w:type="character" w:customStyle="1" w:styleId="Heading9Char">
    <w:name w:val="Heading 9 Char"/>
    <w:basedOn w:val="DefaultParagraphFont"/>
    <w:link w:val="Heading9"/>
    <w:uiPriority w:val="99"/>
    <w:locked/>
    <w:rsid w:val="000C4CB6"/>
    <w:rPr>
      <w:rFonts w:ascii="Arial" w:hAnsi="Arial" w:cs="Times New Roman"/>
      <w:sz w:val="20"/>
      <w:szCs w:val="20"/>
    </w:rPr>
  </w:style>
  <w:style w:type="paragraph" w:styleId="List">
    <w:name w:val="List"/>
    <w:basedOn w:val="Normal"/>
    <w:uiPriority w:val="99"/>
    <w:rsid w:val="000C4CB6"/>
    <w:pPr>
      <w:ind w:left="568" w:hanging="284"/>
    </w:pPr>
  </w:style>
  <w:style w:type="paragraph" w:customStyle="1" w:styleId="B10">
    <w:name w:val="B1"/>
    <w:basedOn w:val="List"/>
    <w:uiPriority w:val="99"/>
    <w:rsid w:val="000C4CB6"/>
    <w:pPr>
      <w:ind w:left="738" w:hanging="454"/>
    </w:pPr>
  </w:style>
  <w:style w:type="paragraph" w:customStyle="1" w:styleId="B1">
    <w:name w:val="B1+"/>
    <w:basedOn w:val="B10"/>
    <w:uiPriority w:val="99"/>
    <w:rsid w:val="000C4CB6"/>
    <w:pPr>
      <w:numPr>
        <w:numId w:val="15"/>
      </w:numPr>
    </w:pPr>
  </w:style>
  <w:style w:type="paragraph" w:styleId="List2">
    <w:name w:val="List 2"/>
    <w:basedOn w:val="List"/>
    <w:uiPriority w:val="99"/>
    <w:rsid w:val="000C4CB6"/>
    <w:pPr>
      <w:ind w:left="851"/>
    </w:pPr>
  </w:style>
  <w:style w:type="paragraph" w:customStyle="1" w:styleId="B20">
    <w:name w:val="B2"/>
    <w:basedOn w:val="List2"/>
    <w:uiPriority w:val="99"/>
    <w:rsid w:val="000C4CB6"/>
    <w:pPr>
      <w:ind w:left="1191" w:hanging="454"/>
    </w:pPr>
  </w:style>
  <w:style w:type="paragraph" w:customStyle="1" w:styleId="B2">
    <w:name w:val="B2+"/>
    <w:basedOn w:val="B20"/>
    <w:uiPriority w:val="99"/>
    <w:rsid w:val="000C4CB6"/>
    <w:pPr>
      <w:numPr>
        <w:numId w:val="16"/>
      </w:numPr>
    </w:pPr>
  </w:style>
  <w:style w:type="paragraph" w:styleId="List3">
    <w:name w:val="List 3"/>
    <w:basedOn w:val="List2"/>
    <w:uiPriority w:val="99"/>
    <w:rsid w:val="000C4CB6"/>
    <w:pPr>
      <w:ind w:left="1135"/>
    </w:pPr>
  </w:style>
  <w:style w:type="paragraph" w:customStyle="1" w:styleId="B30">
    <w:name w:val="B3"/>
    <w:basedOn w:val="List3"/>
    <w:uiPriority w:val="99"/>
    <w:rsid w:val="000C4CB6"/>
    <w:pPr>
      <w:ind w:left="1645" w:hanging="454"/>
    </w:pPr>
  </w:style>
  <w:style w:type="paragraph" w:customStyle="1" w:styleId="B3">
    <w:name w:val="B3+"/>
    <w:basedOn w:val="B30"/>
    <w:uiPriority w:val="99"/>
    <w:rsid w:val="000C4CB6"/>
    <w:pPr>
      <w:numPr>
        <w:numId w:val="17"/>
      </w:numPr>
      <w:tabs>
        <w:tab w:val="left" w:pos="1134"/>
      </w:tabs>
    </w:pPr>
  </w:style>
  <w:style w:type="paragraph" w:styleId="List4">
    <w:name w:val="List 4"/>
    <w:basedOn w:val="List3"/>
    <w:uiPriority w:val="99"/>
    <w:rsid w:val="000C4CB6"/>
    <w:pPr>
      <w:ind w:left="1418"/>
    </w:pPr>
  </w:style>
  <w:style w:type="paragraph" w:customStyle="1" w:styleId="B4">
    <w:name w:val="B4"/>
    <w:basedOn w:val="List4"/>
    <w:uiPriority w:val="99"/>
    <w:rsid w:val="000C4CB6"/>
    <w:pPr>
      <w:ind w:left="2098" w:hanging="454"/>
    </w:pPr>
  </w:style>
  <w:style w:type="paragraph" w:styleId="List5">
    <w:name w:val="List 5"/>
    <w:basedOn w:val="List4"/>
    <w:uiPriority w:val="99"/>
    <w:rsid w:val="000C4CB6"/>
    <w:pPr>
      <w:ind w:left="1702"/>
    </w:pPr>
  </w:style>
  <w:style w:type="paragraph" w:customStyle="1" w:styleId="B5">
    <w:name w:val="B5"/>
    <w:basedOn w:val="List5"/>
    <w:uiPriority w:val="99"/>
    <w:rsid w:val="000C4CB6"/>
    <w:pPr>
      <w:ind w:left="2552" w:hanging="454"/>
    </w:pPr>
  </w:style>
  <w:style w:type="paragraph" w:customStyle="1" w:styleId="BL">
    <w:name w:val="BL"/>
    <w:basedOn w:val="Normal"/>
    <w:uiPriority w:val="99"/>
    <w:rsid w:val="000C4CB6"/>
    <w:pPr>
      <w:numPr>
        <w:numId w:val="18"/>
      </w:numPr>
      <w:tabs>
        <w:tab w:val="left" w:pos="851"/>
      </w:tabs>
    </w:pPr>
  </w:style>
  <w:style w:type="paragraph" w:customStyle="1" w:styleId="BN">
    <w:name w:val="BN"/>
    <w:basedOn w:val="Normal"/>
    <w:uiPriority w:val="99"/>
    <w:rsid w:val="000C4CB6"/>
    <w:pPr>
      <w:numPr>
        <w:numId w:val="19"/>
      </w:numPr>
    </w:pPr>
  </w:style>
  <w:style w:type="paragraph" w:customStyle="1" w:styleId="NO">
    <w:name w:val="NO"/>
    <w:basedOn w:val="Normal"/>
    <w:uiPriority w:val="99"/>
    <w:rsid w:val="000C4CB6"/>
    <w:pPr>
      <w:keepLines/>
      <w:ind w:left="1135" w:hanging="851"/>
    </w:pPr>
  </w:style>
  <w:style w:type="paragraph" w:customStyle="1" w:styleId="EditorsNote">
    <w:name w:val="Editor's Note"/>
    <w:basedOn w:val="NO"/>
    <w:uiPriority w:val="99"/>
    <w:rsid w:val="000C4CB6"/>
    <w:rPr>
      <w:color w:val="FF0000"/>
    </w:rPr>
  </w:style>
  <w:style w:type="paragraph" w:customStyle="1" w:styleId="EQ">
    <w:name w:val="EQ"/>
    <w:basedOn w:val="Normal"/>
    <w:next w:val="Normal"/>
    <w:uiPriority w:val="99"/>
    <w:rsid w:val="000C4CB6"/>
    <w:pPr>
      <w:keepLines/>
      <w:tabs>
        <w:tab w:val="center" w:pos="4536"/>
        <w:tab w:val="right" w:pos="9072"/>
      </w:tabs>
    </w:pPr>
    <w:rPr>
      <w:noProof/>
    </w:rPr>
  </w:style>
  <w:style w:type="paragraph" w:customStyle="1" w:styleId="EX">
    <w:name w:val="EX"/>
    <w:basedOn w:val="Normal"/>
    <w:uiPriority w:val="99"/>
    <w:rsid w:val="000C4CB6"/>
    <w:pPr>
      <w:keepLines/>
      <w:ind w:left="1702" w:hanging="1418"/>
    </w:pPr>
  </w:style>
  <w:style w:type="paragraph" w:customStyle="1" w:styleId="EW">
    <w:name w:val="EW"/>
    <w:basedOn w:val="EX"/>
    <w:uiPriority w:val="99"/>
    <w:rsid w:val="000C4CB6"/>
  </w:style>
  <w:style w:type="paragraph" w:customStyle="1" w:styleId="FL">
    <w:name w:val="FL"/>
    <w:basedOn w:val="Normal"/>
    <w:uiPriority w:val="99"/>
    <w:rsid w:val="000C4CB6"/>
    <w:pPr>
      <w:keepNext/>
      <w:keepLines/>
      <w:spacing w:before="60"/>
      <w:jc w:val="center"/>
    </w:pPr>
    <w:rPr>
      <w:rFonts w:ascii="Arial" w:hAnsi="Arial"/>
      <w:b/>
    </w:rPr>
  </w:style>
  <w:style w:type="paragraph" w:styleId="Header">
    <w:name w:val="header"/>
    <w:basedOn w:val="Normal"/>
    <w:link w:val="HeaderChar"/>
    <w:uiPriority w:val="99"/>
    <w:rsid w:val="000C4CB6"/>
    <w:pPr>
      <w:widowControl w:val="0"/>
    </w:pPr>
    <w:rPr>
      <w:rFonts w:ascii="Arial" w:hAnsi="Arial"/>
      <w:b/>
      <w:noProof/>
      <w:sz w:val="18"/>
    </w:rPr>
  </w:style>
  <w:style w:type="character" w:customStyle="1" w:styleId="HeaderChar">
    <w:name w:val="Header Char"/>
    <w:basedOn w:val="DefaultParagraphFont"/>
    <w:link w:val="Header"/>
    <w:uiPriority w:val="99"/>
    <w:locked/>
    <w:rsid w:val="000C4CB6"/>
    <w:rPr>
      <w:rFonts w:ascii="Arial" w:hAnsi="Arial" w:cs="Times New Roman"/>
      <w:b/>
      <w:noProof/>
      <w:sz w:val="18"/>
      <w:lang w:val="en-GB" w:eastAsia="en-US" w:bidi="ar-SA"/>
    </w:rPr>
  </w:style>
  <w:style w:type="paragraph" w:styleId="Footer">
    <w:name w:val="footer"/>
    <w:basedOn w:val="Header"/>
    <w:link w:val="FooterChar"/>
    <w:uiPriority w:val="99"/>
    <w:rsid w:val="000C4CB6"/>
    <w:pPr>
      <w:jc w:val="center"/>
    </w:pPr>
    <w:rPr>
      <w:i/>
    </w:rPr>
  </w:style>
  <w:style w:type="character" w:customStyle="1" w:styleId="FooterChar">
    <w:name w:val="Footer Char"/>
    <w:basedOn w:val="DefaultParagraphFont"/>
    <w:link w:val="Footer"/>
    <w:uiPriority w:val="99"/>
    <w:locked/>
    <w:rsid w:val="000C4CB6"/>
    <w:rPr>
      <w:rFonts w:ascii="Arial" w:hAnsi="Arial" w:cs="Times New Roman"/>
      <w:b/>
      <w:i/>
      <w:noProof/>
      <w:sz w:val="20"/>
      <w:szCs w:val="20"/>
    </w:rPr>
  </w:style>
  <w:style w:type="character" w:styleId="FootnoteReference">
    <w:name w:val="footnote reference"/>
    <w:basedOn w:val="DefaultParagraphFont"/>
    <w:uiPriority w:val="99"/>
    <w:semiHidden/>
    <w:rsid w:val="000C4CB6"/>
    <w:rPr>
      <w:rFonts w:cs="Times New Roman"/>
      <w:b/>
      <w:position w:val="6"/>
      <w:sz w:val="16"/>
    </w:rPr>
  </w:style>
  <w:style w:type="paragraph" w:styleId="FootnoteText">
    <w:name w:val="footnote text"/>
    <w:basedOn w:val="Normal"/>
    <w:link w:val="FootnoteTextChar"/>
    <w:uiPriority w:val="99"/>
    <w:semiHidden/>
    <w:rsid w:val="000C4CB6"/>
    <w:pPr>
      <w:keepLines/>
      <w:ind w:left="454" w:hanging="454"/>
    </w:pPr>
    <w:rPr>
      <w:sz w:val="16"/>
    </w:rPr>
  </w:style>
  <w:style w:type="character" w:customStyle="1" w:styleId="FootnoteTextChar">
    <w:name w:val="Footnote Text Char"/>
    <w:basedOn w:val="DefaultParagraphFont"/>
    <w:link w:val="FootnoteText"/>
    <w:uiPriority w:val="99"/>
    <w:semiHidden/>
    <w:locked/>
    <w:rsid w:val="000C4CB6"/>
    <w:rPr>
      <w:rFonts w:ascii="Times New Roman" w:hAnsi="Times New Roman" w:cs="Times New Roman"/>
      <w:sz w:val="20"/>
      <w:szCs w:val="20"/>
    </w:rPr>
  </w:style>
  <w:style w:type="paragraph" w:customStyle="1" w:styleId="FP">
    <w:name w:val="FP"/>
    <w:basedOn w:val="Normal"/>
    <w:uiPriority w:val="99"/>
    <w:rsid w:val="000C4CB6"/>
  </w:style>
  <w:style w:type="paragraph" w:customStyle="1" w:styleId="H6">
    <w:name w:val="H6"/>
    <w:basedOn w:val="Heading5"/>
    <w:next w:val="Normal"/>
    <w:uiPriority w:val="99"/>
    <w:rsid w:val="000C4CB6"/>
    <w:pPr>
      <w:ind w:left="1985" w:hanging="1985"/>
      <w:outlineLvl w:val="9"/>
    </w:pPr>
    <w:rPr>
      <w:sz w:val="20"/>
    </w:rPr>
  </w:style>
  <w:style w:type="paragraph" w:styleId="Index1">
    <w:name w:val="index 1"/>
    <w:basedOn w:val="Normal"/>
    <w:uiPriority w:val="99"/>
    <w:semiHidden/>
    <w:rsid w:val="000C4CB6"/>
    <w:pPr>
      <w:keepLines/>
    </w:pPr>
  </w:style>
  <w:style w:type="paragraph" w:styleId="Index2">
    <w:name w:val="index 2"/>
    <w:basedOn w:val="Index1"/>
    <w:uiPriority w:val="99"/>
    <w:semiHidden/>
    <w:rsid w:val="000C4CB6"/>
    <w:pPr>
      <w:ind w:left="284"/>
    </w:pPr>
  </w:style>
  <w:style w:type="paragraph" w:customStyle="1" w:styleId="LD">
    <w:name w:val="LD"/>
    <w:uiPriority w:val="99"/>
    <w:rsid w:val="000C4CB6"/>
    <w:pPr>
      <w:keepNext/>
      <w:keepLines/>
      <w:overflowPunct w:val="0"/>
      <w:autoSpaceDE w:val="0"/>
      <w:autoSpaceDN w:val="0"/>
      <w:adjustRightInd w:val="0"/>
      <w:spacing w:line="180" w:lineRule="exact"/>
      <w:textAlignment w:val="baseline"/>
    </w:pPr>
    <w:rPr>
      <w:rFonts w:ascii="Courier New" w:eastAsia="Times New Roman" w:hAnsi="Courier New"/>
      <w:noProof/>
      <w:sz w:val="20"/>
      <w:szCs w:val="20"/>
      <w:lang w:val="en-GB"/>
    </w:rPr>
  </w:style>
  <w:style w:type="paragraph" w:styleId="ListBullet">
    <w:name w:val="List Bullet"/>
    <w:basedOn w:val="List"/>
    <w:uiPriority w:val="99"/>
    <w:rsid w:val="000C4CB6"/>
  </w:style>
  <w:style w:type="paragraph" w:styleId="ListBullet2">
    <w:name w:val="List Bullet 2"/>
    <w:basedOn w:val="ListBullet"/>
    <w:uiPriority w:val="99"/>
    <w:rsid w:val="000C4CB6"/>
    <w:pPr>
      <w:ind w:left="851"/>
    </w:pPr>
  </w:style>
  <w:style w:type="paragraph" w:styleId="ListBullet3">
    <w:name w:val="List Bullet 3"/>
    <w:basedOn w:val="ListBullet2"/>
    <w:uiPriority w:val="99"/>
    <w:rsid w:val="000C4CB6"/>
    <w:pPr>
      <w:ind w:left="1135"/>
    </w:pPr>
  </w:style>
  <w:style w:type="paragraph" w:styleId="ListBullet4">
    <w:name w:val="List Bullet 4"/>
    <w:basedOn w:val="ListBullet3"/>
    <w:uiPriority w:val="99"/>
    <w:rsid w:val="000C4CB6"/>
    <w:pPr>
      <w:ind w:left="1418"/>
    </w:pPr>
  </w:style>
  <w:style w:type="paragraph" w:styleId="ListBullet5">
    <w:name w:val="List Bullet 5"/>
    <w:basedOn w:val="ListBullet4"/>
    <w:uiPriority w:val="99"/>
    <w:rsid w:val="000C4CB6"/>
    <w:pPr>
      <w:ind w:left="1702"/>
    </w:pPr>
  </w:style>
  <w:style w:type="paragraph" w:styleId="ListNumber">
    <w:name w:val="List Number"/>
    <w:basedOn w:val="List"/>
    <w:uiPriority w:val="99"/>
    <w:rsid w:val="000C4CB6"/>
  </w:style>
  <w:style w:type="paragraph" w:styleId="ListNumber2">
    <w:name w:val="List Number 2"/>
    <w:basedOn w:val="ListNumber"/>
    <w:uiPriority w:val="99"/>
    <w:rsid w:val="000C4CB6"/>
    <w:pPr>
      <w:ind w:left="851"/>
    </w:pPr>
  </w:style>
  <w:style w:type="paragraph" w:customStyle="1" w:styleId="NF">
    <w:name w:val="NF"/>
    <w:basedOn w:val="NO"/>
    <w:uiPriority w:val="99"/>
    <w:rsid w:val="000C4CB6"/>
    <w:pPr>
      <w:keepNext/>
    </w:pPr>
    <w:rPr>
      <w:rFonts w:ascii="Arial" w:hAnsi="Arial"/>
      <w:sz w:val="18"/>
    </w:rPr>
  </w:style>
  <w:style w:type="paragraph" w:customStyle="1" w:styleId="NW">
    <w:name w:val="NW"/>
    <w:basedOn w:val="NO"/>
    <w:uiPriority w:val="99"/>
    <w:rsid w:val="000C4CB6"/>
  </w:style>
  <w:style w:type="paragraph" w:customStyle="1" w:styleId="PL">
    <w:name w:val="PL"/>
    <w:uiPriority w:val="99"/>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szCs w:val="20"/>
      <w:lang w:val="en-GB"/>
    </w:rPr>
  </w:style>
  <w:style w:type="paragraph" w:customStyle="1" w:styleId="TAL">
    <w:name w:val="TAL"/>
    <w:basedOn w:val="Normal"/>
    <w:uiPriority w:val="99"/>
    <w:rsid w:val="000C4CB6"/>
    <w:pPr>
      <w:keepNext/>
      <w:keepLines/>
    </w:pPr>
    <w:rPr>
      <w:rFonts w:ascii="Arial" w:hAnsi="Arial"/>
      <w:sz w:val="18"/>
    </w:rPr>
  </w:style>
  <w:style w:type="paragraph" w:customStyle="1" w:styleId="TAC">
    <w:name w:val="TAC"/>
    <w:basedOn w:val="TAL"/>
    <w:uiPriority w:val="99"/>
    <w:rsid w:val="000C4CB6"/>
    <w:pPr>
      <w:jc w:val="center"/>
    </w:pPr>
  </w:style>
  <w:style w:type="paragraph" w:customStyle="1" w:styleId="TAH">
    <w:name w:val="TAH"/>
    <w:basedOn w:val="TAC"/>
    <w:uiPriority w:val="99"/>
    <w:rsid w:val="000C4CB6"/>
    <w:rPr>
      <w:b/>
    </w:rPr>
  </w:style>
  <w:style w:type="paragraph" w:customStyle="1" w:styleId="TAJ">
    <w:name w:val="TAJ"/>
    <w:basedOn w:val="Normal"/>
    <w:uiPriority w:val="99"/>
    <w:rsid w:val="000C4CB6"/>
    <w:pPr>
      <w:keepNext/>
      <w:keepLines/>
      <w:jc w:val="both"/>
    </w:pPr>
    <w:rPr>
      <w:rFonts w:ascii="Arial" w:hAnsi="Arial"/>
      <w:sz w:val="18"/>
    </w:rPr>
  </w:style>
  <w:style w:type="paragraph" w:customStyle="1" w:styleId="TAN">
    <w:name w:val="TAN"/>
    <w:basedOn w:val="TAL"/>
    <w:uiPriority w:val="99"/>
    <w:rsid w:val="000C4CB6"/>
    <w:pPr>
      <w:ind w:left="851" w:hanging="851"/>
    </w:pPr>
  </w:style>
  <w:style w:type="paragraph" w:customStyle="1" w:styleId="TAR">
    <w:name w:val="TAR"/>
    <w:basedOn w:val="TAL"/>
    <w:uiPriority w:val="99"/>
    <w:rsid w:val="000C4CB6"/>
    <w:pPr>
      <w:jc w:val="right"/>
    </w:pPr>
  </w:style>
  <w:style w:type="paragraph" w:customStyle="1" w:styleId="TF">
    <w:name w:val="TF"/>
    <w:basedOn w:val="FL"/>
    <w:uiPriority w:val="99"/>
    <w:rsid w:val="000C4CB6"/>
    <w:pPr>
      <w:keepNext w:val="0"/>
      <w:spacing w:before="0" w:after="240"/>
    </w:pPr>
  </w:style>
  <w:style w:type="paragraph" w:customStyle="1" w:styleId="TH">
    <w:name w:val="TH"/>
    <w:basedOn w:val="FL"/>
    <w:next w:val="FL"/>
    <w:uiPriority w:val="99"/>
    <w:rsid w:val="000C4CB6"/>
  </w:style>
  <w:style w:type="paragraph" w:styleId="TOC1">
    <w:name w:val="toc 1"/>
    <w:basedOn w:val="Normal"/>
    <w:uiPriority w:val="99"/>
    <w:semiHidden/>
    <w:rsid w:val="000C4CB6"/>
    <w:pPr>
      <w:keepLines/>
      <w:widowControl w:val="0"/>
      <w:tabs>
        <w:tab w:val="right" w:leader="dot" w:pos="9639"/>
      </w:tabs>
      <w:spacing w:before="120"/>
      <w:ind w:left="567" w:right="425" w:hanging="567"/>
    </w:pPr>
    <w:rPr>
      <w:noProof/>
      <w:sz w:val="22"/>
    </w:rPr>
  </w:style>
  <w:style w:type="paragraph" w:styleId="TOC2">
    <w:name w:val="toc 2"/>
    <w:basedOn w:val="TOC1"/>
    <w:uiPriority w:val="99"/>
    <w:semiHidden/>
    <w:rsid w:val="000C4CB6"/>
    <w:pPr>
      <w:spacing w:before="0"/>
      <w:ind w:left="851" w:hanging="851"/>
    </w:pPr>
    <w:rPr>
      <w:sz w:val="20"/>
    </w:rPr>
  </w:style>
  <w:style w:type="paragraph" w:styleId="TOC3">
    <w:name w:val="toc 3"/>
    <w:basedOn w:val="TOC2"/>
    <w:uiPriority w:val="99"/>
    <w:semiHidden/>
    <w:rsid w:val="000C4CB6"/>
    <w:pPr>
      <w:ind w:left="1134" w:hanging="1134"/>
    </w:pPr>
  </w:style>
  <w:style w:type="paragraph" w:styleId="TOC4">
    <w:name w:val="toc 4"/>
    <w:basedOn w:val="TOC3"/>
    <w:uiPriority w:val="99"/>
    <w:semiHidden/>
    <w:rsid w:val="000C4CB6"/>
    <w:pPr>
      <w:ind w:left="1418" w:hanging="1418"/>
    </w:pPr>
  </w:style>
  <w:style w:type="paragraph" w:styleId="TOC5">
    <w:name w:val="toc 5"/>
    <w:basedOn w:val="TOC4"/>
    <w:uiPriority w:val="99"/>
    <w:semiHidden/>
    <w:rsid w:val="000C4CB6"/>
    <w:pPr>
      <w:ind w:left="1701" w:hanging="1701"/>
    </w:pPr>
  </w:style>
  <w:style w:type="paragraph" w:styleId="TOC6">
    <w:name w:val="toc 6"/>
    <w:basedOn w:val="TOC5"/>
    <w:next w:val="Normal"/>
    <w:uiPriority w:val="99"/>
    <w:semiHidden/>
    <w:rsid w:val="000C4CB6"/>
    <w:pPr>
      <w:ind w:left="1985" w:hanging="1985"/>
    </w:pPr>
  </w:style>
  <w:style w:type="paragraph" w:styleId="TOC7">
    <w:name w:val="toc 7"/>
    <w:basedOn w:val="TOC6"/>
    <w:next w:val="Normal"/>
    <w:uiPriority w:val="99"/>
    <w:semiHidden/>
    <w:rsid w:val="000C4CB6"/>
    <w:pPr>
      <w:ind w:left="2268" w:hanging="2268"/>
    </w:pPr>
  </w:style>
  <w:style w:type="paragraph" w:styleId="TOC8">
    <w:name w:val="toc 8"/>
    <w:basedOn w:val="TOC1"/>
    <w:uiPriority w:val="99"/>
    <w:semiHidden/>
    <w:rsid w:val="000C4CB6"/>
    <w:pPr>
      <w:spacing w:before="180"/>
      <w:ind w:left="2693" w:hanging="2693"/>
    </w:pPr>
    <w:rPr>
      <w:b/>
    </w:rPr>
  </w:style>
  <w:style w:type="paragraph" w:styleId="TOC9">
    <w:name w:val="toc 9"/>
    <w:basedOn w:val="TOC8"/>
    <w:uiPriority w:val="99"/>
    <w:semiHidden/>
    <w:rsid w:val="000C4CB6"/>
    <w:pPr>
      <w:ind w:left="1418" w:hanging="1418"/>
    </w:pPr>
  </w:style>
  <w:style w:type="paragraph" w:customStyle="1" w:styleId="TT">
    <w:name w:val="TT"/>
    <w:basedOn w:val="Heading1"/>
    <w:next w:val="Normal"/>
    <w:uiPriority w:val="99"/>
    <w:rsid w:val="000C4CB6"/>
    <w:pPr>
      <w:outlineLvl w:val="9"/>
    </w:pPr>
  </w:style>
  <w:style w:type="paragraph" w:customStyle="1" w:styleId="ZA">
    <w:name w:val="ZA"/>
    <w:uiPriority w:val="99"/>
    <w:rsid w:val="000C4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szCs w:val="20"/>
      <w:lang w:val="en-GB"/>
    </w:rPr>
  </w:style>
  <w:style w:type="paragraph" w:customStyle="1" w:styleId="ZB">
    <w:name w:val="ZB"/>
    <w:uiPriority w:val="99"/>
    <w:rsid w:val="000C4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sz w:val="20"/>
      <w:szCs w:val="20"/>
      <w:lang w:val="en-GB"/>
    </w:rPr>
  </w:style>
  <w:style w:type="paragraph" w:customStyle="1" w:styleId="ZD">
    <w:name w:val="ZD"/>
    <w:uiPriority w:val="99"/>
    <w:rsid w:val="000C4C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szCs w:val="20"/>
      <w:lang w:val="en-GB"/>
    </w:rPr>
  </w:style>
  <w:style w:type="paragraph" w:customStyle="1" w:styleId="ZG">
    <w:name w:val="ZG"/>
    <w:uiPriority w:val="99"/>
    <w:rsid w:val="000C4C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sz w:val="20"/>
      <w:szCs w:val="20"/>
      <w:lang w:val="en-GB"/>
    </w:rPr>
  </w:style>
  <w:style w:type="character" w:customStyle="1" w:styleId="ZGSM">
    <w:name w:val="ZGSM"/>
    <w:uiPriority w:val="99"/>
    <w:rsid w:val="000C4CB6"/>
  </w:style>
  <w:style w:type="paragraph" w:customStyle="1" w:styleId="ZH">
    <w:name w:val="ZH"/>
    <w:uiPriority w:val="99"/>
    <w:rsid w:val="000C4C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sz w:val="20"/>
      <w:szCs w:val="20"/>
      <w:lang w:val="en-GB"/>
    </w:rPr>
  </w:style>
  <w:style w:type="paragraph" w:customStyle="1" w:styleId="ZT">
    <w:name w:val="ZT"/>
    <w:uiPriority w:val="99"/>
    <w:rsid w:val="000C4C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szCs w:val="20"/>
      <w:lang w:val="en-GB"/>
    </w:rPr>
  </w:style>
  <w:style w:type="paragraph" w:customStyle="1" w:styleId="ZTD">
    <w:name w:val="ZTD"/>
    <w:basedOn w:val="ZB"/>
    <w:uiPriority w:val="99"/>
    <w:rsid w:val="000C4CB6"/>
    <w:pPr>
      <w:framePr w:hRule="auto" w:wrap="notBeside" w:y="852"/>
    </w:pPr>
    <w:rPr>
      <w:i w:val="0"/>
      <w:sz w:val="40"/>
    </w:rPr>
  </w:style>
  <w:style w:type="paragraph" w:customStyle="1" w:styleId="ZU">
    <w:name w:val="ZU"/>
    <w:uiPriority w:val="99"/>
    <w:rsid w:val="000C4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sz w:val="20"/>
      <w:szCs w:val="20"/>
      <w:lang w:val="en-GB"/>
    </w:rPr>
  </w:style>
  <w:style w:type="paragraph" w:customStyle="1" w:styleId="ZV">
    <w:name w:val="ZV"/>
    <w:basedOn w:val="ZU"/>
    <w:uiPriority w:val="99"/>
    <w:rsid w:val="000C4CB6"/>
    <w:pPr>
      <w:framePr w:wrap="notBeside" w:y="16161"/>
    </w:pPr>
  </w:style>
  <w:style w:type="paragraph" w:styleId="BalloonText">
    <w:name w:val="Balloon Text"/>
    <w:basedOn w:val="Normal"/>
    <w:link w:val="BalloonTextChar"/>
    <w:uiPriority w:val="99"/>
    <w:semiHidden/>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676F5"/>
    <w:rPr>
      <w:rFonts w:ascii="Tahoma" w:hAnsi="Tahoma" w:cs="Tahoma"/>
      <w:sz w:val="16"/>
      <w:szCs w:val="16"/>
    </w:rPr>
  </w:style>
  <w:style w:type="character" w:styleId="Hyperlink">
    <w:name w:val="Hyperlink"/>
    <w:basedOn w:val="DefaultParagraphFont"/>
    <w:uiPriority w:val="99"/>
    <w:rsid w:val="00216D13"/>
    <w:rPr>
      <w:rFonts w:cs="Times New Roman"/>
      <w:color w:val="0000FF"/>
      <w:sz w:val="20"/>
      <w:u w:val="single"/>
    </w:rPr>
  </w:style>
  <w:style w:type="character" w:styleId="FollowedHyperlink">
    <w:name w:val="FollowedHyperlink"/>
    <w:basedOn w:val="DefaultParagraphFont"/>
    <w:uiPriority w:val="99"/>
    <w:rsid w:val="00725BA1"/>
    <w:rPr>
      <w:rFonts w:cs="Times New Roman"/>
      <w:color w:val="606420"/>
      <w:u w:val="single"/>
    </w:rPr>
  </w:style>
</w:styles>
</file>

<file path=word/webSettings.xml><?xml version="1.0" encoding="utf-8"?>
<w:webSettings xmlns:r="http://schemas.openxmlformats.org/officeDocument/2006/relationships" xmlns:w="http://schemas.openxmlformats.org/wordprocessingml/2006/main">
  <w:divs>
    <w:div w:id="18386923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workprogram/Report_WorkItem.asp?WKI_ID=27105&amp;curItemNr=1&amp;totalNrItems=1&amp;optDisplay=10&amp;qSORT=HIGHVERSION&amp;qETSI_ALL=&amp;SearchPage=TRUE&amp;qETSI_NUMBER=302+608&amp;qINCLUDE_SUB_TB=True&amp;qINCLUDE_MOVED_ON=&amp;qSTOP_FLG=&amp;qKEYWORD_BOOLEAN=&amp;qSTOPPING_OU" TargetMode="External"/><Relationship Id="rId13" Type="http://schemas.openxmlformats.org/officeDocument/2006/relationships/hyperlink" Target="http://webapp.etsi.org/workprogram/Report_WorkItem.asp?WKI_ID=34178&amp;curItemNr=1&amp;totalNrItems=1&amp;optDisplay=10&amp;qSORT=HIGHVERSION&amp;qETSI_ALL=&amp;SearchPage=TRUE&amp;qETSI_NUMBER=103+060&amp;qINCLUDE_SUB_TB=True&amp;qINCLUDE_MOVED_ON=&amp;qSTOP_FLG=&amp;qKEYWORD_BOOLEAN=&amp;qSTOPPING_OU" TargetMode="External"/><Relationship Id="rId18" Type="http://schemas.openxmlformats.org/officeDocument/2006/relationships/hyperlink" Target="http://webapp.etsi.org/workprogram/Report_WorkItem.asp?WKI_ID=34178&amp;curItemNr=1&amp;totalNrItems=1&amp;optDisplay=10&amp;qSORT=HIGHVERSION&amp;qETSI_ALL=&amp;SearchPage=TRUE&amp;qETSI_NUMBER=103+060&amp;qINCLUDE_SUB_TB=True&amp;qINCLUDE_MOVED_ON=&amp;qSTOP_FLG=&amp;qKEYWORD_BOOLEAN=&amp;qSTOPPING_OU"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docbox.etsi.org/ERM/ERM/05-CONTRIBUTIONS/2011/ERM%2811%290544_LSin_LS_from_WGFM_to_ETSI_ERM,TG28_on_the_fifth_SRD_update.zip" TargetMode="External"/><Relationship Id="rId12" Type="http://schemas.openxmlformats.org/officeDocument/2006/relationships/hyperlink" Target="http://webapp.etsi.org/workprogram/Frame_WorkItemList.asp?SearchPage=TRUE&amp;qSORT=HIGHVERSION&amp;qINCLUDE_SUB_TB=True&amp;butSimple=++Search++&amp;qETSI_STANDARD_TYPE=&amp;qETSI_NUMBER=302+536&amp;qMILESTONE=&amp;qACHIEVED_DAY=&amp;qACHIEVED_MONTH=&amp;qACHIEVED_YEAR=&amp;qREPORT_TYPE=SUMMARY" TargetMode="External"/><Relationship Id="rId17" Type="http://schemas.openxmlformats.org/officeDocument/2006/relationships/hyperlink" Target="http://portal.etsi.org/STFs/ToR/ToR411v16_ERM_TG28_UWB_LDC.doc" TargetMode="External"/><Relationship Id="rId2" Type="http://schemas.openxmlformats.org/officeDocument/2006/relationships/styles" Target="styles.xml"/><Relationship Id="rId16" Type="http://schemas.openxmlformats.org/officeDocument/2006/relationships/hyperlink" Target="http://docbox.etsi.org/ERM/ERM/05-CONTRIBUTIONS/2011/ERM%2811%290544_LSin_LS_from_WGFM_to_ETSI_ERM,TG28_on_the_fifth_SRD_update.zip" TargetMode="External"/><Relationship Id="rId20" Type="http://schemas.openxmlformats.org/officeDocument/2006/relationships/hyperlink" Target="http://webapp.etsi.org/workprogram/Report_WorkItem.asp?WKI_ID=34079&amp;curItemNr=1&amp;totalNrItems=1&amp;optDisplay=10&amp;qSORT=HIGHVERSION&amp;qETSI_ALL=&amp;SearchPage=TRUE&amp;qETSI_NUMBER=103+056&amp;qINCLUDE_SUB_TB=True&amp;qINCLUDE_MOVED_ON=&amp;qSTOP_FLG=&amp;qKEYWORD_BOOLEAN=&amp;qSTOPPING_O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ebapp.etsi.org/workprogram/Frame_WorkItemList.asp?SearchPage=TRUE&amp;qSORT=HIGHVERSION&amp;qINCLUDE_SUB_TB=True&amp;butSimple=++Search++&amp;qETSI_STANDARD_TYPE=&amp;qETSI_NUMBER=302+195&amp;qMILESTONE=&amp;qACHIEVED_DAY=&amp;qACHIEVED_MONTH=&amp;qACHIEVED_YEAR=&amp;qREPORT_TYPE=SUMMARY"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docbox.etsi.org/ERM/ERMTG28/05-CONTRIBUTIONS/2012/ERMTG28(12)31_021_ERM-TG30_LSin_Move_of_inductive_bands_from_ERC_REC_Annex12_t.zip" TargetMode="External"/><Relationship Id="rId23" Type="http://schemas.openxmlformats.org/officeDocument/2006/relationships/fontTable" Target="fontTable.xml"/><Relationship Id="rId10" Type="http://schemas.openxmlformats.org/officeDocument/2006/relationships/hyperlink" Target="http://webapp.etsi.org/workprogram/Report_WorkItem.asp?WKI_ID=27106&amp;curItemNr=1&amp;totalNrItems=1&amp;optDisplay=10&amp;qSORT=HIGHVERSION&amp;qETSI_ALL=&amp;SearchPage=TRUE&amp;qETSI_NUMBER=302+609&amp;qINCLUDE_SUB_TB=True&amp;qINCLUDE_MOVED_ON=&amp;qSTOP_FLG=&amp;qKEYWORD_BOOLEAN=&amp;qSTOPPING_OU" TargetMode="External"/><Relationship Id="rId19" Type="http://schemas.openxmlformats.org/officeDocument/2006/relationships/hyperlink" Target="http://docbox.etsi.org/ERM/ERM/05-CONTRIBUTIONS/2012/ERM(12)46_072_STF411__Milestone_report_C.doc" TargetMode="External"/><Relationship Id="rId4" Type="http://schemas.openxmlformats.org/officeDocument/2006/relationships/webSettings" Target="webSettings.xml"/><Relationship Id="rId9" Type="http://schemas.openxmlformats.org/officeDocument/2006/relationships/hyperlink" Target="http://webapp.etsi.org/workprogram/Frame_WorkItemList.asp?SearchPage=TRUE&amp;qSORT=HIGHVERSION&amp;qINCLUDE_SUB_TB=True&amp;butSimple=++Search++&amp;qETSI_STANDARD_TYPE=&amp;qETSI_NUMBER=300+330&amp;qMILESTONE=&amp;qACHIEVED_DAY=&amp;qACHIEVED_MONTH=&amp;qACHIEVED_YEAR=&amp;qREPORT_TYPE=SUMMARY" TargetMode="External"/><Relationship Id="rId14" Type="http://schemas.openxmlformats.org/officeDocument/2006/relationships/hyperlink" Target="http://webapp.etsi.org/workprogram/Report_WorkItem.asp?WKI_ID=34079&amp;curItemNr=1&amp;totalNrItems=1&amp;optDisplay=10&amp;qSORT=HIGHVERSION&amp;qETSI_ALL=&amp;SearchPage=TRUE&amp;qETSI_NUMBER=103+056&amp;qINCLUDE_SUB_TB=True&amp;qINCLUDE_MOVED_ON=&amp;qSTOP_FLG=&amp;qKEYWORD_BOOLEAN=&amp;qSTOPPING_OU"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181</TotalTime>
  <Pages>3</Pages>
  <Words>1354</Words>
  <Characters>7449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Fri - G. Owen</cp:lastModifiedBy>
  <cp:revision>33</cp:revision>
  <cp:lastPrinted>2012-03-19T13:37:00Z</cp:lastPrinted>
  <dcterms:created xsi:type="dcterms:W3CDTF">2012-02-29T09:32:00Z</dcterms:created>
  <dcterms:modified xsi:type="dcterms:W3CDTF">2012-03-19T13:39:00Z</dcterms:modified>
</cp:coreProperties>
</file>