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Land Mobile Earth Stations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11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 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Land Mobile Earth Stations</w:t>
            </w:r>
          </w:p>
        </w:tc>
        <w:tc>
          <w:tcPr>
            <w:tcW w:w="5812" w:type="dxa"/>
          </w:tcPr>
          <w:p w:rsidR="00F829E5" w:rsidRDefault="00F829E5" w:rsidP="00B17C12">
            <w:pPr>
              <w:spacing w:beforeLines="20" w:before="48" w:afterLines="20" w:after="48"/>
              <w:rPr>
                <w:sz w:val="20"/>
              </w:rPr>
            </w:pPr>
            <w:r w:rsidRPr="00C7380A">
              <w:rPr>
                <w:noProof/>
                <w:sz w:val="20"/>
                <w:lang w:val="en-US"/>
              </w:rPr>
              <w:t>providing voice and /or data communications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1 525.0 MHz - 1 544.0 MHz</w:t>
            </w:r>
          </w:p>
          <w:p w:rsidR="00F829E5" w:rsidRPr="00C7380A" w:rsidRDefault="00F829E5" w:rsidP="00B17C12">
            <w:pPr>
              <w:spacing w:beforeLines="20" w:before="48" w:afterLines="20" w:after="48"/>
              <w:rPr>
                <w:noProof/>
                <w:sz w:val="20"/>
              </w:rPr>
            </w:pPr>
            <w:r w:rsidRPr="00C7380A">
              <w:rPr>
                <w:noProof/>
                <w:sz w:val="20"/>
              </w:rPr>
              <w:t>1 555.0 MHz - 1 559.0 MHz</w:t>
            </w:r>
          </w:p>
          <w:p w:rsidR="00F829E5" w:rsidRPr="00C7380A" w:rsidRDefault="00F829E5" w:rsidP="00B17C12">
            <w:pPr>
              <w:spacing w:beforeLines="20" w:before="48" w:afterLines="20" w:after="48"/>
              <w:rPr>
                <w:noProof/>
                <w:sz w:val="20"/>
              </w:rPr>
            </w:pPr>
            <w:r w:rsidRPr="00C7380A">
              <w:rPr>
                <w:noProof/>
                <w:sz w:val="20"/>
              </w:rPr>
              <w:t>1 631.5 MHz - 1 634.5 MHz</w:t>
            </w:r>
          </w:p>
          <w:p w:rsidR="00F829E5" w:rsidRDefault="00F829E5" w:rsidP="00B17C12">
            <w:pPr>
              <w:spacing w:beforeLines="20" w:before="48" w:afterLines="20" w:after="48"/>
              <w:rPr>
                <w:sz w:val="20"/>
                <w:szCs w:val="20"/>
              </w:rPr>
            </w:pPr>
            <w:r w:rsidRPr="00C7380A">
              <w:rPr>
                <w:noProof/>
                <w:sz w:val="20"/>
              </w:rPr>
              <w:t>1 656.5 MHz - 1 660.5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receive 1 (space-to-Earth);</w:t>
            </w:r>
          </w:p>
          <w:p w:rsidR="00F829E5" w:rsidRPr="00C7380A" w:rsidRDefault="00F829E5" w:rsidP="00B17C12">
            <w:pPr>
              <w:spacing w:beforeLines="20" w:before="48" w:afterLines="20" w:after="48"/>
              <w:rPr>
                <w:noProof/>
                <w:sz w:val="20"/>
                <w:lang w:val="en-US"/>
              </w:rPr>
            </w:pPr>
            <w:r w:rsidRPr="00C7380A">
              <w:rPr>
                <w:noProof/>
                <w:sz w:val="20"/>
                <w:lang w:val="en-US"/>
              </w:rPr>
              <w:t>receive 2 (space-to-Earth);</w:t>
            </w:r>
          </w:p>
          <w:p w:rsidR="00F829E5" w:rsidRPr="00C7380A" w:rsidRDefault="00F829E5" w:rsidP="00B17C12">
            <w:pPr>
              <w:spacing w:beforeLines="20" w:before="48" w:afterLines="20" w:after="48"/>
              <w:rPr>
                <w:noProof/>
                <w:sz w:val="20"/>
                <w:lang w:val="en-US"/>
              </w:rPr>
            </w:pPr>
            <w:r w:rsidRPr="00C7380A">
              <w:rPr>
                <w:noProof/>
                <w:sz w:val="20"/>
                <w:lang w:val="en-US"/>
              </w:rPr>
              <w:t>transmit 1 (Earth-to-space);</w:t>
            </w:r>
          </w:p>
          <w:p w:rsidR="00F829E5" w:rsidRDefault="00F829E5" w:rsidP="00B17C12">
            <w:pPr>
              <w:spacing w:beforeLines="20" w:before="48" w:afterLines="20" w:after="48"/>
              <w:rPr>
                <w:sz w:val="20"/>
              </w:rPr>
            </w:pPr>
            <w:r w:rsidRPr="00C7380A">
              <w:rPr>
                <w:noProof/>
                <w:sz w:val="20"/>
                <w:lang w:val="en-US"/>
              </w:rPr>
              <w:t>transmit 2 (Earth-to-space);</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148 dBpW</w:t>
            </w:r>
          </w:p>
          <w:p w:rsidR="00F829E5" w:rsidRPr="00C7380A" w:rsidRDefault="00F829E5" w:rsidP="00B17C12">
            <w:pPr>
              <w:spacing w:beforeLines="20" w:before="48" w:afterLines="20" w:after="48"/>
              <w:rPr>
                <w:noProof/>
                <w:sz w:val="20"/>
              </w:rPr>
            </w:pPr>
            <w:r w:rsidRPr="00C7380A">
              <w:rPr>
                <w:noProof/>
                <w:sz w:val="20"/>
              </w:rPr>
              <w:t>177 - 25 log f dBpW</w:t>
            </w:r>
          </w:p>
          <w:p w:rsidR="00F829E5" w:rsidRDefault="00F829E5" w:rsidP="00B17C12">
            <w:pPr>
              <w:spacing w:beforeLines="20" w:before="48" w:afterLines="20" w:after="48"/>
              <w:rPr>
                <w:sz w:val="20"/>
              </w:rPr>
            </w:pPr>
            <w:r w:rsidRPr="00C7380A">
              <w:rPr>
                <w:noProof/>
                <w:sz w:val="20"/>
              </w:rPr>
              <w:t>130 dBpW</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for φ &lt; 40°;</w:t>
            </w:r>
          </w:p>
          <w:p w:rsidR="00F829E5" w:rsidRPr="00C7380A" w:rsidRDefault="00F829E5" w:rsidP="00B17C12">
            <w:pPr>
              <w:spacing w:beforeLines="20" w:before="48" w:afterLines="20" w:after="48"/>
              <w:rPr>
                <w:noProof/>
                <w:sz w:val="20"/>
                <w:lang w:val="en-US"/>
              </w:rPr>
            </w:pPr>
            <w:r w:rsidRPr="00C7380A">
              <w:rPr>
                <w:noProof/>
                <w:sz w:val="20"/>
                <w:lang w:val="en-US"/>
              </w:rPr>
              <w:t>for 40° &lt; f &lt; 75°;</w:t>
            </w:r>
          </w:p>
          <w:p w:rsidR="00F829E5" w:rsidRPr="00C7380A" w:rsidRDefault="00F829E5" w:rsidP="00B17C12">
            <w:pPr>
              <w:spacing w:beforeLines="20" w:before="48" w:afterLines="20" w:after="48"/>
              <w:rPr>
                <w:noProof/>
                <w:sz w:val="20"/>
                <w:lang w:val="en-US"/>
              </w:rPr>
            </w:pPr>
            <w:r w:rsidRPr="00C7380A">
              <w:rPr>
                <w:noProof/>
                <w:sz w:val="20"/>
                <w:lang w:val="en-US"/>
              </w:rPr>
              <w:t>for φ &gt; 75°;</w:t>
            </w:r>
          </w:p>
          <w:p w:rsidR="00F829E5" w:rsidRPr="00C7380A" w:rsidRDefault="00F829E5" w:rsidP="00B17C12">
            <w:pPr>
              <w:spacing w:beforeLines="20" w:before="48" w:afterLines="20" w:after="48"/>
              <w:rPr>
                <w:noProof/>
                <w:sz w:val="20"/>
                <w:lang w:val="en-US"/>
              </w:rPr>
            </w:pPr>
            <w:r w:rsidRPr="00C7380A">
              <w:rPr>
                <w:noProof/>
                <w:sz w:val="20"/>
                <w:lang w:val="en-US"/>
              </w:rPr>
              <w:t>(Ф is the angle, in degrees, between the main beam axis and the direction considered)</w:t>
            </w:r>
          </w:p>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301 444</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
          <w:footerReference w:type="default" r:id="rId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Land Mobile Earth Stations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xxxx</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 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Land Mobile Earth Stations</w:t>
            </w:r>
          </w:p>
        </w:tc>
        <w:tc>
          <w:tcPr>
            <w:tcW w:w="5812" w:type="dxa"/>
          </w:tcPr>
          <w:p w:rsidR="00F829E5" w:rsidRDefault="00F829E5" w:rsidP="00B17C12">
            <w:pPr>
              <w:spacing w:beforeLines="20" w:before="48" w:afterLines="20" w:after="48"/>
              <w:rPr>
                <w:sz w:val="20"/>
              </w:rPr>
            </w:pPr>
            <w:r w:rsidRPr="00C7380A">
              <w:rPr>
                <w:noProof/>
                <w:sz w:val="20"/>
                <w:lang w:val="en-US"/>
              </w:rPr>
              <w:t>providing voice and /or data communications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1 525.0 MHz - 1 544.0 MHz</w:t>
            </w:r>
          </w:p>
          <w:p w:rsidR="00F829E5" w:rsidRPr="00C7380A" w:rsidRDefault="00F829E5" w:rsidP="00B17C12">
            <w:pPr>
              <w:spacing w:beforeLines="20" w:before="48" w:afterLines="20" w:after="48"/>
              <w:rPr>
                <w:noProof/>
                <w:sz w:val="20"/>
              </w:rPr>
            </w:pPr>
            <w:r w:rsidRPr="00C7380A">
              <w:rPr>
                <w:noProof/>
                <w:sz w:val="20"/>
              </w:rPr>
              <w:t>1 555.0 MHz - 1 559.0 MHz</w:t>
            </w:r>
          </w:p>
          <w:p w:rsidR="00F829E5" w:rsidRPr="00C7380A" w:rsidRDefault="00F829E5" w:rsidP="00B17C12">
            <w:pPr>
              <w:spacing w:beforeLines="20" w:before="48" w:afterLines="20" w:after="48"/>
              <w:rPr>
                <w:noProof/>
                <w:sz w:val="20"/>
              </w:rPr>
            </w:pPr>
            <w:r w:rsidRPr="00C7380A">
              <w:rPr>
                <w:noProof/>
                <w:sz w:val="20"/>
              </w:rPr>
              <w:t>1 631.5 MHz - 1 634.5 MHz</w:t>
            </w:r>
          </w:p>
          <w:p w:rsidR="00F829E5" w:rsidRDefault="00F829E5" w:rsidP="00B17C12">
            <w:pPr>
              <w:spacing w:beforeLines="20" w:before="48" w:afterLines="20" w:after="48"/>
              <w:rPr>
                <w:sz w:val="20"/>
                <w:szCs w:val="20"/>
              </w:rPr>
            </w:pPr>
            <w:r w:rsidRPr="00C7380A">
              <w:rPr>
                <w:noProof/>
                <w:sz w:val="20"/>
              </w:rPr>
              <w:t>1 656.5 MHz - 1 660.5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receive 1 (space-to-Earth);</w:t>
            </w:r>
          </w:p>
          <w:p w:rsidR="00F829E5" w:rsidRPr="00C7380A" w:rsidRDefault="00F829E5" w:rsidP="00B17C12">
            <w:pPr>
              <w:spacing w:beforeLines="20" w:before="48" w:afterLines="20" w:after="48"/>
              <w:rPr>
                <w:noProof/>
                <w:sz w:val="20"/>
                <w:lang w:val="en-US"/>
              </w:rPr>
            </w:pPr>
            <w:r w:rsidRPr="00C7380A">
              <w:rPr>
                <w:noProof/>
                <w:sz w:val="20"/>
                <w:lang w:val="en-US"/>
              </w:rPr>
              <w:t>receive 2 (space-to-Earth);</w:t>
            </w:r>
          </w:p>
          <w:p w:rsidR="00F829E5" w:rsidRPr="00C7380A" w:rsidRDefault="00F829E5" w:rsidP="00B17C12">
            <w:pPr>
              <w:spacing w:beforeLines="20" w:before="48" w:afterLines="20" w:after="48"/>
              <w:rPr>
                <w:noProof/>
                <w:sz w:val="20"/>
                <w:lang w:val="en-US"/>
              </w:rPr>
            </w:pPr>
            <w:r w:rsidRPr="00C7380A">
              <w:rPr>
                <w:noProof/>
                <w:sz w:val="20"/>
                <w:lang w:val="en-US"/>
              </w:rPr>
              <w:t>transmit 1 (Earth-to-space);</w:t>
            </w:r>
          </w:p>
          <w:p w:rsidR="00F829E5" w:rsidRPr="00C7380A" w:rsidRDefault="00F829E5" w:rsidP="00B17C12">
            <w:pPr>
              <w:spacing w:beforeLines="20" w:before="48" w:afterLines="20" w:after="48"/>
              <w:rPr>
                <w:noProof/>
                <w:sz w:val="20"/>
                <w:lang w:val="en-US"/>
              </w:rPr>
            </w:pPr>
            <w:r w:rsidRPr="00C7380A">
              <w:rPr>
                <w:noProof/>
                <w:sz w:val="20"/>
                <w:lang w:val="en-US"/>
              </w:rPr>
              <w:t>transmit 2 (Earth-to-space);</w:t>
            </w:r>
          </w:p>
          <w:p w:rsidR="00F829E5" w:rsidRDefault="00F829E5" w:rsidP="00B17C12">
            <w:pPr>
              <w:spacing w:beforeLines="20" w:before="48" w:afterLines="20" w:after="48"/>
              <w:rPr>
                <w:sz w:val="20"/>
              </w:rPr>
            </w:pPr>
            <w:r w:rsidRPr="00C7380A">
              <w:rPr>
                <w:noProof/>
                <w:sz w:val="20"/>
                <w:lang w:val="en-US"/>
              </w:rPr>
              <w:t>The use of the bands 1 544 – 1 545 MHz (space-to-Earth) and 1 645.5 – 1 646.5 MHz (Earth-to-space) is limited to distress and safety communications.</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148 dBpW</w:t>
            </w:r>
          </w:p>
          <w:p w:rsidR="00F829E5" w:rsidRPr="00C7380A" w:rsidRDefault="00F829E5" w:rsidP="00B17C12">
            <w:pPr>
              <w:spacing w:beforeLines="20" w:before="48" w:afterLines="20" w:after="48"/>
              <w:rPr>
                <w:noProof/>
                <w:sz w:val="20"/>
              </w:rPr>
            </w:pPr>
            <w:r w:rsidRPr="00C7380A">
              <w:rPr>
                <w:noProof/>
                <w:sz w:val="20"/>
              </w:rPr>
              <w:t>177 - 25 log f dBpW</w:t>
            </w:r>
          </w:p>
          <w:p w:rsidR="00F829E5" w:rsidRDefault="00F829E5" w:rsidP="00B17C12">
            <w:pPr>
              <w:spacing w:beforeLines="20" w:before="48" w:afterLines="20" w:after="48"/>
              <w:rPr>
                <w:sz w:val="20"/>
              </w:rPr>
            </w:pPr>
            <w:r w:rsidRPr="00C7380A">
              <w:rPr>
                <w:noProof/>
                <w:sz w:val="20"/>
              </w:rPr>
              <w:t>130 dBpW</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for φ &lt; 40°;</w:t>
            </w:r>
          </w:p>
          <w:p w:rsidR="00F829E5" w:rsidRPr="00C7380A" w:rsidRDefault="00F829E5" w:rsidP="00B17C12">
            <w:pPr>
              <w:spacing w:beforeLines="20" w:before="48" w:afterLines="20" w:after="48"/>
              <w:rPr>
                <w:noProof/>
                <w:sz w:val="20"/>
                <w:lang w:val="en-US"/>
              </w:rPr>
            </w:pPr>
            <w:r w:rsidRPr="00C7380A">
              <w:rPr>
                <w:noProof/>
                <w:sz w:val="20"/>
                <w:lang w:val="en-US"/>
              </w:rPr>
              <w:t>for 40° &lt; f &lt; 75°;</w:t>
            </w:r>
          </w:p>
          <w:p w:rsidR="00F829E5" w:rsidRPr="00C7380A" w:rsidRDefault="00F829E5" w:rsidP="00B17C12">
            <w:pPr>
              <w:spacing w:beforeLines="20" w:before="48" w:afterLines="20" w:after="48"/>
              <w:rPr>
                <w:noProof/>
                <w:sz w:val="20"/>
                <w:lang w:val="en-US"/>
              </w:rPr>
            </w:pPr>
            <w:r w:rsidRPr="00C7380A">
              <w:rPr>
                <w:noProof/>
                <w:sz w:val="20"/>
                <w:lang w:val="en-US"/>
              </w:rPr>
              <w:t>for φ &gt; 75°;</w:t>
            </w:r>
          </w:p>
          <w:p w:rsidR="00F829E5" w:rsidRPr="00C7380A" w:rsidRDefault="00F829E5" w:rsidP="00B17C12">
            <w:pPr>
              <w:spacing w:beforeLines="20" w:before="48" w:afterLines="20" w:after="48"/>
              <w:rPr>
                <w:noProof/>
                <w:sz w:val="20"/>
                <w:lang w:val="en-US"/>
              </w:rPr>
            </w:pPr>
            <w:r w:rsidRPr="00C7380A">
              <w:rPr>
                <w:noProof/>
                <w:sz w:val="20"/>
                <w:lang w:val="en-US"/>
              </w:rPr>
              <w:t>(Ф is the angle, in degrees, between the main beam axis and the direction considered)</w:t>
            </w:r>
          </w:p>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ECC/DEC/(04)09</w:t>
            </w:r>
          </w:p>
          <w:p w:rsidR="00F829E5" w:rsidRPr="00C7380A" w:rsidRDefault="00F829E5" w:rsidP="00B17C12">
            <w:pPr>
              <w:spacing w:beforeLines="20" w:before="48" w:afterLines="20" w:after="48"/>
              <w:rPr>
                <w:noProof/>
                <w:sz w:val="20"/>
                <w:lang w:val="fr-CH"/>
              </w:rPr>
            </w:pPr>
            <w:r w:rsidRPr="00C7380A">
              <w:rPr>
                <w:noProof/>
                <w:sz w:val="20"/>
                <w:lang w:val="fr-CH"/>
              </w:rPr>
              <w:t>ITU RR 5.356 and 5.375</w:t>
            </w:r>
          </w:p>
          <w:p w:rsidR="00F829E5" w:rsidRDefault="00F829E5" w:rsidP="00B17C12">
            <w:pPr>
              <w:spacing w:beforeLines="20" w:before="48" w:afterLines="20" w:after="48"/>
              <w:rPr>
                <w:sz w:val="20"/>
              </w:rPr>
            </w:pPr>
            <w:r w:rsidRPr="00C7380A">
              <w:rPr>
                <w:noProof/>
                <w:sz w:val="20"/>
                <w:lang w:val="fr-CH"/>
              </w:rPr>
              <w:t>Harmonised standard: EN 301 681</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
          <w:footerReference w:type="default" r:id="rId1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Land Mobile Earth Stations operating in the Ku-band</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Land Mobile Earth Stations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10.70 GHz - 11.70 GHz</w:t>
            </w:r>
          </w:p>
          <w:p w:rsidR="00F829E5" w:rsidRPr="00C7380A" w:rsidRDefault="00F829E5" w:rsidP="00B17C12">
            <w:pPr>
              <w:spacing w:beforeLines="20" w:before="48" w:afterLines="20" w:after="48"/>
              <w:rPr>
                <w:noProof/>
                <w:sz w:val="20"/>
              </w:rPr>
            </w:pPr>
            <w:r w:rsidRPr="00C7380A">
              <w:rPr>
                <w:noProof/>
                <w:sz w:val="20"/>
              </w:rPr>
              <w:t>12.50 GHz - 12.75 GHz</w:t>
            </w:r>
          </w:p>
          <w:p w:rsidR="00F829E5" w:rsidRDefault="00F829E5" w:rsidP="00B17C12">
            <w:pPr>
              <w:spacing w:beforeLines="20" w:before="48" w:afterLines="20" w:after="48"/>
              <w:rPr>
                <w:sz w:val="20"/>
                <w:szCs w:val="20"/>
              </w:rPr>
            </w:pPr>
            <w:r w:rsidRPr="00C7380A">
              <w:rPr>
                <w:noProof/>
                <w:sz w:val="20"/>
              </w:rPr>
              <w:t>14.00 GHz - 14.25 GHz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(space-to-Earth)</w:t>
            </w:r>
          </w:p>
          <w:p w:rsidR="00F829E5" w:rsidRPr="00C7380A" w:rsidRDefault="00F829E5" w:rsidP="00B17C12">
            <w:pPr>
              <w:spacing w:beforeLines="20" w:before="48" w:afterLines="20" w:after="48"/>
              <w:rPr>
                <w:noProof/>
                <w:sz w:val="20"/>
                <w:lang w:val="en-US"/>
              </w:rPr>
            </w:pPr>
            <w:r w:rsidRPr="00C7380A">
              <w:rPr>
                <w:noProof/>
                <w:sz w:val="20"/>
                <w:lang w:val="en-US"/>
              </w:rPr>
              <w:t>(space-to-Earth)</w:t>
            </w:r>
          </w:p>
          <w:p w:rsidR="00F829E5" w:rsidRDefault="00F829E5" w:rsidP="00B17C12">
            <w:pPr>
              <w:spacing w:beforeLines="20" w:before="48" w:afterLines="20" w:after="48"/>
              <w:rPr>
                <w:sz w:val="20"/>
              </w:rPr>
            </w:pPr>
            <w:r w:rsidRPr="00C7380A">
              <w:rPr>
                <w:noProof/>
                <w:sz w:val="20"/>
                <w:lang w:val="en-US"/>
              </w:rPr>
              <w:t>(Earth to space)</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33-25 log(φ + δφ)-10 log(K) dBW/40kHz where 2,5° ≤φ</w:t>
            </w:r>
            <w:r w:rsidRPr="00C7380A">
              <w:rPr>
                <w:noProof/>
                <w:sz w:val="20"/>
              </w:rPr>
              <w:t>+ δφ ≤7,0°;</w:t>
            </w:r>
          </w:p>
          <w:p w:rsidR="00F829E5" w:rsidRPr="00C7380A" w:rsidRDefault="00F829E5" w:rsidP="00B17C12">
            <w:pPr>
              <w:spacing w:beforeLines="20" w:before="48" w:afterLines="20" w:after="48"/>
              <w:rPr>
                <w:noProof/>
                <w:sz w:val="20"/>
              </w:rPr>
            </w:pPr>
            <w:r w:rsidRPr="00C7380A">
              <w:rPr>
                <w:noProof/>
                <w:sz w:val="20"/>
              </w:rPr>
              <w:t>+12-10 log(K) dBW/40kHz where 7,0° &lt;φ + δφ  ≤9,2°;</w:t>
            </w:r>
          </w:p>
          <w:p w:rsidR="00F829E5" w:rsidRPr="00C7380A" w:rsidRDefault="00F829E5" w:rsidP="00B17C12">
            <w:pPr>
              <w:spacing w:beforeLines="20" w:before="48" w:afterLines="20" w:after="48"/>
              <w:rPr>
                <w:noProof/>
                <w:sz w:val="20"/>
              </w:rPr>
            </w:pPr>
            <w:r w:rsidRPr="00C7380A">
              <w:rPr>
                <w:noProof/>
                <w:sz w:val="20"/>
              </w:rPr>
              <w:t>36-25 log(φ + δφ )-10 log(K) dBW/40kHz where 9,2° &lt;φ + δφ  ≤48°;</w:t>
            </w:r>
          </w:p>
          <w:p w:rsidR="00F829E5" w:rsidRDefault="00F829E5" w:rsidP="00B17C12">
            <w:pPr>
              <w:spacing w:beforeLines="20" w:before="48" w:afterLines="20" w:after="48"/>
              <w:rPr>
                <w:sz w:val="20"/>
              </w:rPr>
            </w:pPr>
            <w:r w:rsidRPr="00C7380A">
              <w:rPr>
                <w:noProof/>
                <w:sz w:val="20"/>
              </w:rPr>
              <w:t>-6-10 log(K) dBW/40 kHz where 48° &lt;φ + δφ  ≤180°</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φ is the angle, in degrees, between the main beam axis and the direction considered. </w:t>
            </w:r>
          </w:p>
          <w:p w:rsidR="00F829E5" w:rsidRDefault="00F829E5" w:rsidP="00B17C12">
            <w:pPr>
              <w:spacing w:beforeLines="20" w:before="48" w:afterLines="20" w:after="48"/>
              <w:rPr>
                <w:sz w:val="20"/>
              </w:rPr>
            </w:pPr>
            <w:r w:rsidRPr="00C7380A">
              <w:rPr>
                <w:noProof/>
                <w:sz w:val="20"/>
                <w:lang w:val="en-US"/>
              </w:rPr>
              <w:t>K is the power density ratio between the fully loaded system and a single LMES measured in a 40 kHz bandwidth</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301 427</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
          <w:footerReference w:type="default" r:id="rId1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TETRA end-user equipment</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TETRA</w:t>
            </w:r>
          </w:p>
        </w:tc>
        <w:tc>
          <w:tcPr>
            <w:tcW w:w="5812" w:type="dxa"/>
          </w:tcPr>
          <w:p w:rsidR="00F829E5" w:rsidRDefault="00F829E5" w:rsidP="00B17C12">
            <w:pPr>
              <w:spacing w:beforeLines="20" w:before="48" w:afterLines="20" w:after="48"/>
              <w:rPr>
                <w:sz w:val="20"/>
              </w:rPr>
            </w:pPr>
            <w:r w:rsidRPr="00C7380A">
              <w:rPr>
                <w:noProof/>
                <w:sz w:val="20"/>
                <w:lang w:val="en-US"/>
              </w:rPr>
              <w:t>Emergency access end user terminals. Network stations without DMO.</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380 MHz - 385 MHz</w:t>
            </w:r>
          </w:p>
          <w:p w:rsidR="00F829E5" w:rsidRDefault="00F829E5" w:rsidP="00B17C12">
            <w:pPr>
              <w:spacing w:beforeLines="20" w:before="48" w:afterLines="20" w:after="48"/>
              <w:rPr>
                <w:sz w:val="20"/>
                <w:szCs w:val="20"/>
              </w:rPr>
            </w:pPr>
            <w:r w:rsidRPr="00C7380A">
              <w:rPr>
                <w:noProof/>
                <w:sz w:val="20"/>
              </w:rPr>
              <w:t>390 MHz - 395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π/4 shifted Differential Quaternary Phase Shift Keying“ (π/4 DQPSK)</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45 dBm (30W)</w:t>
            </w:r>
          </w:p>
          <w:p w:rsidR="00F829E5" w:rsidRPr="00C7380A" w:rsidRDefault="00F829E5" w:rsidP="00B17C12">
            <w:pPr>
              <w:spacing w:beforeLines="20" w:before="48" w:afterLines="20" w:after="48"/>
              <w:rPr>
                <w:noProof/>
                <w:sz w:val="20"/>
              </w:rPr>
            </w:pPr>
            <w:r w:rsidRPr="00C7380A">
              <w:rPr>
                <w:noProof/>
                <w:sz w:val="20"/>
              </w:rPr>
              <w:t>40 dBm (10W)</w:t>
            </w:r>
          </w:p>
          <w:p w:rsidR="00F829E5" w:rsidRPr="00C7380A" w:rsidRDefault="00F829E5" w:rsidP="00B17C12">
            <w:pPr>
              <w:spacing w:beforeLines="20" w:before="48" w:afterLines="20" w:after="48"/>
              <w:rPr>
                <w:noProof/>
                <w:sz w:val="20"/>
              </w:rPr>
            </w:pPr>
            <w:r w:rsidRPr="00C7380A">
              <w:rPr>
                <w:noProof/>
                <w:sz w:val="20"/>
              </w:rPr>
              <w:t>35 dBm (3W)</w:t>
            </w:r>
          </w:p>
          <w:p w:rsidR="00F829E5" w:rsidRDefault="00F829E5" w:rsidP="00B17C12">
            <w:pPr>
              <w:spacing w:beforeLines="20" w:before="48" w:afterLines="20" w:after="48"/>
              <w:rPr>
                <w:sz w:val="20"/>
              </w:rPr>
            </w:pPr>
            <w:r w:rsidRPr="00C7380A">
              <w:rPr>
                <w:noProof/>
                <w:sz w:val="20"/>
              </w:rPr>
              <w:t>30 dBm (1W)</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power class 1</w:t>
            </w:r>
          </w:p>
          <w:p w:rsidR="00F829E5" w:rsidRPr="00C7380A" w:rsidRDefault="00F829E5" w:rsidP="00B17C12">
            <w:pPr>
              <w:spacing w:beforeLines="20" w:before="48" w:afterLines="20" w:after="48"/>
              <w:rPr>
                <w:noProof/>
                <w:sz w:val="20"/>
                <w:lang w:val="en-US"/>
              </w:rPr>
            </w:pPr>
            <w:r w:rsidRPr="00C7380A">
              <w:rPr>
                <w:noProof/>
                <w:sz w:val="20"/>
                <w:lang w:val="en-US"/>
              </w:rPr>
              <w:t>power class 2</w:t>
            </w:r>
          </w:p>
          <w:p w:rsidR="00F829E5" w:rsidRPr="00C7380A" w:rsidRDefault="00F829E5" w:rsidP="00B17C12">
            <w:pPr>
              <w:spacing w:beforeLines="20" w:before="48" w:afterLines="20" w:after="48"/>
              <w:rPr>
                <w:noProof/>
                <w:sz w:val="20"/>
                <w:lang w:val="en-US"/>
              </w:rPr>
            </w:pPr>
            <w:r w:rsidRPr="00C7380A">
              <w:rPr>
                <w:noProof/>
                <w:sz w:val="20"/>
                <w:lang w:val="en-US"/>
              </w:rPr>
              <w:t>power class 3</w:t>
            </w:r>
          </w:p>
          <w:p w:rsidR="00F829E5" w:rsidRDefault="00F829E5" w:rsidP="00B17C12">
            <w:pPr>
              <w:spacing w:beforeLines="20" w:before="48" w:afterLines="20" w:after="48"/>
              <w:rPr>
                <w:sz w:val="20"/>
              </w:rPr>
            </w:pPr>
            <w:r w:rsidRPr="00C7380A">
              <w:rPr>
                <w:noProof/>
                <w:sz w:val="20"/>
                <w:lang w:val="en-US"/>
              </w:rPr>
              <w:t>power class 4</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303 035</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
          <w:footerReference w:type="default" r:id="rId1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Satellite Personal Communication Earth Stations (S-PCES)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"Satellite-Personal Communications earth stations"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1 610 - 1 613.5 MHz</w:t>
            </w:r>
          </w:p>
          <w:p w:rsidR="00F829E5" w:rsidRPr="00C7380A" w:rsidRDefault="00F829E5" w:rsidP="00B17C12">
            <w:pPr>
              <w:spacing w:beforeLines="20" w:before="48" w:afterLines="20" w:after="48"/>
              <w:rPr>
                <w:noProof/>
                <w:sz w:val="20"/>
              </w:rPr>
            </w:pPr>
            <w:r w:rsidRPr="00C7380A">
              <w:rPr>
                <w:noProof/>
                <w:sz w:val="20"/>
              </w:rPr>
              <w:t>1 613.8 - 1 626.5 MHz</w:t>
            </w:r>
          </w:p>
          <w:p w:rsidR="00F829E5" w:rsidRDefault="00F829E5" w:rsidP="00B17C12">
            <w:pPr>
              <w:spacing w:beforeLines="20" w:before="48" w:afterLines="20" w:after="48"/>
              <w:rPr>
                <w:sz w:val="20"/>
                <w:szCs w:val="20"/>
              </w:rPr>
            </w:pPr>
            <w:r w:rsidRPr="00C7380A">
              <w:rPr>
                <w:noProof/>
                <w:sz w:val="20"/>
              </w:rPr>
              <w:t>2 483.5 - 2 500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transmit (Earth-to-space)</w:t>
            </w:r>
          </w:p>
          <w:p w:rsidR="00F829E5" w:rsidRPr="00C7380A" w:rsidRDefault="00F829E5" w:rsidP="00B17C12">
            <w:pPr>
              <w:spacing w:beforeLines="20" w:before="48" w:afterLines="20" w:after="48"/>
              <w:rPr>
                <w:noProof/>
                <w:sz w:val="20"/>
                <w:lang w:val="en-US"/>
              </w:rPr>
            </w:pPr>
            <w:r w:rsidRPr="00C7380A">
              <w:rPr>
                <w:noProof/>
                <w:sz w:val="20"/>
                <w:lang w:val="en-US"/>
              </w:rPr>
              <w:t>receive (space-to-Earth)</w:t>
            </w:r>
          </w:p>
          <w:p w:rsidR="00F829E5" w:rsidRDefault="00F829E5" w:rsidP="00B17C12">
            <w:pPr>
              <w:spacing w:beforeLines="20" w:before="48" w:afterLines="20" w:after="48"/>
              <w:rPr>
                <w:sz w:val="20"/>
              </w:rPr>
            </w:pPr>
            <w:r w:rsidRPr="00C7380A">
              <w:rPr>
                <w:noProof/>
                <w:sz w:val="20"/>
                <w:lang w:val="en-US"/>
              </w:rPr>
              <w:t>receive (space-to-Earth)</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-3 dB (W/4 kHz), (mean limit)</w:t>
            </w:r>
          </w:p>
          <w:p w:rsidR="00F829E5" w:rsidRDefault="00F829E5" w:rsidP="00B17C12">
            <w:pPr>
              <w:spacing w:beforeLines="20" w:before="48" w:afterLines="20" w:after="48"/>
              <w:rPr>
                <w:sz w:val="20"/>
              </w:rPr>
            </w:pPr>
            <w:r w:rsidRPr="00C7380A">
              <w:rPr>
                <w:noProof/>
                <w:sz w:val="20"/>
              </w:rPr>
              <w:t>-15 dB (W/4 kHz), (peak limit)</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301 441</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
          <w:footerReference w:type="default" r:id="rId1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Satellite Personal Communication Earth Stations (S-PCES)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"Satellite-Personal Communications earth stations"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1 980 - 2 010 MHz</w:t>
            </w:r>
          </w:p>
          <w:p w:rsidR="00F829E5" w:rsidRDefault="00F829E5" w:rsidP="00B17C12">
            <w:pPr>
              <w:spacing w:beforeLines="20" w:before="48" w:afterLines="20" w:after="48"/>
              <w:rPr>
                <w:sz w:val="20"/>
                <w:szCs w:val="20"/>
              </w:rPr>
            </w:pPr>
            <w:r w:rsidRPr="00C7380A">
              <w:rPr>
                <w:noProof/>
                <w:sz w:val="20"/>
              </w:rPr>
              <w:t>2 170 - 2 200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transmit (Earth-to-space);</w:t>
            </w:r>
          </w:p>
          <w:p w:rsidR="00F829E5" w:rsidRDefault="00F829E5" w:rsidP="00B17C12">
            <w:pPr>
              <w:spacing w:beforeLines="20" w:before="48" w:afterLines="20" w:after="48"/>
              <w:rPr>
                <w:sz w:val="20"/>
              </w:rPr>
            </w:pPr>
            <w:r w:rsidRPr="00C7380A">
              <w:rPr>
                <w:noProof/>
                <w:sz w:val="20"/>
                <w:lang w:val="en-US"/>
              </w:rPr>
              <w:t>receive (space-to-Earth);</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301 442</w:t>
            </w:r>
          </w:p>
          <w:p w:rsidR="00F829E5" w:rsidRDefault="00F829E5" w:rsidP="00B17C12">
            <w:pPr>
              <w:spacing w:beforeLines="20" w:before="48" w:afterLines="20" w:after="48"/>
              <w:rPr>
                <w:sz w:val="20"/>
              </w:rPr>
            </w:pPr>
            <w:r w:rsidRPr="00C7380A">
              <w:rPr>
                <w:noProof/>
                <w:sz w:val="20"/>
                <w:lang w:val="fr-CH"/>
              </w:rPr>
              <w:t>Commission Decision 2007/98/EC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
          <w:footerReference w:type="default" r:id="rId1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Low data rate Land Mobile Earth Stations(LMES)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16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Low data rate LMES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1 525.0 MHz - 1 544.0 MHz</w:t>
            </w:r>
          </w:p>
          <w:p w:rsidR="00F829E5" w:rsidRPr="00C7380A" w:rsidRDefault="00F829E5" w:rsidP="00B17C12">
            <w:pPr>
              <w:spacing w:beforeLines="20" w:before="48" w:afterLines="20" w:after="48"/>
              <w:rPr>
                <w:noProof/>
                <w:sz w:val="20"/>
              </w:rPr>
            </w:pPr>
            <w:r w:rsidRPr="00C7380A">
              <w:rPr>
                <w:noProof/>
                <w:sz w:val="20"/>
              </w:rPr>
              <w:t>1 555.0 MHz - 1 559.0 MHz</w:t>
            </w:r>
          </w:p>
          <w:p w:rsidR="00F829E5" w:rsidRPr="00C7380A" w:rsidRDefault="00F829E5" w:rsidP="00B17C12">
            <w:pPr>
              <w:spacing w:beforeLines="20" w:before="48" w:afterLines="20" w:after="48"/>
              <w:rPr>
                <w:noProof/>
                <w:sz w:val="20"/>
              </w:rPr>
            </w:pPr>
            <w:r w:rsidRPr="00C7380A">
              <w:rPr>
                <w:noProof/>
                <w:sz w:val="20"/>
              </w:rPr>
              <w:t>1 626.5 MHz - 1 645.5 MHz</w:t>
            </w:r>
          </w:p>
          <w:p w:rsidR="00F829E5" w:rsidRDefault="00F829E5" w:rsidP="00B17C12">
            <w:pPr>
              <w:spacing w:beforeLines="20" w:before="48" w:afterLines="20" w:after="48"/>
              <w:rPr>
                <w:sz w:val="20"/>
                <w:szCs w:val="20"/>
              </w:rPr>
            </w:pPr>
            <w:r w:rsidRPr="00C7380A">
              <w:rPr>
                <w:noProof/>
                <w:sz w:val="20"/>
              </w:rPr>
              <w:t>1 656.5 MHz - 1 660.5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receive 1 (space-to-Earth);</w:t>
            </w:r>
          </w:p>
          <w:p w:rsidR="00F829E5" w:rsidRPr="00C7380A" w:rsidRDefault="00F829E5" w:rsidP="00B17C12">
            <w:pPr>
              <w:spacing w:beforeLines="20" w:before="48" w:afterLines="20" w:after="48"/>
              <w:rPr>
                <w:noProof/>
                <w:sz w:val="20"/>
                <w:lang w:val="en-US"/>
              </w:rPr>
            </w:pPr>
            <w:r w:rsidRPr="00C7380A">
              <w:rPr>
                <w:noProof/>
                <w:sz w:val="20"/>
                <w:lang w:val="en-US"/>
              </w:rPr>
              <w:t>receive 2 (space-to-Earth);</w:t>
            </w:r>
          </w:p>
          <w:p w:rsidR="00F829E5" w:rsidRPr="00C7380A" w:rsidRDefault="00F829E5" w:rsidP="00B17C12">
            <w:pPr>
              <w:spacing w:beforeLines="20" w:before="48" w:afterLines="20" w:after="48"/>
              <w:rPr>
                <w:noProof/>
                <w:sz w:val="20"/>
                <w:lang w:val="en-US"/>
              </w:rPr>
            </w:pPr>
            <w:r w:rsidRPr="00C7380A">
              <w:rPr>
                <w:noProof/>
                <w:sz w:val="20"/>
                <w:lang w:val="en-US"/>
              </w:rPr>
              <w:t>transmit 1 (Earth-to-space);</w:t>
            </w:r>
          </w:p>
          <w:p w:rsidR="00F829E5" w:rsidRDefault="00F829E5" w:rsidP="00B17C12">
            <w:pPr>
              <w:spacing w:beforeLines="20" w:before="48" w:afterLines="20" w:after="48"/>
              <w:rPr>
                <w:sz w:val="20"/>
              </w:rPr>
            </w:pPr>
            <w:r w:rsidRPr="00C7380A">
              <w:rPr>
                <w:noProof/>
                <w:sz w:val="20"/>
                <w:lang w:val="en-US"/>
              </w:rPr>
              <w:t>transmit 2 (Earth-to-space);</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ECC/DEC/(04)09</w:t>
            </w:r>
          </w:p>
          <w:p w:rsidR="00F829E5" w:rsidRPr="00C7380A" w:rsidRDefault="00F829E5" w:rsidP="00B17C12">
            <w:pPr>
              <w:spacing w:beforeLines="20" w:before="48" w:afterLines="20" w:after="48"/>
              <w:rPr>
                <w:noProof/>
                <w:sz w:val="20"/>
                <w:lang w:val="fr-CH"/>
              </w:rPr>
            </w:pPr>
            <w:r w:rsidRPr="00C7380A">
              <w:rPr>
                <w:noProof/>
                <w:sz w:val="20"/>
                <w:lang w:val="fr-CH"/>
              </w:rPr>
              <w:t>ITU RR 5.356 and 5.375</w:t>
            </w:r>
          </w:p>
          <w:p w:rsidR="00F829E5" w:rsidRDefault="00F829E5" w:rsidP="00B17C12">
            <w:pPr>
              <w:spacing w:beforeLines="20" w:before="48" w:afterLines="20" w:after="48"/>
              <w:rPr>
                <w:sz w:val="20"/>
              </w:rPr>
            </w:pPr>
            <w:r w:rsidRPr="00C7380A">
              <w:rPr>
                <w:noProof/>
                <w:sz w:val="20"/>
                <w:lang w:val="fr-CH"/>
              </w:rPr>
              <w:t>Harmonised Standard: EN 301 426</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
          <w:footerReference w:type="default" r:id="rId2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Low data rate Land Mobile Earth Stations(LMES)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xxxx</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Land Mobile-Satellite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Low data rate LMES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Pr="00C7380A" w:rsidRDefault="00F829E5" w:rsidP="00B17C12">
            <w:pPr>
              <w:spacing w:beforeLines="20" w:before="48" w:afterLines="20" w:after="48"/>
              <w:rPr>
                <w:noProof/>
                <w:sz w:val="20"/>
              </w:rPr>
            </w:pPr>
            <w:r w:rsidRPr="00C7380A">
              <w:rPr>
                <w:noProof/>
                <w:sz w:val="20"/>
              </w:rPr>
              <w:t>1 525.0 MHz - 1 544.0 MHz</w:t>
            </w:r>
          </w:p>
          <w:p w:rsidR="00F829E5" w:rsidRPr="00C7380A" w:rsidRDefault="00F829E5" w:rsidP="00B17C12">
            <w:pPr>
              <w:spacing w:beforeLines="20" w:before="48" w:afterLines="20" w:after="48"/>
              <w:rPr>
                <w:noProof/>
                <w:sz w:val="20"/>
              </w:rPr>
            </w:pPr>
            <w:r w:rsidRPr="00C7380A">
              <w:rPr>
                <w:noProof/>
                <w:sz w:val="20"/>
              </w:rPr>
              <w:t>1 555.0 MHz - 1 559.0 MHz</w:t>
            </w:r>
          </w:p>
          <w:p w:rsidR="00F829E5" w:rsidRPr="00C7380A" w:rsidRDefault="00F829E5" w:rsidP="00B17C12">
            <w:pPr>
              <w:spacing w:beforeLines="20" w:before="48" w:afterLines="20" w:after="48"/>
              <w:rPr>
                <w:noProof/>
                <w:sz w:val="20"/>
              </w:rPr>
            </w:pPr>
            <w:r w:rsidRPr="00C7380A">
              <w:rPr>
                <w:noProof/>
                <w:sz w:val="20"/>
              </w:rPr>
              <w:t>1 626.5 MHz - 1 645.5 MHz</w:t>
            </w:r>
          </w:p>
          <w:p w:rsidR="00F829E5" w:rsidRPr="00C7380A" w:rsidRDefault="00F829E5" w:rsidP="00B17C12">
            <w:pPr>
              <w:spacing w:beforeLines="20" w:before="48" w:afterLines="20" w:after="48"/>
              <w:rPr>
                <w:noProof/>
                <w:sz w:val="20"/>
              </w:rPr>
            </w:pPr>
            <w:r w:rsidRPr="00C7380A">
              <w:rPr>
                <w:noProof/>
                <w:sz w:val="20"/>
              </w:rPr>
              <w:t>1 656.5 MHz - 1 660.5 MHz</w:t>
            </w:r>
          </w:p>
          <w:p w:rsidR="00F829E5" w:rsidRDefault="00F829E5" w:rsidP="00B17C12">
            <w:pPr>
              <w:spacing w:beforeLines="20" w:before="48" w:afterLines="20" w:after="48"/>
              <w:rPr>
                <w:sz w:val="20"/>
                <w:szCs w:val="20"/>
              </w:rPr>
            </w:pPr>
            <w:r w:rsidRPr="00C7380A">
              <w:rPr>
                <w:noProof/>
                <w:sz w:val="20"/>
              </w:rPr>
              <w:t>The use of the bands 1 544 – 1 545 MHz (space-to-Earth) and 1 645.5 – 1 646.5 MHz (Earth-to-space) is limited to distress and safety communications.</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receive 1 (space-to-Earth);</w:t>
            </w:r>
          </w:p>
          <w:p w:rsidR="00F829E5" w:rsidRPr="00C7380A" w:rsidRDefault="00F829E5" w:rsidP="00B17C12">
            <w:pPr>
              <w:spacing w:beforeLines="20" w:before="48" w:afterLines="20" w:after="48"/>
              <w:rPr>
                <w:noProof/>
                <w:sz w:val="20"/>
                <w:lang w:val="en-US"/>
              </w:rPr>
            </w:pPr>
            <w:r w:rsidRPr="00C7380A">
              <w:rPr>
                <w:noProof/>
                <w:sz w:val="20"/>
                <w:lang w:val="en-US"/>
              </w:rPr>
              <w:t>receive 2 (space-to-Earth);</w:t>
            </w:r>
          </w:p>
          <w:p w:rsidR="00F829E5" w:rsidRPr="00C7380A" w:rsidRDefault="00F829E5" w:rsidP="00B17C12">
            <w:pPr>
              <w:spacing w:beforeLines="20" w:before="48" w:afterLines="20" w:after="48"/>
              <w:rPr>
                <w:noProof/>
                <w:sz w:val="20"/>
                <w:lang w:val="en-US"/>
              </w:rPr>
            </w:pPr>
            <w:r w:rsidRPr="00C7380A">
              <w:rPr>
                <w:noProof/>
                <w:sz w:val="20"/>
                <w:lang w:val="en-US"/>
              </w:rPr>
              <w:t>transmit 1 (Earth-to-space);</w:t>
            </w:r>
          </w:p>
          <w:p w:rsidR="00F829E5" w:rsidRDefault="00F829E5" w:rsidP="00B17C12">
            <w:pPr>
              <w:spacing w:beforeLines="20" w:before="48" w:afterLines="20" w:after="48"/>
              <w:rPr>
                <w:sz w:val="20"/>
              </w:rPr>
            </w:pPr>
            <w:r w:rsidRPr="00C7380A">
              <w:rPr>
                <w:noProof/>
                <w:sz w:val="20"/>
                <w:lang w:val="en-US"/>
              </w:rPr>
              <w:t>transmit 2 (Earth-to-space);</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to be defined by the satellite operator</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to be defined by the satellite operator</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301 426</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
          <w:footerReference w:type="default" r:id="rId2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Digital Enhanced Cordless Telephony</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DECT</w:t>
            </w:r>
          </w:p>
        </w:tc>
        <w:tc>
          <w:tcPr>
            <w:tcW w:w="5812" w:type="dxa"/>
          </w:tcPr>
          <w:p w:rsidR="00F829E5" w:rsidRDefault="00F829E5" w:rsidP="00B17C12">
            <w:pPr>
              <w:spacing w:beforeLines="20" w:before="48" w:afterLines="20" w:after="48"/>
              <w:rPr>
                <w:sz w:val="20"/>
              </w:rPr>
            </w:pPr>
            <w:r w:rsidRPr="00C7380A">
              <w:rPr>
                <w:noProof/>
                <w:sz w:val="20"/>
                <w:lang w:val="en-US"/>
              </w:rPr>
              <w:t>user terminal equipment</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1880 MHz – 1900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1728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See EN 301 406</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r w:rsidRPr="00C7380A">
              <w:rPr>
                <w:noProof/>
                <w:sz w:val="20"/>
                <w:lang w:val="fr-CH"/>
              </w:rPr>
              <w:t>TDD</w:t>
            </w:r>
            <w:r>
              <w:rPr>
                <w:sz w:val="20"/>
              </w:rPr>
              <w:t xml:space="preserve"> </w:t>
            </w:r>
          </w:p>
        </w:tc>
        <w:tc>
          <w:tcPr>
            <w:tcW w:w="5812" w:type="dxa"/>
          </w:tcPr>
          <w:p w:rsidR="00F829E5" w:rsidRDefault="00F829E5" w:rsidP="00B17C12">
            <w:pPr>
              <w:spacing w:beforeLines="20" w:before="48" w:afterLines="20" w:after="48"/>
              <w:rPr>
                <w:sz w:val="20"/>
              </w:rPr>
            </w:pPr>
            <w:r w:rsidRPr="00C7380A">
              <w:rPr>
                <w:noProof/>
                <w:sz w:val="20"/>
                <w:lang w:val="en-US"/>
              </w:rPr>
              <w:t>See EN 301 406</w:t>
            </w: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250 mWatt peak e.r.p.</w:t>
            </w:r>
          </w:p>
          <w:p w:rsidR="00F829E5" w:rsidRDefault="00F829E5" w:rsidP="00B17C12">
            <w:pPr>
              <w:spacing w:beforeLines="20" w:before="48" w:afterLines="20" w:after="48"/>
              <w:rPr>
                <w:sz w:val="20"/>
              </w:rPr>
            </w:pPr>
            <w:r w:rsidRPr="00C7380A">
              <w:rPr>
                <w:noProof/>
                <w:sz w:val="20"/>
              </w:rPr>
              <w:t>(peak power over time-slot)</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Type of Antenna:</w:t>
            </w:r>
          </w:p>
          <w:p w:rsidR="00F829E5" w:rsidRDefault="00F829E5" w:rsidP="00B17C12">
            <w:pPr>
              <w:spacing w:beforeLines="20" w:before="48" w:afterLines="20" w:after="48"/>
              <w:rPr>
                <w:sz w:val="20"/>
              </w:rPr>
            </w:pPr>
            <w:r w:rsidRPr="00C7380A">
              <w:rPr>
                <w:noProof/>
                <w:sz w:val="20"/>
                <w:lang w:val="en-US"/>
              </w:rPr>
              <w:t>integral or dedicated</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301 406</w:t>
            </w:r>
          </w:p>
          <w:p w:rsidR="00F829E5" w:rsidRDefault="00F829E5" w:rsidP="00B17C12">
            <w:pPr>
              <w:spacing w:beforeLines="20" w:before="48" w:afterLines="20" w:after="48"/>
              <w:rPr>
                <w:sz w:val="20"/>
              </w:rPr>
            </w:pPr>
            <w:r w:rsidRPr="00C7380A">
              <w:rPr>
                <w:noProof/>
                <w:sz w:val="20"/>
                <w:lang w:val="fr-CH"/>
              </w:rPr>
              <w:t>Council Decision 91/287/EEC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
          <w:footerReference w:type="default" r:id="rId2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19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Non-Specific Short Range Devices</w:t>
            </w:r>
          </w:p>
          <w:p w:rsidR="00F829E5" w:rsidRDefault="00F829E5" w:rsidP="00B17C12">
            <w:pPr>
              <w:spacing w:beforeLines="20" w:before="48" w:afterLines="20" w:after="48"/>
              <w:rPr>
                <w:sz w:val="20"/>
              </w:rPr>
            </w:pPr>
            <w:r w:rsidRPr="00C7380A">
              <w:rPr>
                <w:noProof/>
                <w:sz w:val="20"/>
                <w:lang w:val="en-US"/>
              </w:rPr>
              <w:t>(Video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40.660-40,700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300-220-2</w:t>
            </w:r>
          </w:p>
          <w:p w:rsidR="00F829E5" w:rsidRDefault="00F829E5" w:rsidP="00B17C12">
            <w:pPr>
              <w:spacing w:beforeLines="20" w:before="48" w:afterLines="20" w:after="48"/>
              <w:rPr>
                <w:sz w:val="20"/>
              </w:rPr>
            </w:pPr>
            <w:r w:rsidRPr="00C7380A">
              <w:rPr>
                <w:noProof/>
                <w:sz w:val="20"/>
                <w:lang w:val="fr-CH"/>
              </w:rPr>
              <w:t>Commission Decision 2006/771/EC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6"/>
          <w:footerReference w:type="default" r:id="rId2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40.660 - 40.700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8"/>
          <w:footerReference w:type="default" r:id="rId2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21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2400 MHz – 2483.5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300-220-2</w:t>
            </w:r>
          </w:p>
          <w:p w:rsidR="00F829E5" w:rsidRPr="00C7380A" w:rsidRDefault="00F829E5" w:rsidP="00B17C12">
            <w:pPr>
              <w:spacing w:beforeLines="20" w:before="48" w:afterLines="20" w:after="48"/>
              <w:rPr>
                <w:noProof/>
                <w:sz w:val="20"/>
                <w:lang w:val="fr-CH"/>
              </w:rPr>
            </w:pPr>
            <w:r w:rsidRPr="00C7380A">
              <w:rPr>
                <w:noProof/>
                <w:sz w:val="20"/>
                <w:lang w:val="fr-CH"/>
              </w:rPr>
              <w:t>Commission Decision 2006/771/EC</w:t>
            </w:r>
          </w:p>
          <w:p w:rsidR="00F829E5" w:rsidRDefault="00F829E5" w:rsidP="00B17C12">
            <w:pPr>
              <w:spacing w:beforeLines="20" w:before="48" w:afterLines="20" w:after="48"/>
              <w:rPr>
                <w:sz w:val="20"/>
              </w:rPr>
            </w:pPr>
            <w:r w:rsidRPr="00C7380A">
              <w:rPr>
                <w:noProof/>
                <w:sz w:val="20"/>
                <w:lang w:val="fr-CH"/>
              </w:rPr>
              <w:t>or 2008/432 ?</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30"/>
          <w:footerReference w:type="default" r:id="rId3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4</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2 400–2 483,5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32"/>
          <w:footerReference w:type="default" r:id="rId3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Wideband Data Transmission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Wideband Data Transmission Systems</w:t>
            </w:r>
          </w:p>
        </w:tc>
        <w:tc>
          <w:tcPr>
            <w:tcW w:w="5812" w:type="dxa"/>
          </w:tcPr>
          <w:p w:rsidR="00F829E5" w:rsidRDefault="00F829E5" w:rsidP="00B17C12">
            <w:pPr>
              <w:spacing w:beforeLines="20" w:before="48" w:afterLines="20" w:after="48"/>
              <w:rPr>
                <w:sz w:val="20"/>
              </w:rPr>
            </w:pPr>
            <w:r w:rsidRPr="00C7380A">
              <w:rPr>
                <w:noProof/>
                <w:sz w:val="20"/>
                <w:lang w:val="en-US"/>
              </w:rPr>
              <w:t>Wireless networking devices (including ad-hoc networking) for the transmission of Data (including digitized audio and video). Eg., technologies such as WiFi, BluetoothTM, HomeRFTM, ZigbeeTM, etc.</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2400 – 2454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r w:rsidRPr="00C7380A">
              <w:rPr>
                <w:noProof/>
                <w:sz w:val="20"/>
                <w:lang w:val="en-US"/>
              </w:rPr>
              <w:t>For wide band modulations other than FHSS (e.g. DSSS, OFDM, ..), the maximum e.i.r.p. density is limited to 10 mW/1 MHz</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r w:rsidRPr="00C7380A">
              <w:rPr>
                <w:noProof/>
                <w:sz w:val="20"/>
                <w:lang w:val="en-US"/>
              </w:rPr>
              <w:t>Devices use a medium access protocol designed to facilitate spectrum sharing</w:t>
            </w: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300 328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34"/>
          <w:footerReference w:type="default" r:id="rId3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Wideband data transmission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Wideband data transmission systems</w:t>
            </w:r>
          </w:p>
        </w:tc>
        <w:tc>
          <w:tcPr>
            <w:tcW w:w="5812" w:type="dxa"/>
          </w:tcPr>
          <w:p w:rsidR="00F829E5" w:rsidRDefault="00F829E5" w:rsidP="00B17C12">
            <w:pPr>
              <w:spacing w:beforeLines="20" w:before="48" w:afterLines="20" w:after="48"/>
              <w:rPr>
                <w:sz w:val="20"/>
              </w:rPr>
            </w:pPr>
            <w:r w:rsidRPr="00C7380A">
              <w:rPr>
                <w:noProof/>
                <w:sz w:val="20"/>
                <w:lang w:val="en-US"/>
              </w:rPr>
              <w:t>Wireless networking devices (including ad-hoc networking) for the transmission of Data (including digitized audio and video). Eg., technologies such as WiFi, BluetoothTM, HomeRFTM, ZigbeeTM, etc.</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2 400–2 483,5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 and 100 mW/100 kHz e.i.r.p. density applies when frequency hopping modulation is used, 10 mW/MHz e.i.r.p. density applies when other types of modulation are used</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Commission Decision 2011/829/EC</w:t>
            </w:r>
          </w:p>
          <w:p w:rsidR="00F829E5" w:rsidRDefault="00F829E5" w:rsidP="00B17C12">
            <w:pPr>
              <w:spacing w:beforeLines="20" w:before="48" w:afterLines="20" w:after="48"/>
              <w:rPr>
                <w:sz w:val="20"/>
              </w:rPr>
            </w:pPr>
            <w:r w:rsidRPr="00C7380A">
              <w:rPr>
                <w:noProof/>
                <w:sz w:val="20"/>
                <w:lang w:val="fr-CH"/>
              </w:rPr>
              <w:lastRenderedPageBreak/>
              <w:t>EN 300 328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36"/>
          <w:footerReference w:type="default" r:id="rId3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24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13.553 - 13.567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dBµA/m at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300-330-2</w:t>
            </w:r>
          </w:p>
          <w:p w:rsidR="00F829E5" w:rsidRPr="00C7380A" w:rsidRDefault="00F829E5" w:rsidP="00B17C12">
            <w:pPr>
              <w:spacing w:beforeLines="20" w:before="48" w:afterLines="20" w:after="48"/>
              <w:rPr>
                <w:noProof/>
                <w:sz w:val="20"/>
                <w:lang w:val="fr-CH"/>
              </w:rPr>
            </w:pPr>
            <w:r w:rsidRPr="00C7380A">
              <w:rPr>
                <w:noProof/>
                <w:sz w:val="20"/>
                <w:lang w:val="fr-CH"/>
              </w:rPr>
              <w:t>Commission Decision 2006/771/EC</w:t>
            </w:r>
          </w:p>
          <w:p w:rsidR="00F829E5" w:rsidRDefault="00F829E5" w:rsidP="00B17C12">
            <w:pPr>
              <w:spacing w:beforeLines="20" w:before="48" w:afterLines="20" w:after="48"/>
              <w:rPr>
                <w:sz w:val="20"/>
              </w:rPr>
            </w:pPr>
            <w:r w:rsidRPr="00C7380A">
              <w:rPr>
                <w:noProof/>
                <w:sz w:val="20"/>
                <w:lang w:val="fr-CH"/>
              </w:rPr>
              <w:t>or 2008/432 ?</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38"/>
          <w:footerReference w:type="default" r:id="rId3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13 553–13 567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40"/>
          <w:footerReference w:type="default" r:id="rId4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25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Non-Specific Short Range Devices (Video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26.957 - 27.283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10 mW e.r.p.</w:t>
            </w:r>
          </w:p>
          <w:p w:rsidR="00F829E5" w:rsidRDefault="00F829E5" w:rsidP="00B17C12">
            <w:pPr>
              <w:spacing w:beforeLines="20" w:before="48" w:afterLines="20" w:after="48"/>
              <w:rPr>
                <w:sz w:val="20"/>
              </w:rPr>
            </w:pPr>
            <w:r w:rsidRPr="00C7380A">
              <w:rPr>
                <w:noProof/>
                <w:sz w:val="20"/>
              </w:rPr>
              <w:t>which corresponds to 42 dBµA/m at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300-220-2</w:t>
            </w:r>
          </w:p>
          <w:p w:rsidR="00F829E5" w:rsidRDefault="00F829E5" w:rsidP="00B17C12">
            <w:pPr>
              <w:spacing w:beforeLines="20" w:before="48" w:afterLines="20" w:after="48"/>
              <w:rPr>
                <w:sz w:val="20"/>
              </w:rPr>
            </w:pPr>
            <w:r w:rsidRPr="00C7380A">
              <w:rPr>
                <w:noProof/>
                <w:sz w:val="20"/>
                <w:lang w:val="fr-CH"/>
              </w:rPr>
              <w:t>Commission Decision 2006/771/EC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42"/>
          <w:footerReference w:type="default" r:id="rId4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4</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26.957 - 27.283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effective radiated power (e.r.p.), which corresponds to 42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44"/>
          <w:footerReference w:type="default" r:id="rId4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Movement Detection</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Movement Detection</w:t>
            </w:r>
          </w:p>
        </w:tc>
        <w:tc>
          <w:tcPr>
            <w:tcW w:w="5812" w:type="dxa"/>
          </w:tcPr>
          <w:p w:rsidR="00F829E5" w:rsidRDefault="00F829E5" w:rsidP="00B17C12">
            <w:pPr>
              <w:spacing w:beforeLines="20" w:before="48" w:afterLines="20" w:after="48"/>
              <w:rPr>
                <w:sz w:val="20"/>
              </w:rPr>
            </w:pPr>
            <w:r w:rsidRPr="00C7380A">
              <w:rPr>
                <w:noProof/>
                <w:sz w:val="20"/>
                <w:lang w:val="en-US"/>
              </w:rPr>
              <w:t>Equipment for Detection of movement and equipment for alert</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2446 - 2454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300 440-2 - 3</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46"/>
          <w:footerReference w:type="default" r:id="rId4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Movement Detection</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Movement Detection</w:t>
            </w:r>
          </w:p>
        </w:tc>
        <w:tc>
          <w:tcPr>
            <w:tcW w:w="5812" w:type="dxa"/>
          </w:tcPr>
          <w:p w:rsidR="00F829E5" w:rsidRDefault="00F829E5" w:rsidP="00B17C12">
            <w:pPr>
              <w:spacing w:beforeLines="20" w:before="48" w:afterLines="20" w:after="48"/>
              <w:rPr>
                <w:sz w:val="20"/>
              </w:rPr>
            </w:pPr>
            <w:r w:rsidRPr="00C7380A">
              <w:rPr>
                <w:noProof/>
                <w:sz w:val="20"/>
                <w:lang w:val="en-US"/>
              </w:rPr>
              <w:t>Equipment for Detection of movement and equipment for alert</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24.15 - 24.175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300 440-2 - 3</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48"/>
          <w:footerReference w:type="default" r:id="rId4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28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Non-Specific Short Range Device</w:t>
            </w:r>
          </w:p>
          <w:p w:rsidR="00F829E5" w:rsidRDefault="00F829E5" w:rsidP="00B17C12">
            <w:pPr>
              <w:spacing w:beforeLines="20" w:before="48" w:afterLines="20" w:after="48"/>
              <w:rPr>
                <w:sz w:val="20"/>
              </w:rPr>
            </w:pPr>
            <w:r w:rsidRPr="00C7380A">
              <w:rPr>
                <w:noProof/>
                <w:sz w:val="20"/>
                <w:lang w:val="en-US"/>
              </w:rPr>
              <w:t>(video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868.000 MHz -  868.600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of 1 % may also be used</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300-220-2</w:t>
            </w:r>
          </w:p>
          <w:p w:rsidR="00F829E5" w:rsidRDefault="00F829E5" w:rsidP="00B17C12">
            <w:pPr>
              <w:spacing w:beforeLines="20" w:before="48" w:afterLines="20" w:after="48"/>
              <w:rPr>
                <w:sz w:val="20"/>
              </w:rPr>
            </w:pPr>
            <w:r w:rsidRPr="00C7380A">
              <w:rPr>
                <w:noProof/>
                <w:sz w:val="20"/>
                <w:lang w:val="fr-CH"/>
              </w:rPr>
              <w:t>Commission Decision 2006/771/EC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50"/>
          <w:footerReference w:type="default" r:id="rId5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868,000–868,600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1 % may also be us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52"/>
          <w:footerReference w:type="default" r:id="rId5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29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Non-Specific Short Range Device</w:t>
            </w:r>
          </w:p>
          <w:p w:rsidR="00F829E5" w:rsidRDefault="00F829E5" w:rsidP="00B17C12">
            <w:pPr>
              <w:spacing w:beforeLines="20" w:before="48" w:afterLines="20" w:after="48"/>
              <w:rPr>
                <w:sz w:val="20"/>
              </w:rPr>
            </w:pPr>
            <w:r w:rsidRPr="00C7380A">
              <w:rPr>
                <w:noProof/>
                <w:sz w:val="20"/>
                <w:lang w:val="en-US"/>
              </w:rPr>
              <w:t>(video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868.7 MHz – 869.2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of 0.1 % may also be used</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300-220-2</w:t>
            </w:r>
          </w:p>
          <w:p w:rsidR="00F829E5" w:rsidRDefault="00F829E5" w:rsidP="00B17C12">
            <w:pPr>
              <w:spacing w:beforeLines="20" w:before="48" w:afterLines="20" w:after="48"/>
              <w:rPr>
                <w:sz w:val="20"/>
              </w:rPr>
            </w:pPr>
            <w:r w:rsidRPr="00C7380A">
              <w:rPr>
                <w:noProof/>
                <w:sz w:val="20"/>
                <w:lang w:val="fr-CH"/>
              </w:rPr>
              <w:lastRenderedPageBreak/>
              <w:t>Commission Decision 2006/771/EC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54"/>
          <w:footerReference w:type="default" r:id="rId5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29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4</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868,700–869,200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0,1 % may also be</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56"/>
          <w:footerReference w:type="default" r:id="rId5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30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Non-Specific Short Range Device</w:t>
            </w:r>
          </w:p>
          <w:p w:rsidR="00F829E5" w:rsidRDefault="00F829E5" w:rsidP="00B17C12">
            <w:pPr>
              <w:spacing w:beforeLines="20" w:before="48" w:afterLines="20" w:after="48"/>
              <w:rPr>
                <w:sz w:val="20"/>
              </w:rPr>
            </w:pPr>
            <w:r w:rsidRPr="00C7380A">
              <w:rPr>
                <w:noProof/>
                <w:sz w:val="20"/>
                <w:lang w:val="en-US"/>
              </w:rPr>
              <w:t>(video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869.400 MHz – 869.650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Spacing must be 25 kHz, except that the whole band may also be used as one single channel for high-speed data transmission</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Techniques to access spectrum and mitigate interference that provide at least equivalent performance to</w:t>
            </w:r>
          </w:p>
          <w:p w:rsidR="00F829E5" w:rsidRPr="00C7380A" w:rsidRDefault="00F829E5" w:rsidP="00B17C12">
            <w:pPr>
              <w:spacing w:beforeLines="20" w:before="48" w:afterLines="20" w:after="48"/>
              <w:rPr>
                <w:noProof/>
                <w:sz w:val="20"/>
                <w:lang w:val="en-US"/>
              </w:rPr>
            </w:pPr>
            <w:r w:rsidRPr="00C7380A">
              <w:rPr>
                <w:noProof/>
                <w:sz w:val="20"/>
                <w:lang w:val="en-US"/>
              </w:rPr>
              <w:t>the techniques described in harmonised standards adopted under Directive</w:t>
            </w:r>
          </w:p>
          <w:p w:rsidR="00F829E5" w:rsidRDefault="00F829E5" w:rsidP="00B17C12">
            <w:pPr>
              <w:spacing w:beforeLines="20" w:before="48" w:afterLines="20" w:after="48"/>
              <w:rPr>
                <w:sz w:val="20"/>
              </w:rPr>
            </w:pPr>
            <w:r w:rsidRPr="00C7380A">
              <w:rPr>
                <w:noProof/>
                <w:sz w:val="20"/>
                <w:lang w:val="en-US"/>
              </w:rPr>
              <w:t>1999/5/EC must be used. Alternatively a duty cycle of 10 % may also be used.</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lastRenderedPageBreak/>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 xml:space="preserve">EN 300 220-2 - 2 </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58"/>
          <w:footerReference w:type="default" r:id="rId5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This category is available for any type of application which fulfils the technical conditions (typical uses are telemetry, telecommand, alarms, data in general and other similar applications).</w:t>
            </w:r>
          </w:p>
          <w:p w:rsidR="00F829E5" w:rsidRDefault="00F829E5" w:rsidP="00B17C12">
            <w:pPr>
              <w:spacing w:beforeLines="20" w:before="48" w:afterLines="20" w:after="48"/>
              <w:rPr>
                <w:sz w:val="20"/>
              </w:rPr>
            </w:pPr>
            <w:r w:rsidRPr="00C7380A">
              <w:rPr>
                <w:noProof/>
                <w:sz w:val="20"/>
                <w:lang w:val="en-US"/>
              </w:rPr>
              <w:t>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869,400–869,650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Channel spacing must be 25 kHz, except that the whole band may also be used as a single channel for high-speed data transmission</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10 % may also be u</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lastRenderedPageBreak/>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60"/>
          <w:footerReference w:type="default" r:id="rId6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Non-Specific Short Range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31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Non-Specific Short Range Device</w:t>
            </w:r>
          </w:p>
          <w:p w:rsidR="00F829E5" w:rsidRDefault="00F829E5" w:rsidP="00B17C12">
            <w:pPr>
              <w:spacing w:beforeLines="20" w:before="48" w:afterLines="20" w:after="48"/>
              <w:rPr>
                <w:sz w:val="20"/>
              </w:rPr>
            </w:pPr>
            <w:r w:rsidRPr="00C7380A">
              <w:rPr>
                <w:noProof/>
                <w:sz w:val="20"/>
                <w:lang w:val="en-US"/>
              </w:rPr>
              <w:t>(audio and video applications are excluded)</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869.700 MHz – 870.000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Voice applications allowed with advanced mitigation techniques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300 220-2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62"/>
          <w:footerReference w:type="default" r:id="rId6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This category is available for any type of application which fulfils the technical conditions (typical uses are telemetry, telecommand, alarms, data in general and other similar applications).</w:t>
            </w:r>
          </w:p>
          <w:p w:rsidR="00F829E5" w:rsidRDefault="00F829E5" w:rsidP="00B17C12">
            <w:pPr>
              <w:spacing w:beforeLines="20" w:before="48" w:afterLines="20" w:after="48"/>
              <w:rPr>
                <w:sz w:val="20"/>
              </w:rPr>
            </w:pPr>
            <w:r w:rsidRPr="00C7380A">
              <w:rPr>
                <w:noProof/>
                <w:sz w:val="20"/>
                <w:lang w:val="en-US"/>
              </w:rPr>
              <w:t>Audio and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869,700–870,000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Voice applications allowed with advanced mitigation techniques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64"/>
          <w:footerReference w:type="default" r:id="rId6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bookmarkStart w:id="0" w:name="_GoBack"/>
      <w:bookmarkEnd w:id="0"/>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Short Range Device 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32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868.600 MHz – 868.700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Channel spacing: 25 kHz</w:t>
            </w:r>
          </w:p>
          <w:p w:rsidR="00F829E5" w:rsidRDefault="00F829E5" w:rsidP="00B17C12">
            <w:pPr>
              <w:spacing w:beforeLines="20" w:before="48" w:afterLines="20" w:after="48"/>
              <w:rPr>
                <w:sz w:val="20"/>
                <w:lang w:val="en-US"/>
              </w:rPr>
            </w:pPr>
            <w:r w:rsidRPr="00C7380A">
              <w:rPr>
                <w:noProof/>
                <w:sz w:val="20"/>
                <w:lang w:val="en-US"/>
              </w:rPr>
              <w:t>The whole frequency band may also be used as one single channel for high-speed data transmission</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up:  1 %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300 220-2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66"/>
          <w:footerReference w:type="default" r:id="rId6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868,600–868,700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25 kHz</w:t>
            </w:r>
          </w:p>
          <w:p w:rsidR="00F829E5" w:rsidRDefault="00F829E5" w:rsidP="00B17C12">
            <w:pPr>
              <w:spacing w:beforeLines="20" w:before="48" w:afterLines="20" w:after="48"/>
              <w:rPr>
                <w:sz w:val="20"/>
                <w:lang w:val="en-US"/>
              </w:rPr>
            </w:pPr>
            <w:r w:rsidRPr="00C7380A">
              <w:rPr>
                <w:noProof/>
                <w:sz w:val="20"/>
                <w:lang w:val="en-US"/>
              </w:rPr>
              <w:t>The whole frequency band may also be used as a single channel for high- speed data transmission</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68"/>
          <w:footerReference w:type="default" r:id="rId6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Short Range Device 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33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869.250 MHz – 869.300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Channel spacing: 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0.1 %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300 220-2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70"/>
          <w:footerReference w:type="default" r:id="rId7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869,250–869,300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0,1 %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72"/>
          <w:footerReference w:type="default" r:id="rId7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Short Range Device 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34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869.650 MHz – 869.700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Channel spacing: 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300 220-2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74"/>
          <w:footerReference w:type="default" r:id="rId7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869,650–869,700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76"/>
          <w:footerReference w:type="default" r:id="rId7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Social Alarms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35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Social alarms</w:t>
            </w:r>
          </w:p>
        </w:tc>
        <w:tc>
          <w:tcPr>
            <w:tcW w:w="5812" w:type="dxa"/>
          </w:tcPr>
          <w:p w:rsidR="00F829E5" w:rsidRDefault="00F829E5" w:rsidP="00B17C12">
            <w:pPr>
              <w:spacing w:beforeLines="20" w:before="48" w:afterLines="20" w:after="48"/>
              <w:rPr>
                <w:sz w:val="20"/>
              </w:rPr>
            </w:pPr>
            <w:r w:rsidRPr="00C7380A">
              <w:rPr>
                <w:noProof/>
                <w:sz w:val="20"/>
                <w:lang w:val="en-US"/>
              </w:rPr>
              <w:t>Social alarm devices are used to assist elderly or disabled people living at home when they are in distress.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869.200 MHz – 869.250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Channel spacing: 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0.1 %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300 220-2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78"/>
          <w:footerReference w:type="default" r:id="rId7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Social alarms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Social alarms</w:t>
            </w:r>
          </w:p>
        </w:tc>
        <w:tc>
          <w:tcPr>
            <w:tcW w:w="5812" w:type="dxa"/>
          </w:tcPr>
          <w:p w:rsidR="00F829E5" w:rsidRDefault="00F829E5" w:rsidP="00B17C12">
            <w:pPr>
              <w:spacing w:beforeLines="20" w:before="48" w:afterLines="20" w:after="48"/>
              <w:rPr>
                <w:sz w:val="20"/>
              </w:rPr>
            </w:pPr>
            <w:r w:rsidRPr="00C7380A">
              <w:rPr>
                <w:noProof/>
                <w:sz w:val="20"/>
                <w:lang w:val="en-US"/>
              </w:rPr>
              <w:t>Social alarm devices are used to assist elderly or disabled people living at home when they are in distress.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869,200–869,250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0,1 %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0"/>
          <w:footerReference w:type="default" r:id="rId8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36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20.050 – 59.750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2"/>
          <w:footerReference w:type="default" r:id="rId8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9,000–59,750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4"/>
          <w:footerReference w:type="default" r:id="rId8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37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59.750 – 60.250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6"/>
          <w:footerReference w:type="default" r:id="rId8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59,750–60,250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88"/>
          <w:footerReference w:type="default" r:id="rId8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39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60,250 – 70,000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69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300 330-2 - 2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90"/>
          <w:footerReference w:type="default" r:id="rId9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39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60,250–74,750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92"/>
          <w:footerReference w:type="default" r:id="rId9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70 – 119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94"/>
          <w:footerReference w:type="default" r:id="rId9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40a</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74,750–75,250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96"/>
          <w:footerReference w:type="default" r:id="rId9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40b</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75,250–77,250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98"/>
          <w:footerReference w:type="default" r:id="rId9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40c</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77,250–77,750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0"/>
          <w:footerReference w:type="default" r:id="rId10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77,750–90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2"/>
          <w:footerReference w:type="default" r:id="rId10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40e</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90–119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4"/>
          <w:footerReference w:type="default" r:id="rId10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41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119 – 127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66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6"/>
          <w:footerReference w:type="default" r:id="rId10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119–128,6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66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08"/>
          <w:footerReference w:type="default" r:id="rId10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42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127 – 140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10"/>
          <w:footerReference w:type="default" r:id="rId11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42a</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128,6–129,6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12"/>
          <w:footerReference w:type="default" r:id="rId11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42b</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129,6–135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66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14"/>
          <w:footerReference w:type="default" r:id="rId11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43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5725 – 5875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300 440-2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16"/>
          <w:footerReference w:type="default" r:id="rId11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This category is available for any type of application which fulfils the technical conditions (typical uses are telemetry, telecommand, alarms, data in general and other similar applications).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5 725–5 875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18"/>
          <w:footerReference w:type="default" r:id="rId11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44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6765 - 6795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0"/>
          <w:footerReference w:type="default" r:id="rId12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01.06.2007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for example, devices for car immobilisation, animal identification, alarm systems, cable detection, waste management, personal identification, wireless voice links, access control, proximity sensors, anti-theft systems including RF 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6 765–6 795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2006/771/EC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2"/>
          <w:footerReference w:type="default" r:id="rId12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45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Includes for example car immobilisers, animal identification, alarm systems, cable detection, waste management, personal identification, wireless voice links, access control, proximity sensors, anti-theft systems including RF anti-theft induction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7400 - 8800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9 dBµA/m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EN 300 330-2</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4"/>
          <w:footerReference w:type="default" r:id="rId12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45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Includes for example car immobilisers, animal identification, alarm systems, cable detection, waste management, personal identification, wireless voice links, access control, proximity sensors, anti-theft systems including RF anti-theft induction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7 400–8 800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9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6"/>
          <w:footerReference w:type="default" r:id="rId12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xxxx</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Includes for example car immobilisers, animal identification, alarm systems, cable detection, waste management, personal identification, wireless voice links, access control, proximity sensors, anti-theft systems including RF anti-theft induction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7 400–8 800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9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Commission Decision 2010/368/EC</w:t>
            </w:r>
          </w:p>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28"/>
          <w:footerReference w:type="default" r:id="rId12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46 ?</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30"/>
          <w:footerReference w:type="default" r:id="rId13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Medical Implants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47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the radio part of active implantable medical devices, as defined in Council Directive 90/385/EEC of 20 June 1990 on the approximation of the laws of the Member States relating to active implantable medical devices and their peripheral</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402 - 405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Channel spacing: 25kHz</w:t>
            </w:r>
          </w:p>
          <w:p w:rsidR="00F829E5" w:rsidRPr="00C7380A" w:rsidRDefault="00F829E5" w:rsidP="00B17C12">
            <w:pPr>
              <w:spacing w:beforeLines="20" w:before="48" w:afterLines="20" w:after="48"/>
              <w:rPr>
                <w:noProof/>
                <w:sz w:val="20"/>
                <w:lang w:val="en-US"/>
              </w:rPr>
            </w:pPr>
            <w:r w:rsidRPr="00C7380A">
              <w:rPr>
                <w:noProof/>
                <w:sz w:val="20"/>
                <w:lang w:val="en-US"/>
              </w:rPr>
              <w:t>Other channelling restriction: individual transmitters may combine adjacent channels for increased bandwidth with advanced mitigation techniques that provide at least</w:t>
            </w:r>
          </w:p>
          <w:p w:rsidR="00F829E5" w:rsidRDefault="00F829E5" w:rsidP="00B17C12">
            <w:pPr>
              <w:spacing w:beforeLines="20" w:before="48" w:afterLines="20" w:after="48"/>
              <w:rPr>
                <w:sz w:val="20"/>
                <w:lang w:val="en-US"/>
              </w:rPr>
            </w:pPr>
            <w:r w:rsidRPr="00C7380A">
              <w:rPr>
                <w:noProof/>
                <w:sz w:val="20"/>
                <w:lang w:val="en-US"/>
              </w:rPr>
              <w:t xml:space="preserve"> equivalent performance to the techniques described in harmonised</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µW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 xml:space="preserve">EN 301 839 - 2 </w:t>
            </w:r>
          </w:p>
          <w:p w:rsidR="00F829E5" w:rsidRDefault="00F829E5" w:rsidP="00B17C12">
            <w:pPr>
              <w:spacing w:beforeLines="20" w:before="48" w:afterLines="20" w:after="48"/>
              <w:rPr>
                <w:sz w:val="20"/>
              </w:rPr>
            </w:pPr>
            <w:r w:rsidRPr="00C7380A">
              <w:rPr>
                <w:noProof/>
                <w:sz w:val="20"/>
                <w:lang w:val="fr-CH"/>
              </w:rPr>
              <w:t>Commission Decision 2008432/EC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32"/>
          <w:footerReference w:type="default" r:id="rId13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Active medical implants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3</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w:t>
            </w:r>
          </w:p>
        </w:tc>
        <w:tc>
          <w:tcPr>
            <w:tcW w:w="5812" w:type="dxa"/>
          </w:tcPr>
          <w:p w:rsidR="00F829E5" w:rsidRDefault="00F829E5" w:rsidP="00B17C12">
            <w:pPr>
              <w:spacing w:beforeLines="20" w:before="48" w:afterLines="20" w:after="48"/>
              <w:rPr>
                <w:sz w:val="20"/>
              </w:rPr>
            </w:pPr>
            <w:r w:rsidRPr="00C7380A">
              <w:rPr>
                <w:noProof/>
                <w:sz w:val="20"/>
                <w:lang w:val="en-US"/>
              </w:rPr>
              <w:t>This category covers the radio part of active implantable medical devices, as defined in Council Directive 90/385/EEC of 20 June 1990 on the approximation of the laws of the Member States relating to active implantable medical devices and their peripheral</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402–405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Channel spacing: 25 kHz </w:t>
            </w:r>
          </w:p>
          <w:p w:rsidR="00F829E5" w:rsidRDefault="00F829E5" w:rsidP="00B17C12">
            <w:pPr>
              <w:spacing w:beforeLines="20" w:before="48" w:afterLines="20" w:after="48"/>
              <w:rPr>
                <w:sz w:val="20"/>
                <w:lang w:val="en-US"/>
              </w:rPr>
            </w:pPr>
            <w:r w:rsidRPr="00C7380A">
              <w:rPr>
                <w:noProof/>
                <w:sz w:val="20"/>
                <w:lang w:val="en-US"/>
              </w:rPr>
              <w:t>Individual transmitters may combine adjacent channels for increased bandwidth up to 300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μW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Other techniques to access spectrum or mitigate interference, including bandwidths greater than 300 kHz, can be used provided they result at least in an equivalent performance to the techniques described in harmonised standards adopted under Directive 199</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301 839</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34"/>
          <w:footerReference w:type="default" r:id="rId13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Wireless Audio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48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Wireless Audio applications</w:t>
            </w:r>
          </w:p>
        </w:tc>
        <w:tc>
          <w:tcPr>
            <w:tcW w:w="5812" w:type="dxa"/>
          </w:tcPr>
          <w:p w:rsidR="00F829E5" w:rsidRDefault="00F829E5" w:rsidP="00B17C12">
            <w:pPr>
              <w:spacing w:beforeLines="20" w:before="48" w:afterLines="20" w:after="48"/>
              <w:rPr>
                <w:sz w:val="20"/>
              </w:rPr>
            </w:pPr>
            <w:r w:rsidRPr="00C7380A">
              <w:rPr>
                <w:noProof/>
                <w:sz w:val="20"/>
                <w:lang w:val="en-US"/>
              </w:rPr>
              <w:t>Applications for wireless audio systems, including: cordless loudspeakers; cordless headphones; cordless headphones for portable use, for example portable CD, cassette or radio devices carried on a person; cordless headphones for use in a vehicle, for exa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863 - 865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Pr="00C7380A" w:rsidRDefault="00F829E5" w:rsidP="00B17C12">
            <w:pPr>
              <w:spacing w:beforeLines="20" w:before="48" w:afterLines="20" w:after="48"/>
              <w:rPr>
                <w:noProof/>
                <w:sz w:val="20"/>
                <w:lang w:val="fr-CH"/>
              </w:rPr>
            </w:pPr>
            <w:r w:rsidRPr="00C7380A">
              <w:rPr>
                <w:noProof/>
                <w:sz w:val="20"/>
                <w:lang w:val="fr-CH"/>
              </w:rPr>
              <w:t xml:space="preserve">EN 301 357 - 2 </w:t>
            </w:r>
          </w:p>
          <w:p w:rsidR="00F829E5" w:rsidRDefault="00F829E5" w:rsidP="00B17C12">
            <w:pPr>
              <w:spacing w:beforeLines="20" w:before="48" w:afterLines="20" w:after="48"/>
              <w:rPr>
                <w:sz w:val="20"/>
              </w:rPr>
            </w:pPr>
            <w:r w:rsidRPr="00C7380A">
              <w:rPr>
                <w:noProof/>
                <w:sz w:val="20"/>
                <w:lang w:val="fr-CH"/>
              </w:rPr>
              <w:t>Commission Decision 20086/432771/EC</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36"/>
          <w:footerReference w:type="default" r:id="rId13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Wireless audio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Wireless audio applications</w:t>
            </w:r>
          </w:p>
        </w:tc>
        <w:tc>
          <w:tcPr>
            <w:tcW w:w="5812" w:type="dxa"/>
          </w:tcPr>
          <w:p w:rsidR="00F829E5" w:rsidRDefault="00F829E5" w:rsidP="00B17C12">
            <w:pPr>
              <w:spacing w:beforeLines="20" w:before="48" w:afterLines="20" w:after="48"/>
              <w:rPr>
                <w:sz w:val="20"/>
              </w:rPr>
            </w:pPr>
            <w:r w:rsidRPr="00C7380A">
              <w:rPr>
                <w:noProof/>
                <w:sz w:val="20"/>
                <w:lang w:val="en-US"/>
              </w:rPr>
              <w:t>Applications for wireless audio systems, including: cordless loudspeakers; cordless headphones; cordless headphones for portable use, for example portable CD, cassette or radio devices carried on a person; cordless headphones for use in a vehicle, for exa</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863–865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301 357</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38"/>
          <w:footerReference w:type="default" r:id="rId13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Avalanche Victims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49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Avalanche Victims</w:t>
            </w:r>
          </w:p>
        </w:tc>
        <w:tc>
          <w:tcPr>
            <w:tcW w:w="5812" w:type="dxa"/>
          </w:tcPr>
          <w:p w:rsidR="00F829E5" w:rsidRDefault="00F829E5" w:rsidP="00B17C12">
            <w:pPr>
              <w:spacing w:beforeLines="20" w:before="48" w:afterLines="20" w:after="48"/>
              <w:rPr>
                <w:sz w:val="20"/>
              </w:rPr>
            </w:pPr>
            <w:r w:rsidRPr="00C7380A">
              <w:rPr>
                <w:noProof/>
                <w:sz w:val="20"/>
                <w:lang w:val="en-US"/>
              </w:rPr>
              <w:t>Equipment for detection of avalanche victims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457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Continuous wave (CW) – no modulation</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7 dBµA/m at 10 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300 718 - 3</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0"/>
          <w:footerReference w:type="default" r:id="rId14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 (RTTT)</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50 old</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Radiolocation</w:t>
            </w:r>
          </w:p>
        </w:tc>
        <w:tc>
          <w:tcPr>
            <w:tcW w:w="5812" w:type="dxa"/>
          </w:tcPr>
          <w:p w:rsidR="00F829E5" w:rsidRDefault="00F829E5" w:rsidP="00B17C12">
            <w:pPr>
              <w:spacing w:beforeLines="20" w:before="48" w:afterLines="20" w:after="48"/>
              <w:rPr>
                <w:sz w:val="20"/>
              </w:rPr>
            </w:pPr>
            <w:r w:rsidRPr="00C7380A">
              <w:rPr>
                <w:noProof/>
                <w:sz w:val="20"/>
                <w:lang w:val="en-US"/>
              </w:rPr>
              <w:t>Equipment for Road Transport and Traffic Telematics, scope limited to vehicular or infrastructure radar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76 – 77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55 dBm e.i.r.p.</w:t>
            </w:r>
          </w:p>
        </w:tc>
        <w:tc>
          <w:tcPr>
            <w:tcW w:w="5812" w:type="dxa"/>
          </w:tcPr>
          <w:p w:rsidR="00F829E5" w:rsidRDefault="00F829E5" w:rsidP="00B17C12">
            <w:pPr>
              <w:spacing w:beforeLines="20" w:before="48" w:afterLines="20" w:after="48"/>
              <w:rPr>
                <w:sz w:val="20"/>
              </w:rPr>
            </w:pPr>
            <w:r w:rsidRPr="00C7380A">
              <w:rPr>
                <w:noProof/>
                <w:sz w:val="20"/>
                <w:lang w:val="en-US"/>
              </w:rPr>
              <w:t>50 dBm  average power3.5 dBm  average power for puls radar only</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301 091</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2"/>
          <w:footerReference w:type="default" r:id="rId14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2</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r w:rsidRPr="00C7380A">
              <w:rPr>
                <w:noProof/>
                <w:sz w:val="20"/>
                <w:lang w:val="en-US"/>
              </w:rPr>
              <w:t>Restricted to terrestrial vehicle and infrastructure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76,0–77,0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 xml:space="preserve">55 dBm peak e.i.r.p. and </w:t>
            </w:r>
          </w:p>
          <w:p w:rsidR="00F829E5" w:rsidRPr="00C7380A" w:rsidRDefault="00F829E5" w:rsidP="00B17C12">
            <w:pPr>
              <w:spacing w:beforeLines="20" w:before="48" w:afterLines="20" w:after="48"/>
              <w:rPr>
                <w:noProof/>
                <w:sz w:val="20"/>
              </w:rPr>
            </w:pPr>
            <w:r w:rsidRPr="00C7380A">
              <w:rPr>
                <w:noProof/>
                <w:sz w:val="20"/>
              </w:rPr>
              <w:t xml:space="preserve">50 dBm mean e.i.r.p. and </w:t>
            </w:r>
          </w:p>
          <w:p w:rsidR="00F829E5" w:rsidRDefault="00F829E5" w:rsidP="00B17C12">
            <w:pPr>
              <w:spacing w:beforeLines="20" w:before="48" w:afterLines="20" w:after="48"/>
              <w:rPr>
                <w:sz w:val="20"/>
              </w:rPr>
            </w:pPr>
            <w:r w:rsidRPr="00C7380A">
              <w:rPr>
                <w:noProof/>
                <w:sz w:val="20"/>
              </w:rPr>
              <w:t>23,5 dBm mean e.i.r.p. for pulse radars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301 091</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4"/>
          <w:footerReference w:type="default" r:id="rId14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Private (Professional) Mobile Radio</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03.07</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PMR446</w:t>
            </w:r>
          </w:p>
        </w:tc>
        <w:tc>
          <w:tcPr>
            <w:tcW w:w="5812" w:type="dxa"/>
          </w:tcPr>
          <w:p w:rsidR="00F829E5" w:rsidRDefault="00F829E5" w:rsidP="00B17C12">
            <w:pPr>
              <w:spacing w:beforeLines="20" w:before="48" w:afterLines="20" w:after="48"/>
              <w:rPr>
                <w:sz w:val="20"/>
              </w:rPr>
            </w:pPr>
            <w:r w:rsidRPr="00C7380A">
              <w:rPr>
                <w:noProof/>
                <w:sz w:val="20"/>
                <w:lang w:val="en-US"/>
              </w:rPr>
              <w:t>End user terminals for voice only</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446.0 – 446.1 MHz</w:t>
            </w:r>
          </w:p>
        </w:tc>
        <w:tc>
          <w:tcPr>
            <w:tcW w:w="5812" w:type="dxa"/>
          </w:tcPr>
          <w:p w:rsidR="00F829E5" w:rsidRDefault="00F829E5" w:rsidP="00B17C12">
            <w:pPr>
              <w:spacing w:beforeLines="20" w:before="48" w:afterLines="20" w:after="48"/>
              <w:rPr>
                <w:sz w:val="20"/>
              </w:rPr>
            </w:pPr>
            <w:r w:rsidRPr="00C7380A">
              <w:rPr>
                <w:noProof/>
                <w:sz w:val="20"/>
                <w:lang w:val="en-US"/>
              </w:rPr>
              <w:t>Carrier frequencies: 446.00625, 446.01875, 446.03125, 446.04375, 446.05625, 446.06875, 446.08125, 446.09375 MHz</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12.5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Angle modulation</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500 mW e.r.p.</w:t>
            </w:r>
          </w:p>
        </w:tc>
        <w:tc>
          <w:tcPr>
            <w:tcW w:w="5812" w:type="dxa"/>
          </w:tcPr>
          <w:p w:rsidR="00F829E5" w:rsidRDefault="00F829E5" w:rsidP="00B17C12">
            <w:pPr>
              <w:spacing w:beforeLines="20" w:before="48" w:afterLines="20" w:after="48"/>
              <w:rPr>
                <w:sz w:val="20"/>
              </w:rPr>
            </w:pPr>
            <w:r w:rsidRPr="00C7380A">
              <w:rPr>
                <w:noProof/>
                <w:sz w:val="20"/>
                <w:lang w:val="en-US"/>
              </w:rPr>
              <w:t>Integral antenna only</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300 296-2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6"/>
          <w:footerReference w:type="default" r:id="rId14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52</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r w:rsidRPr="00C7380A">
              <w:rPr>
                <w:noProof/>
                <w:sz w:val="20"/>
                <w:lang w:val="en-US"/>
              </w:rPr>
              <w:t>Automotive Short Range Radars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21.65 - 26.65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Max. 20 dBm peak EIRP.</w:t>
            </w:r>
          </w:p>
          <w:p w:rsidR="00F829E5" w:rsidRDefault="00F829E5" w:rsidP="00B17C12">
            <w:pPr>
              <w:spacing w:beforeLines="20" w:before="48" w:afterLines="20" w:after="48"/>
              <w:rPr>
                <w:sz w:val="20"/>
              </w:rPr>
            </w:pPr>
            <w:r w:rsidRPr="00C7380A">
              <w:rPr>
                <w:noProof/>
                <w:sz w:val="20"/>
              </w:rPr>
              <w:t>Max. -41.3 dBm/MHz average PSD</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302 288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2005/50/EC as amended by Commission Decision 2011/485/EU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48"/>
          <w:footerReference w:type="default" r:id="rId14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53</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r w:rsidRPr="00C7380A">
              <w:rPr>
                <w:noProof/>
                <w:sz w:val="20"/>
                <w:lang w:val="en-US"/>
              </w:rPr>
              <w:t>Automotive Short Range Radars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77 GHz - 81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Max. 55 dBm peak EIRP.</w:t>
            </w:r>
          </w:p>
          <w:p w:rsidR="00F829E5" w:rsidRPr="00C7380A" w:rsidRDefault="00F829E5" w:rsidP="00B17C12">
            <w:pPr>
              <w:spacing w:beforeLines="20" w:before="48" w:afterLines="20" w:after="48"/>
              <w:rPr>
                <w:noProof/>
                <w:sz w:val="20"/>
              </w:rPr>
            </w:pPr>
            <w:r w:rsidRPr="00C7380A">
              <w:rPr>
                <w:noProof/>
                <w:sz w:val="20"/>
              </w:rPr>
              <w:t>Max. 23.5 dBm mean EIRP.</w:t>
            </w:r>
          </w:p>
          <w:p w:rsidR="00F829E5" w:rsidRDefault="00F829E5" w:rsidP="00B17C12">
            <w:pPr>
              <w:spacing w:beforeLines="20" w:before="48" w:afterLines="20" w:after="48"/>
              <w:rPr>
                <w:sz w:val="20"/>
              </w:rPr>
            </w:pPr>
            <w:r w:rsidRPr="00C7380A">
              <w:rPr>
                <w:noProof/>
                <w:sz w:val="20"/>
              </w:rPr>
              <w:t>Max. -3 dBm/MHz mean EIRP power density</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TR 102 263</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2004/545/EC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50"/>
          <w:footerReference w:type="default" r:id="rId15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Wideband data transmission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Wideband data transmission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5470 - 5725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Max. 1 W mean EIRP.</w:t>
            </w:r>
          </w:p>
          <w:p w:rsidR="00F829E5" w:rsidRDefault="00F829E5" w:rsidP="00B17C12">
            <w:pPr>
              <w:spacing w:beforeLines="20" w:before="48" w:afterLines="20" w:after="48"/>
              <w:rPr>
                <w:sz w:val="20"/>
              </w:rPr>
            </w:pPr>
            <w:r w:rsidRPr="00C7380A">
              <w:rPr>
                <w:noProof/>
                <w:sz w:val="20"/>
              </w:rPr>
              <w:t>Max. 50 mW/MHz mean EIRP density in any 1 MHz band.</w:t>
            </w:r>
          </w:p>
        </w:tc>
        <w:tc>
          <w:tcPr>
            <w:tcW w:w="5812" w:type="dxa"/>
          </w:tcPr>
          <w:p w:rsidR="00F829E5" w:rsidRDefault="00F829E5" w:rsidP="00B17C12">
            <w:pPr>
              <w:spacing w:beforeLines="20" w:before="48" w:afterLines="20" w:after="48"/>
              <w:rPr>
                <w:sz w:val="20"/>
              </w:rPr>
            </w:pPr>
            <w:r w:rsidRPr="00C7380A">
              <w:rPr>
                <w:noProof/>
                <w:sz w:val="20"/>
                <w:lang w:val="en-US"/>
              </w:rPr>
              <w:t>shall either employ transmitter power control (TPC), which provides, on average, a mitigation factor of at least 3 dB on the maximum permitted output power of the systems; or if transmitter power control is not in use, the maximum permitted mean EIRP and</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Techniques to access spectrum and mitigate interference that provide at least equivalent performance to the techniques described in harmonised standards adopted under Directive 1999/5/EC must be used </w:t>
            </w:r>
          </w:p>
          <w:p w:rsidR="00F829E5" w:rsidRDefault="00F829E5" w:rsidP="00B17C12">
            <w:pPr>
              <w:spacing w:beforeLines="20" w:before="48" w:afterLines="20" w:after="48"/>
              <w:rPr>
                <w:sz w:val="20"/>
              </w:rPr>
            </w:pPr>
            <w:r w:rsidRPr="00C7380A">
              <w:rPr>
                <w:noProof/>
                <w:sz w:val="20"/>
                <w:lang w:val="en-US"/>
              </w:rPr>
              <w:t>Dwell time limits apply as specified in harmonised st</w:t>
            </w: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301 893</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52"/>
          <w:footerReference w:type="default" r:id="rId15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55</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54"/>
          <w:footerReference w:type="default" r:id="rId15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56</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56"/>
          <w:footerReference w:type="default" r:id="rId15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57</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58"/>
          <w:footerReference w:type="default" r:id="rId15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58</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0"/>
          <w:footerReference w:type="default" r:id="rId16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2"/>
          <w:footerReference w:type="default" r:id="rId16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4"/>
          <w:footerReference w:type="default" r:id="rId16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59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6765 - 6795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6"/>
          <w:footerReference w:type="default" r:id="rId16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13.553 - 13.567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dBµA/m at 10 metres</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68"/>
          <w:footerReference w:type="default" r:id="rId16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Audio and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433,050–434,040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 mW e.r.p. and - 13dBm/10 kHz power density for bandwidth modulation larger than 250 kHz</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Voice applications allowed with advanced mitigation techniques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70"/>
          <w:footerReference w:type="default" r:id="rId17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433,050–434,040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72"/>
          <w:footerReference w:type="default" r:id="rId17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Audio and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434,040–434,790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 mW e.r.p. and - 13dBm/10 kHz power density for bandwidth modulation larger than 250 kHz</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Voice applications allowed with advanced mitigation techniques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74"/>
          <w:footerReference w:type="default" r:id="rId17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434,040–434,790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76"/>
          <w:footerReference w:type="default" r:id="rId17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Audio and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434,040–434,790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Duty cycle max: 100 % subject to channel spacing up to 25 kHz </w:t>
            </w:r>
          </w:p>
          <w:p w:rsidR="00F829E5" w:rsidRDefault="00F829E5" w:rsidP="00B17C12">
            <w:pPr>
              <w:spacing w:beforeLines="20" w:before="48" w:afterLines="20" w:after="48"/>
              <w:rPr>
                <w:sz w:val="20"/>
              </w:rPr>
            </w:pPr>
            <w:r w:rsidRPr="00C7380A">
              <w:rPr>
                <w:noProof/>
                <w:sz w:val="20"/>
                <w:lang w:val="en-US"/>
              </w:rPr>
              <w:t>Voice applications allowed with advanced mitigation techniques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78"/>
          <w:footerReference w:type="default" r:id="rId17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863,000–865,000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0,1 % may also be</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0"/>
          <w:footerReference w:type="default" r:id="rId18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865,000–868,000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1 % may also be us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2"/>
          <w:footerReference w:type="default" r:id="rId18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869,400–869,650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0,1 % may also be</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4"/>
          <w:footerReference w:type="default" r:id="rId18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69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r w:rsidRPr="00C7380A">
              <w:rPr>
                <w:noProof/>
                <w:sz w:val="20"/>
                <w:lang w:val="en-US"/>
              </w:rPr>
              <w:t>Analogue audio applications other than voice are excluded. Analogue video applications are excluded</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869,700–870,000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1 % may also be us</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6"/>
          <w:footerReference w:type="default" r:id="rId18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24,150–24,250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88"/>
          <w:footerReference w:type="default" r:id="rId18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61,0–61,5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305 550</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90"/>
          <w:footerReference w:type="default" r:id="rId19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Alarm systems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Alarm systems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869,300–869,400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92"/>
          <w:footerReference w:type="default" r:id="rId19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140–148,5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37.7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94"/>
          <w:footerReference w:type="default" r:id="rId19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148,5–5 000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 xml:space="preserve">– 15 dBμA/m at 10 metres in any bandwidth of 10 kHz </w:t>
            </w:r>
          </w:p>
          <w:p w:rsidR="00F829E5" w:rsidRDefault="00F829E5" w:rsidP="00B17C12">
            <w:pPr>
              <w:spacing w:beforeLines="20" w:before="48" w:afterLines="20" w:after="48"/>
              <w:rPr>
                <w:sz w:val="20"/>
              </w:rPr>
            </w:pPr>
            <w:r w:rsidRPr="00C7380A">
              <w:rPr>
                <w:noProof/>
                <w:sz w:val="20"/>
              </w:rPr>
              <w:t>Furthermore the total field strength is – 5 dΒμΑ/m at 10 m for systems operating at bandwidths larger than 10 kHz</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96"/>
          <w:footerReference w:type="default" r:id="rId19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400–600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-8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198"/>
          <w:footerReference w:type="default" r:id="rId19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3 155–3 400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13.5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0"/>
          <w:footerReference w:type="default" r:id="rId20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5 000–30 000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Pr="00C7380A" w:rsidRDefault="00F829E5" w:rsidP="00B17C12">
            <w:pPr>
              <w:spacing w:beforeLines="20" w:before="48" w:afterLines="20" w:after="48"/>
              <w:rPr>
                <w:noProof/>
                <w:sz w:val="20"/>
              </w:rPr>
            </w:pPr>
            <w:r w:rsidRPr="00C7380A">
              <w:rPr>
                <w:noProof/>
                <w:sz w:val="20"/>
              </w:rPr>
              <w:t xml:space="preserve">– 20 dBμA/m at 10 metres in any bandwidth of 10 kHz </w:t>
            </w:r>
          </w:p>
          <w:p w:rsidR="00F829E5" w:rsidRDefault="00F829E5" w:rsidP="00B17C12">
            <w:pPr>
              <w:spacing w:beforeLines="20" w:before="48" w:afterLines="20" w:after="48"/>
              <w:rPr>
                <w:sz w:val="20"/>
              </w:rPr>
            </w:pPr>
            <w:r w:rsidRPr="00C7380A">
              <w:rPr>
                <w:noProof/>
                <w:sz w:val="20"/>
              </w:rPr>
              <w:t>Furthermore the total field strength is – 5 dΒμΑ/m at 10 m for systems operating at bandwidths larger than 10 kHz</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2"/>
          <w:footerReference w:type="default" r:id="rId20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10 200–11 000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9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4"/>
          <w:footerReference w:type="default" r:id="rId20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79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r w:rsidRPr="00C7380A">
              <w:rPr>
                <w:noProof/>
                <w:sz w:val="20"/>
                <w:lang w:val="en-US"/>
              </w:rPr>
              <w:t>Only for RFID and EAS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13 553–13 567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60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6"/>
          <w:footerReference w:type="default" r:id="rId20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26 957–27 283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08"/>
          <w:footerReference w:type="default" r:id="rId20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Active medical implants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01.10.2008</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9–315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30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302 195</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2008/432/EC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10"/>
          <w:footerReference w:type="default" r:id="rId21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Active medical implants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w:t>
            </w:r>
          </w:p>
        </w:tc>
        <w:tc>
          <w:tcPr>
            <w:tcW w:w="5812" w:type="dxa"/>
          </w:tcPr>
          <w:p w:rsidR="00F829E5" w:rsidRDefault="00F829E5" w:rsidP="00B17C12">
            <w:pPr>
              <w:spacing w:beforeLines="20" w:before="48" w:afterLines="20" w:after="48"/>
              <w:rPr>
                <w:sz w:val="20"/>
              </w:rPr>
            </w:pPr>
            <w:r w:rsidRPr="00C7380A">
              <w:rPr>
                <w:noProof/>
                <w:sz w:val="20"/>
                <w:lang w:val="en-US"/>
              </w:rPr>
              <w:t>Only for ultra low power medical membrane implants for blood pressure measurements only</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30,0–37,5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302 510</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12"/>
          <w:footerReference w:type="default" r:id="rId21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Active medical implants and associated peripherals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 and associated peripherals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401–402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Channel spacing: 25 kHz </w:t>
            </w:r>
          </w:p>
          <w:p w:rsidR="00F829E5" w:rsidRDefault="00F829E5" w:rsidP="00B17C12">
            <w:pPr>
              <w:spacing w:beforeLines="20" w:before="48" w:afterLines="20" w:after="48"/>
              <w:rPr>
                <w:sz w:val="20"/>
                <w:lang w:val="en-US"/>
              </w:rPr>
            </w:pPr>
            <w:r w:rsidRPr="00C7380A">
              <w:rPr>
                <w:noProof/>
                <w:sz w:val="20"/>
                <w:lang w:val="en-US"/>
              </w:rPr>
              <w:t>Individual transmitters may combine adjacent channels for increased bandwidth up to 100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μW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0,1 % may also be</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302 537</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14"/>
          <w:footerReference w:type="default" r:id="rId21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Active medical implants and associated peripherals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Active medical implants and associated peripherals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405–406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Channel spacing: 25 kHz </w:t>
            </w:r>
          </w:p>
          <w:p w:rsidR="00F829E5" w:rsidRDefault="00F829E5" w:rsidP="00B17C12">
            <w:pPr>
              <w:spacing w:beforeLines="20" w:before="48" w:afterLines="20" w:after="48"/>
              <w:rPr>
                <w:sz w:val="20"/>
                <w:lang w:val="en-US"/>
              </w:rPr>
            </w:pPr>
            <w:r w:rsidRPr="00C7380A">
              <w:rPr>
                <w:noProof/>
                <w:sz w:val="20"/>
                <w:lang w:val="en-US"/>
              </w:rPr>
              <w:t>Individual transmitters may combine adjacent channels for increased bandwidth up to 100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μW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 Alternatively a duty cycle limit of 0,1 % may also be</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302 537</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16"/>
          <w:footerReference w:type="default" r:id="rId21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Animal implantable devices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Animal implantable devices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315–600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Duty cycle max 10 %</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302 536</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18"/>
          <w:footerReference w:type="default" r:id="rId21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Low power FM transmitters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01.11.2010</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Low power FM transmitters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87,5–108,0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Channel spacing up to 200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 nW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301 357</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2010/368/EU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0"/>
          <w:footerReference w:type="default" r:id="rId22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Radio determination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Radio determination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2 400–2 483,5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25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2"/>
          <w:footerReference w:type="default" r:id="rId22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Radio determination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Radio determination applications</w:t>
            </w:r>
          </w:p>
        </w:tc>
        <w:tc>
          <w:tcPr>
            <w:tcW w:w="5812" w:type="dxa"/>
          </w:tcPr>
          <w:p w:rsidR="00F829E5" w:rsidRDefault="00F829E5" w:rsidP="00B17C12">
            <w:pPr>
              <w:spacing w:beforeLines="20" w:before="48" w:afterLines="20" w:after="48"/>
              <w:rPr>
                <w:sz w:val="20"/>
              </w:rPr>
            </w:pPr>
            <w:r w:rsidRPr="00C7380A">
              <w:rPr>
                <w:noProof/>
                <w:sz w:val="20"/>
                <w:lang w:val="en-US"/>
              </w:rPr>
              <w:t>Restricted to ground based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17,1–17,3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26 dBm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r w:rsidRPr="00C7380A">
              <w:rPr>
                <w:noProof/>
                <w:sz w:val="20"/>
                <w:lang w:val="en-US"/>
              </w:rPr>
              <w:t>Techniques to access spectrum and mitigate interference that provide at least equivalent performance to the techniques described in harmonised standards adopted under Directive 1999/5/EC must be used</w:t>
            </w: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4"/>
          <w:footerReference w:type="default" r:id="rId22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Tank level probing radar</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89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Tank level probing radar</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4,5–7,0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24 dBm e.i.r.p.</w:t>
            </w:r>
          </w:p>
        </w:tc>
        <w:tc>
          <w:tcPr>
            <w:tcW w:w="5812" w:type="dxa"/>
          </w:tcPr>
          <w:p w:rsidR="00F829E5" w:rsidRDefault="00F829E5" w:rsidP="00B17C12">
            <w:pPr>
              <w:spacing w:beforeLines="20" w:before="48" w:afterLines="20" w:after="48"/>
              <w:rPr>
                <w:sz w:val="20"/>
              </w:rPr>
            </w:pPr>
            <w:r w:rsidRPr="00C7380A">
              <w:rPr>
                <w:noProof/>
                <w:sz w:val="20"/>
                <w:lang w:val="en-US"/>
              </w:rPr>
              <w:t>The power limit applies inside a closed tank and corresponds to a spectral density of – 41,3 dBm/MHz e.i.r.p. outside a 500 litre test tank.</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302 372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6"/>
          <w:footerReference w:type="default" r:id="rId22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Tank level probing radar</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Tank level probing radar</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8,5–10,6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30 dBm e.i.r.p.</w:t>
            </w:r>
          </w:p>
        </w:tc>
        <w:tc>
          <w:tcPr>
            <w:tcW w:w="5812" w:type="dxa"/>
          </w:tcPr>
          <w:p w:rsidR="00F829E5" w:rsidRDefault="00F829E5" w:rsidP="00B17C12">
            <w:pPr>
              <w:spacing w:beforeLines="20" w:before="48" w:afterLines="20" w:after="48"/>
              <w:rPr>
                <w:sz w:val="20"/>
              </w:rPr>
            </w:pPr>
            <w:r w:rsidRPr="00C7380A">
              <w:rPr>
                <w:noProof/>
                <w:sz w:val="20"/>
                <w:lang w:val="en-US"/>
              </w:rPr>
              <w:t>The power limit applies inside a closed tank and corresponds to a spectral density of – 41,3 dBm/MHz e.i.r.p. outside a 500 litre test tank.</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302 372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28"/>
          <w:footerReference w:type="default" r:id="rId22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Tank level probing radar</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Tank level probing radar</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24,05–27,0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43 dBm e.i.r.p.</w:t>
            </w:r>
          </w:p>
        </w:tc>
        <w:tc>
          <w:tcPr>
            <w:tcW w:w="5812" w:type="dxa"/>
          </w:tcPr>
          <w:p w:rsidR="00F829E5" w:rsidRDefault="00F829E5" w:rsidP="00B17C12">
            <w:pPr>
              <w:spacing w:beforeLines="20" w:before="48" w:afterLines="20" w:after="48"/>
              <w:rPr>
                <w:sz w:val="20"/>
              </w:rPr>
            </w:pPr>
            <w:r w:rsidRPr="00C7380A">
              <w:rPr>
                <w:noProof/>
                <w:sz w:val="20"/>
                <w:lang w:val="en-US"/>
              </w:rPr>
              <w:t>The power limit applies inside a closed tank and corresponds to a spectral density of – 41,3 dBm/MHz e.i.r.p. outside a 500 litre test tank.</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302 372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30"/>
          <w:footerReference w:type="default" r:id="rId23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Tank level probing radar</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Tank level probing radar</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57,0–64,0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43 dBm e.i.r.p.</w:t>
            </w:r>
          </w:p>
        </w:tc>
        <w:tc>
          <w:tcPr>
            <w:tcW w:w="5812" w:type="dxa"/>
          </w:tcPr>
          <w:p w:rsidR="00F829E5" w:rsidRDefault="00F829E5" w:rsidP="00B17C12">
            <w:pPr>
              <w:spacing w:beforeLines="20" w:before="48" w:afterLines="20" w:after="48"/>
              <w:rPr>
                <w:sz w:val="20"/>
              </w:rPr>
            </w:pPr>
            <w:r w:rsidRPr="00C7380A">
              <w:rPr>
                <w:noProof/>
                <w:sz w:val="20"/>
                <w:lang w:val="en-US"/>
              </w:rPr>
              <w:t>The power limit applies inside a closed tank and corresponds to a spectral density of – 41,3 dBm/MHz e.i.r.p. outside a 500 litre test tank.</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302 372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32"/>
          <w:footerReference w:type="default" r:id="rId23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Tank level probing radar</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Tank level probing radar</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75,0–85,0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43 dBm e.i.r.p.</w:t>
            </w:r>
          </w:p>
        </w:tc>
        <w:tc>
          <w:tcPr>
            <w:tcW w:w="5812" w:type="dxa"/>
          </w:tcPr>
          <w:p w:rsidR="00F829E5" w:rsidRDefault="00F829E5" w:rsidP="00B17C12">
            <w:pPr>
              <w:spacing w:beforeLines="20" w:before="48" w:afterLines="20" w:after="48"/>
              <w:rPr>
                <w:sz w:val="20"/>
              </w:rPr>
            </w:pPr>
            <w:r w:rsidRPr="00C7380A">
              <w:rPr>
                <w:noProof/>
                <w:sz w:val="20"/>
                <w:lang w:val="en-US"/>
              </w:rPr>
              <w:t>The power limit applies inside a closed tank and corresponds to a spectral density of – 41,3 dBm/MHz e.i.r.p. outside a 500 litre test tank.</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302 372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34"/>
          <w:footerReference w:type="default" r:id="rId23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Model control</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Model control</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26 990–27 000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36"/>
          <w:footerReference w:type="default" r:id="rId23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Model control</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Model control</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27 040–27 050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38"/>
          <w:footerReference w:type="default" r:id="rId23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Model control</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Model control</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27 090–27 100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0"/>
          <w:footerReference w:type="default" r:id="rId24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Model control</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Model control</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27 140–27 150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2"/>
          <w:footerReference w:type="default" r:id="rId24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Model control</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01.11.2009</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Model control</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27 190–27 200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300 220-2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2009/381/EC</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4"/>
          <w:footerReference w:type="default" r:id="rId24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Private (Professional) Mobile Radio</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99</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xxx</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PMR446 Digital</w:t>
            </w:r>
          </w:p>
        </w:tc>
        <w:tc>
          <w:tcPr>
            <w:tcW w:w="5812" w:type="dxa"/>
          </w:tcPr>
          <w:p w:rsidR="00F829E5" w:rsidRDefault="00F829E5" w:rsidP="00B17C12">
            <w:pPr>
              <w:spacing w:beforeLines="20" w:before="48" w:afterLines="20" w:after="48"/>
              <w:rPr>
                <w:sz w:val="20"/>
              </w:rPr>
            </w:pPr>
            <w:r w:rsidRPr="00C7380A">
              <w:rPr>
                <w:noProof/>
                <w:sz w:val="20"/>
                <w:lang w:val="en-US"/>
              </w:rPr>
              <w:t>End user terminals for voice only</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446.1 – 446.2 MHz</w:t>
            </w: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Carrier frequencies [MHz] for 12.5 kHz channeling:</w:t>
            </w:r>
          </w:p>
          <w:p w:rsidR="00F829E5" w:rsidRPr="00C7380A" w:rsidRDefault="00F829E5" w:rsidP="00B17C12">
            <w:pPr>
              <w:spacing w:beforeLines="20" w:before="48" w:afterLines="20" w:after="48"/>
              <w:rPr>
                <w:noProof/>
                <w:sz w:val="20"/>
                <w:lang w:val="en-US"/>
              </w:rPr>
            </w:pPr>
            <w:r w:rsidRPr="00C7380A">
              <w:rPr>
                <w:noProof/>
                <w:sz w:val="20"/>
                <w:lang w:val="en-US"/>
              </w:rPr>
              <w:t>446.106250; 446.118750; 446.131250; 446.143750; 446.156250; 446.168750; 446.181250; 446.193750</w:t>
            </w:r>
          </w:p>
          <w:p w:rsidR="00F829E5" w:rsidRPr="00C7380A" w:rsidRDefault="00F829E5" w:rsidP="00B17C12">
            <w:pPr>
              <w:spacing w:beforeLines="20" w:before="48" w:afterLines="20" w:after="48"/>
              <w:rPr>
                <w:noProof/>
                <w:sz w:val="20"/>
                <w:lang w:val="en-US"/>
              </w:rPr>
            </w:pPr>
            <w:r w:rsidRPr="00C7380A">
              <w:rPr>
                <w:noProof/>
                <w:sz w:val="20"/>
                <w:lang w:val="en-US"/>
              </w:rPr>
              <w:t xml:space="preserve">Carrier frequencies [MHz] for 6.25 kHz channeling: </w:t>
            </w:r>
          </w:p>
          <w:p w:rsidR="00F829E5" w:rsidRDefault="00F829E5" w:rsidP="00B17C12">
            <w:pPr>
              <w:spacing w:beforeLines="20" w:before="48" w:afterLines="20" w:after="48"/>
              <w:rPr>
                <w:sz w:val="20"/>
              </w:rPr>
            </w:pPr>
            <w:r w:rsidRPr="00C7380A">
              <w:rPr>
                <w:noProof/>
                <w:sz w:val="20"/>
                <w:lang w:val="en-US"/>
              </w:rPr>
              <w:t>446.103125; 446.109375; 446.115625; 446.121875; 446.128125; 446.134375; 446.140625; 446.146875; 446.153125; 446.159375; 446.165625; 446.171875; 446.178125; 446.184375; 446.190625; 446.196875.</w:t>
            </w: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r w:rsidRPr="00C7380A">
              <w:rPr>
                <w:noProof/>
                <w:sz w:val="20"/>
                <w:lang w:val="en-US"/>
              </w:rPr>
              <w:t>6.25 kHz/ 12.5 kHz</w:t>
            </w: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Digital modulation</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500 mW e.r.p.</w:t>
            </w:r>
          </w:p>
        </w:tc>
        <w:tc>
          <w:tcPr>
            <w:tcW w:w="5812" w:type="dxa"/>
          </w:tcPr>
          <w:p w:rsidR="00F829E5" w:rsidRDefault="00F829E5" w:rsidP="00B17C12">
            <w:pPr>
              <w:spacing w:beforeLines="20" w:before="48" w:afterLines="20" w:after="48"/>
              <w:rPr>
                <w:sz w:val="20"/>
              </w:rPr>
            </w:pPr>
            <w:r w:rsidRPr="00C7380A">
              <w:rPr>
                <w:noProof/>
                <w:sz w:val="20"/>
                <w:lang w:val="en-US"/>
              </w:rPr>
              <w:t>Integral antenna only</w:t>
            </w: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301 166</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6"/>
          <w:footerReference w:type="default" r:id="rId24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p>
        </w:tc>
        <w:tc>
          <w:tcPr>
            <w:tcW w:w="2694" w:type="dxa"/>
            <w:vAlign w:val="center"/>
          </w:tcPr>
          <w:p w:rsidR="00F829E5" w:rsidRDefault="00F829E5">
            <w:pPr>
              <w:spacing w:before="100" w:after="100"/>
              <w:rPr>
                <w:b/>
                <w:sz w:val="20"/>
              </w:rPr>
            </w:pPr>
            <w:r>
              <w:rPr>
                <w:b/>
                <w:sz w:val="20"/>
              </w:rPr>
              <w:t xml:space="preserve">Sub-class </w:t>
            </w:r>
          </w:p>
        </w:tc>
        <w:tc>
          <w:tcPr>
            <w:tcW w:w="2126" w:type="dxa"/>
            <w:vAlign w:val="center"/>
          </w:tcPr>
          <w:p w:rsidR="00F829E5" w:rsidRPr="00E41AF0" w:rsidRDefault="00F829E5">
            <w:pPr>
              <w:spacing w:before="100" w:after="100"/>
              <w:rPr>
                <w:b/>
                <w:sz w:val="20"/>
              </w:rPr>
            </w:pPr>
            <w:r>
              <w:rPr>
                <w:b/>
                <w:sz w:val="20"/>
              </w:rPr>
              <w:t xml:space="preserve">Edition </w:t>
            </w:r>
            <w:r>
              <w:rPr>
                <w:b/>
                <w:sz w:val="20"/>
              </w:rPr>
              <w:br/>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48"/>
          <w:footerReference w:type="default" r:id="rId24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Radio frequency identification (RFID)</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100</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Radio frequency identification (RFID)</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2 446–2 454 MHz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500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300 440-2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50"/>
          <w:footerReference w:type="default" r:id="rId25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101</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24,050–24,075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302 858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52"/>
          <w:footerReference w:type="default" r:id="rId25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102</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24,075–24,150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0,1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302 858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54"/>
          <w:footerReference w:type="default" r:id="rId25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103</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r w:rsidRPr="00C7380A">
              <w:rPr>
                <w:noProof/>
                <w:sz w:val="20"/>
                <w:lang w:val="en-US"/>
              </w:rPr>
              <w:t>Restricted to vehicle radars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24,075–24,150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r w:rsidRPr="00C7380A">
              <w:rPr>
                <w:noProof/>
                <w:sz w:val="20"/>
                <w:lang w:val="en-US"/>
              </w:rPr>
              <w:t>Frequency modulation range apply as specified in harmonised standards</w:t>
            </w: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Pr="00C7380A" w:rsidRDefault="00F829E5" w:rsidP="00B17C12">
            <w:pPr>
              <w:spacing w:beforeLines="20" w:before="48" w:afterLines="20" w:after="48"/>
              <w:rPr>
                <w:noProof/>
                <w:sz w:val="20"/>
                <w:lang w:val="en-US"/>
              </w:rPr>
            </w:pPr>
            <w:r w:rsidRPr="00C7380A">
              <w:rPr>
                <w:noProof/>
                <w:sz w:val="20"/>
                <w:lang w:val="en-US"/>
              </w:rPr>
              <w:t xml:space="preserve">Techniques to access spectrum and mitigate interference that provide at least equivalent performance to the techniques described in harmonised standards adopted under Directive 1999/5/EC must be used </w:t>
            </w:r>
          </w:p>
          <w:p w:rsidR="00F829E5" w:rsidRDefault="00F829E5" w:rsidP="00B17C12">
            <w:pPr>
              <w:spacing w:beforeLines="20" w:before="48" w:afterLines="20" w:after="48"/>
              <w:rPr>
                <w:sz w:val="20"/>
              </w:rPr>
            </w:pPr>
            <w:r w:rsidRPr="00C7380A">
              <w:rPr>
                <w:noProof/>
                <w:sz w:val="20"/>
                <w:lang w:val="en-US"/>
              </w:rPr>
              <w:t>Dwell time limits apply as specified in harmonised st</w:t>
            </w: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302 858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56"/>
          <w:footerReference w:type="default" r:id="rId257"/>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104</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24,150–24,250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302 858</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58"/>
          <w:footerReference w:type="default" r:id="rId259"/>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Road transport and traffic telematics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105</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Road transport and traffic telematics</w:t>
            </w:r>
          </w:p>
        </w:tc>
        <w:tc>
          <w:tcPr>
            <w:tcW w:w="5812" w:type="dxa"/>
          </w:tcPr>
          <w:p w:rsidR="00F829E5" w:rsidRDefault="00F829E5" w:rsidP="00B17C12">
            <w:pPr>
              <w:spacing w:beforeLines="20" w:before="48" w:afterLines="20" w:after="48"/>
              <w:rPr>
                <w:sz w:val="20"/>
              </w:rPr>
            </w:pPr>
            <w:r w:rsidRPr="00C7380A">
              <w:rPr>
                <w:noProof/>
                <w:sz w:val="20"/>
                <w:lang w:val="en-US"/>
              </w:rPr>
              <w:t>Restricted to vehicle-to-vehicle, vehicle-to-infrastructure and infrastructure-to- vehicle systems</w:t>
            </w: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63–64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40 dBm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302 686</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60"/>
          <w:footerReference w:type="default" r:id="rId261"/>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Inductive applications</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106</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Inductive applications</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135–140 kHz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42 dBμA/m @ 10m</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300 330-2</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62"/>
          <w:footerReference w:type="default" r:id="rId263"/>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107</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122–123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305 550</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64"/>
          <w:footerReference w:type="default" r:id="rId265"/>
          <w:pgSz w:w="16840" w:h="11907" w:orient="landscape" w:code="9"/>
          <w:pgMar w:top="284" w:right="1418" w:bottom="993" w:left="1701" w:header="708" w:footer="708" w:gutter="0"/>
          <w:pgNumType w:start="1"/>
          <w:cols w:space="708"/>
          <w:noEndnote/>
        </w:sectPr>
      </w:pPr>
    </w:p>
    <w:p w:rsidR="00F829E5" w:rsidRDefault="00F829E5">
      <w:pPr>
        <w:spacing w:before="0" w:after="0"/>
        <w:rPr>
          <w:b/>
          <w:bCs/>
          <w:sz w:val="20"/>
          <w:szCs w:val="20"/>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829E5">
        <w:trPr>
          <w:trHeight w:val="240"/>
        </w:trPr>
        <w:tc>
          <w:tcPr>
            <w:tcW w:w="1702" w:type="dxa"/>
            <w:vAlign w:val="center"/>
          </w:tcPr>
          <w:p w:rsidR="00F829E5" w:rsidRDefault="00F829E5">
            <w:pPr>
              <w:spacing w:before="100" w:after="100"/>
              <w:rPr>
                <w:b/>
                <w:sz w:val="20"/>
              </w:rPr>
            </w:pPr>
            <w:r>
              <w:rPr>
                <w:b/>
                <w:bCs/>
                <w:sz w:val="20"/>
                <w:szCs w:val="20"/>
              </w:rPr>
              <w:t>European Union</w:t>
            </w:r>
          </w:p>
        </w:tc>
        <w:tc>
          <w:tcPr>
            <w:tcW w:w="2976" w:type="dxa"/>
            <w:vAlign w:val="center"/>
          </w:tcPr>
          <w:p w:rsidR="00F829E5" w:rsidRDefault="00F829E5">
            <w:pPr>
              <w:spacing w:before="100" w:after="100"/>
              <w:rPr>
                <w:b/>
                <w:sz w:val="20"/>
              </w:rPr>
            </w:pPr>
            <w:r>
              <w:rPr>
                <w:b/>
                <w:bCs/>
                <w:sz w:val="20"/>
                <w:szCs w:val="20"/>
              </w:rPr>
              <w:t>Radio Interface Specification</w:t>
            </w:r>
          </w:p>
        </w:tc>
        <w:tc>
          <w:tcPr>
            <w:tcW w:w="5103" w:type="dxa"/>
            <w:vAlign w:val="center"/>
          </w:tcPr>
          <w:p w:rsidR="00F829E5" w:rsidRDefault="00F829E5">
            <w:pPr>
              <w:spacing w:before="100" w:after="100"/>
              <w:rPr>
                <w:b/>
                <w:sz w:val="20"/>
              </w:rPr>
            </w:pPr>
            <w:r w:rsidRPr="00C7380A">
              <w:rPr>
                <w:b/>
                <w:noProof/>
                <w:sz w:val="20"/>
              </w:rPr>
              <w:t>Non Specific Short Range Device</w:t>
            </w:r>
          </w:p>
        </w:tc>
        <w:tc>
          <w:tcPr>
            <w:tcW w:w="2694" w:type="dxa"/>
            <w:vAlign w:val="center"/>
          </w:tcPr>
          <w:p w:rsidR="00F829E5" w:rsidRDefault="00F829E5">
            <w:pPr>
              <w:spacing w:before="100" w:after="100"/>
              <w:rPr>
                <w:b/>
                <w:sz w:val="20"/>
              </w:rPr>
            </w:pPr>
            <w:r>
              <w:rPr>
                <w:b/>
                <w:sz w:val="20"/>
              </w:rPr>
              <w:t xml:space="preserve">Sub-class </w:t>
            </w:r>
            <w:r w:rsidRPr="00C7380A">
              <w:rPr>
                <w:b/>
                <w:noProof/>
                <w:sz w:val="20"/>
              </w:rPr>
              <w:t>108</w:t>
            </w:r>
          </w:p>
        </w:tc>
        <w:tc>
          <w:tcPr>
            <w:tcW w:w="2126" w:type="dxa"/>
            <w:vAlign w:val="center"/>
          </w:tcPr>
          <w:p w:rsidR="00F829E5" w:rsidRPr="00E41AF0" w:rsidRDefault="00F829E5">
            <w:pPr>
              <w:spacing w:before="100" w:after="100"/>
              <w:rPr>
                <w:b/>
                <w:sz w:val="20"/>
              </w:rPr>
            </w:pPr>
            <w:r>
              <w:rPr>
                <w:b/>
                <w:sz w:val="20"/>
              </w:rPr>
              <w:t xml:space="preserve">Edition </w:t>
            </w:r>
            <w:r w:rsidRPr="00C7380A">
              <w:rPr>
                <w:b/>
                <w:noProof/>
                <w:sz w:val="20"/>
              </w:rPr>
              <w:t>1</w:t>
            </w:r>
            <w:r>
              <w:rPr>
                <w:b/>
                <w:sz w:val="20"/>
              </w:rPr>
              <w:br/>
            </w:r>
            <w:r w:rsidRPr="00C7380A">
              <w:rPr>
                <w:b/>
                <w:noProof/>
                <w:sz w:val="20"/>
              </w:rPr>
              <w:t>01.06.2012</w:t>
            </w:r>
          </w:p>
        </w:tc>
      </w:tr>
    </w:tbl>
    <w:p w:rsidR="00F829E5" w:rsidRDefault="00F829E5"/>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335"/>
        <w:gridCol w:w="5211"/>
        <w:gridCol w:w="5812"/>
      </w:tblGrid>
      <w:tr w:rsidR="00F829E5">
        <w:trPr>
          <w:trHeight w:val="240"/>
        </w:trPr>
        <w:tc>
          <w:tcPr>
            <w:tcW w:w="709" w:type="dxa"/>
            <w:vAlign w:val="center"/>
          </w:tcPr>
          <w:p w:rsidR="00F829E5" w:rsidRDefault="00F829E5" w:rsidP="00B17C12">
            <w:pPr>
              <w:spacing w:beforeLines="20" w:before="48" w:afterLines="20" w:after="48"/>
              <w:rPr>
                <w:b/>
                <w:sz w:val="20"/>
              </w:rPr>
            </w:pPr>
          </w:p>
        </w:tc>
        <w:tc>
          <w:tcPr>
            <w:tcW w:w="534" w:type="dxa"/>
            <w:vAlign w:val="center"/>
          </w:tcPr>
          <w:p w:rsidR="00F829E5" w:rsidRDefault="00F829E5" w:rsidP="00B17C12">
            <w:pPr>
              <w:spacing w:beforeLines="20" w:before="48" w:afterLines="20" w:after="48"/>
              <w:rPr>
                <w:b/>
                <w:sz w:val="20"/>
              </w:rPr>
            </w:pPr>
            <w:r>
              <w:rPr>
                <w:b/>
                <w:sz w:val="20"/>
              </w:rPr>
              <w:t xml:space="preserve">Nr </w:t>
            </w:r>
          </w:p>
        </w:tc>
        <w:tc>
          <w:tcPr>
            <w:tcW w:w="2335" w:type="dxa"/>
            <w:vAlign w:val="center"/>
          </w:tcPr>
          <w:p w:rsidR="00F829E5" w:rsidRDefault="00F829E5" w:rsidP="00B17C12">
            <w:pPr>
              <w:spacing w:beforeLines="20" w:before="48" w:afterLines="20" w:after="48"/>
              <w:rPr>
                <w:b/>
                <w:sz w:val="20"/>
              </w:rPr>
            </w:pPr>
            <w:r>
              <w:rPr>
                <w:b/>
                <w:sz w:val="20"/>
              </w:rPr>
              <w:t>Parameter</w:t>
            </w:r>
          </w:p>
        </w:tc>
        <w:tc>
          <w:tcPr>
            <w:tcW w:w="5211" w:type="dxa"/>
            <w:vAlign w:val="center"/>
          </w:tcPr>
          <w:p w:rsidR="00F829E5" w:rsidRDefault="00F829E5" w:rsidP="00B17C12">
            <w:pPr>
              <w:spacing w:beforeLines="20" w:before="48" w:afterLines="20" w:after="48"/>
              <w:rPr>
                <w:b/>
                <w:sz w:val="20"/>
              </w:rPr>
            </w:pPr>
            <w:r>
              <w:rPr>
                <w:b/>
                <w:sz w:val="20"/>
              </w:rPr>
              <w:t>Description</w:t>
            </w:r>
          </w:p>
        </w:tc>
        <w:tc>
          <w:tcPr>
            <w:tcW w:w="5812" w:type="dxa"/>
            <w:vAlign w:val="center"/>
          </w:tcPr>
          <w:p w:rsidR="00F829E5" w:rsidRDefault="00F829E5" w:rsidP="00B17C12">
            <w:pPr>
              <w:spacing w:beforeLines="20" w:before="48" w:afterLines="20" w:after="48"/>
              <w:rPr>
                <w:b/>
                <w:sz w:val="20"/>
              </w:rPr>
            </w:pPr>
            <w:r>
              <w:rPr>
                <w:b/>
                <w:sz w:val="20"/>
              </w:rPr>
              <w:t xml:space="preserve">Comments </w:t>
            </w:r>
          </w:p>
        </w:tc>
      </w:tr>
      <w:tr w:rsidR="00F829E5" w:rsidRPr="00F73B02">
        <w:trPr>
          <w:trHeight w:val="560"/>
        </w:trPr>
        <w:tc>
          <w:tcPr>
            <w:tcW w:w="709" w:type="dxa"/>
            <w:vMerge w:val="restart"/>
            <w:textDirection w:val="btLr"/>
          </w:tcPr>
          <w:p w:rsidR="00F829E5" w:rsidRDefault="00F829E5" w:rsidP="00B17C12">
            <w:pPr>
              <w:spacing w:beforeLines="20" w:before="48" w:afterLines="20" w:after="48"/>
              <w:ind w:left="113" w:right="113"/>
              <w:jc w:val="center"/>
              <w:rPr>
                <w:b/>
                <w:sz w:val="20"/>
              </w:rPr>
            </w:pPr>
            <w:r>
              <w:rPr>
                <w:b/>
                <w:sz w:val="20"/>
              </w:rPr>
              <w:t>Normative part</w:t>
            </w:r>
          </w:p>
        </w:tc>
        <w:tc>
          <w:tcPr>
            <w:tcW w:w="534" w:type="dxa"/>
          </w:tcPr>
          <w:p w:rsidR="00F829E5" w:rsidRDefault="00F829E5" w:rsidP="00B17C12">
            <w:pPr>
              <w:spacing w:beforeLines="20" w:before="48" w:afterLines="20" w:after="48"/>
              <w:rPr>
                <w:b/>
                <w:sz w:val="20"/>
              </w:rPr>
            </w:pPr>
            <w:r>
              <w:rPr>
                <w:b/>
                <w:sz w:val="20"/>
              </w:rPr>
              <w:t>1</w:t>
            </w:r>
          </w:p>
        </w:tc>
        <w:tc>
          <w:tcPr>
            <w:tcW w:w="2335" w:type="dxa"/>
          </w:tcPr>
          <w:p w:rsidR="00F829E5" w:rsidRDefault="00F829E5" w:rsidP="00B17C12">
            <w:pPr>
              <w:spacing w:beforeLines="20" w:before="48" w:afterLines="20" w:after="48"/>
              <w:rPr>
                <w:sz w:val="20"/>
                <w:u w:val="single"/>
              </w:rPr>
            </w:pPr>
            <w:r>
              <w:rPr>
                <w:b/>
                <w:bCs/>
                <w:sz w:val="20"/>
              </w:rPr>
              <w:t>Radiocommunication Service</w:t>
            </w:r>
          </w:p>
        </w:tc>
        <w:tc>
          <w:tcPr>
            <w:tcW w:w="5211" w:type="dxa"/>
          </w:tcPr>
          <w:p w:rsidR="00F829E5" w:rsidRPr="00F73B02" w:rsidRDefault="00F829E5" w:rsidP="00B17C12">
            <w:pPr>
              <w:spacing w:beforeLines="20" w:before="48" w:afterLines="20" w:after="48"/>
              <w:rPr>
                <w:sz w:val="20"/>
                <w:lang w:val="fr-CH"/>
              </w:rPr>
            </w:pPr>
            <w:r w:rsidRPr="00C7380A">
              <w:rPr>
                <w:noProof/>
                <w:sz w:val="20"/>
                <w:lang w:val="fr-CH"/>
              </w:rPr>
              <w:t>Mobile Service</w:t>
            </w:r>
            <w:r w:rsidRPr="00F73B02">
              <w:rPr>
                <w:sz w:val="20"/>
                <w:lang w:val="fr-CH"/>
              </w:rPr>
              <w:t xml:space="preserve"> </w:t>
            </w:r>
          </w:p>
        </w:tc>
        <w:tc>
          <w:tcPr>
            <w:tcW w:w="5812" w:type="dxa"/>
          </w:tcPr>
          <w:p w:rsidR="00F829E5" w:rsidRPr="00F73B02" w:rsidRDefault="00F829E5" w:rsidP="00B17C12">
            <w:pPr>
              <w:spacing w:beforeLines="20" w:before="48" w:afterLines="20" w:after="48"/>
              <w:rPr>
                <w:sz w:val="20"/>
                <w:lang w:val="fr-CH"/>
              </w:rPr>
            </w:pPr>
          </w:p>
        </w:tc>
      </w:tr>
      <w:tr w:rsidR="00F829E5">
        <w:trPr>
          <w:trHeight w:val="288"/>
        </w:trPr>
        <w:tc>
          <w:tcPr>
            <w:tcW w:w="709" w:type="dxa"/>
            <w:vMerge/>
          </w:tcPr>
          <w:p w:rsidR="00F829E5" w:rsidRPr="00F73B02" w:rsidRDefault="00F829E5" w:rsidP="00B17C12">
            <w:pPr>
              <w:spacing w:beforeLines="20" w:before="48" w:afterLines="20" w:after="48"/>
              <w:rPr>
                <w:b/>
                <w:sz w:val="20"/>
                <w:lang w:val="fr-CH"/>
              </w:rPr>
            </w:pPr>
          </w:p>
        </w:tc>
        <w:tc>
          <w:tcPr>
            <w:tcW w:w="534" w:type="dxa"/>
          </w:tcPr>
          <w:p w:rsidR="00F829E5" w:rsidRDefault="00F829E5" w:rsidP="00B17C12">
            <w:pPr>
              <w:spacing w:beforeLines="20" w:before="48" w:afterLines="20" w:after="48"/>
              <w:rPr>
                <w:b/>
                <w:sz w:val="20"/>
              </w:rPr>
            </w:pPr>
            <w:r>
              <w:rPr>
                <w:b/>
                <w:sz w:val="20"/>
              </w:rPr>
              <w:t>2</w:t>
            </w:r>
          </w:p>
        </w:tc>
        <w:tc>
          <w:tcPr>
            <w:tcW w:w="2335" w:type="dxa"/>
          </w:tcPr>
          <w:p w:rsidR="00F829E5" w:rsidRDefault="00F829E5" w:rsidP="00B17C12">
            <w:pPr>
              <w:spacing w:beforeLines="20" w:before="48" w:afterLines="20" w:after="48"/>
              <w:rPr>
                <w:sz w:val="20"/>
                <w:u w:val="single"/>
              </w:rPr>
            </w:pPr>
            <w:r>
              <w:rPr>
                <w:b/>
                <w:bCs/>
                <w:sz w:val="20"/>
              </w:rPr>
              <w:t>Application</w:t>
            </w:r>
          </w:p>
        </w:tc>
        <w:tc>
          <w:tcPr>
            <w:tcW w:w="5211" w:type="dxa"/>
          </w:tcPr>
          <w:p w:rsidR="00F829E5" w:rsidRDefault="00F829E5" w:rsidP="00B17C12">
            <w:pPr>
              <w:spacing w:beforeLines="20" w:before="48" w:afterLines="20" w:after="48"/>
              <w:rPr>
                <w:sz w:val="20"/>
              </w:rPr>
            </w:pPr>
            <w:r w:rsidRPr="00C7380A">
              <w:rPr>
                <w:noProof/>
                <w:sz w:val="20"/>
                <w:lang w:val="en-US"/>
              </w:rPr>
              <w:t>Non Specific Short Range Device</w:t>
            </w:r>
          </w:p>
        </w:tc>
        <w:tc>
          <w:tcPr>
            <w:tcW w:w="5812" w:type="dxa"/>
          </w:tcPr>
          <w:p w:rsidR="00F829E5" w:rsidRDefault="00F829E5" w:rsidP="00B17C12">
            <w:pPr>
              <w:spacing w:beforeLines="20" w:before="48" w:afterLines="20" w:after="48"/>
              <w:rPr>
                <w:sz w:val="20"/>
              </w:rPr>
            </w:pPr>
          </w:p>
        </w:tc>
      </w:tr>
      <w:tr w:rsidR="00F829E5">
        <w:trPr>
          <w:trHeight w:val="235"/>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3</w:t>
            </w:r>
          </w:p>
        </w:tc>
        <w:tc>
          <w:tcPr>
            <w:tcW w:w="2335" w:type="dxa"/>
          </w:tcPr>
          <w:p w:rsidR="00F829E5" w:rsidRDefault="00F829E5" w:rsidP="00B17C12">
            <w:pPr>
              <w:spacing w:beforeLines="20" w:before="48" w:afterLines="20" w:after="48"/>
              <w:rPr>
                <w:sz w:val="20"/>
                <w:u w:val="single"/>
              </w:rPr>
            </w:pPr>
            <w:r>
              <w:rPr>
                <w:b/>
                <w:bCs/>
                <w:sz w:val="20"/>
              </w:rPr>
              <w:t>Frequency band</w:t>
            </w:r>
          </w:p>
        </w:tc>
        <w:tc>
          <w:tcPr>
            <w:tcW w:w="5211" w:type="dxa"/>
          </w:tcPr>
          <w:p w:rsidR="00F829E5" w:rsidRDefault="00F829E5" w:rsidP="00B17C12">
            <w:pPr>
              <w:spacing w:beforeLines="20" w:before="48" w:afterLines="20" w:after="48"/>
              <w:rPr>
                <w:sz w:val="20"/>
                <w:szCs w:val="20"/>
              </w:rPr>
            </w:pPr>
            <w:r w:rsidRPr="00C7380A">
              <w:rPr>
                <w:noProof/>
                <w:sz w:val="20"/>
              </w:rPr>
              <w:t>244–246 GHz</w:t>
            </w:r>
          </w:p>
        </w:tc>
        <w:tc>
          <w:tcPr>
            <w:tcW w:w="5812" w:type="dxa"/>
          </w:tcPr>
          <w:p w:rsidR="00F829E5" w:rsidRDefault="00F829E5" w:rsidP="00B17C12">
            <w:pPr>
              <w:spacing w:beforeLines="20" w:before="48" w:afterLines="20" w:after="48"/>
              <w:rPr>
                <w:sz w:val="20"/>
              </w:rPr>
            </w:pPr>
          </w:p>
        </w:tc>
      </w:tr>
      <w:tr w:rsidR="00F829E5">
        <w:trPr>
          <w:trHeight w:val="4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4</w:t>
            </w:r>
          </w:p>
        </w:tc>
        <w:tc>
          <w:tcPr>
            <w:tcW w:w="2335" w:type="dxa"/>
          </w:tcPr>
          <w:p w:rsidR="00F829E5" w:rsidRDefault="00F829E5" w:rsidP="00B17C12">
            <w:pPr>
              <w:spacing w:beforeLines="20" w:before="48" w:afterLines="20" w:after="48"/>
              <w:rPr>
                <w:sz w:val="20"/>
                <w:u w:val="single"/>
              </w:rPr>
            </w:pPr>
            <w:r>
              <w:rPr>
                <w:b/>
                <w:bCs/>
                <w:sz w:val="20"/>
              </w:rPr>
              <w:t>Channelling</w:t>
            </w:r>
          </w:p>
        </w:tc>
        <w:tc>
          <w:tcPr>
            <w:tcW w:w="5211" w:type="dxa"/>
          </w:tcPr>
          <w:p w:rsidR="00F829E5" w:rsidRDefault="00F829E5" w:rsidP="00B17C12">
            <w:pPr>
              <w:spacing w:beforeLines="20" w:before="48" w:afterLines="20" w:after="48"/>
              <w:rPr>
                <w:sz w:val="20"/>
                <w:lang w:val="en-US"/>
              </w:rPr>
            </w:pPr>
          </w:p>
        </w:tc>
        <w:tc>
          <w:tcPr>
            <w:tcW w:w="5812" w:type="dxa"/>
          </w:tcPr>
          <w:p w:rsidR="00F829E5" w:rsidRDefault="00F829E5" w:rsidP="00B17C12">
            <w:pPr>
              <w:spacing w:beforeLines="20" w:before="48" w:afterLines="20" w:after="48"/>
              <w:rPr>
                <w:sz w:val="20"/>
              </w:rPr>
            </w:pPr>
          </w:p>
        </w:tc>
      </w:tr>
      <w:tr w:rsidR="00F829E5">
        <w:trPr>
          <w:trHeight w:val="51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5</w:t>
            </w:r>
          </w:p>
        </w:tc>
        <w:tc>
          <w:tcPr>
            <w:tcW w:w="2335" w:type="dxa"/>
          </w:tcPr>
          <w:p w:rsidR="00F829E5" w:rsidRDefault="00F829E5" w:rsidP="00B17C12">
            <w:pPr>
              <w:spacing w:beforeLines="20" w:before="48" w:afterLines="20" w:after="48"/>
              <w:rPr>
                <w:b/>
                <w:bCs/>
                <w:sz w:val="20"/>
              </w:rPr>
            </w:pPr>
            <w:r>
              <w:rPr>
                <w:b/>
                <w:bCs/>
                <w:sz w:val="20"/>
              </w:rPr>
              <w:t xml:space="preserve">Modulation / </w:t>
            </w:r>
            <w:r>
              <w:rPr>
                <w:b/>
                <w:bCs/>
                <w:sz w:val="20"/>
              </w:rPr>
              <w:br/>
              <w:t xml:space="preserve">Occupied bandwidth </w:t>
            </w:r>
          </w:p>
        </w:tc>
        <w:tc>
          <w:tcPr>
            <w:tcW w:w="5211" w:type="dxa"/>
          </w:tcPr>
          <w:p w:rsidR="00F829E5" w:rsidRDefault="00F829E5" w:rsidP="00B17C12">
            <w:pPr>
              <w:spacing w:beforeLines="20" w:before="48" w:afterLines="20" w:after="48"/>
              <w:rPr>
                <w:i/>
                <w:sz w:val="16"/>
                <w:szCs w:val="16"/>
                <w:lang w:val="en-US"/>
              </w:rPr>
            </w:pPr>
          </w:p>
        </w:tc>
        <w:tc>
          <w:tcPr>
            <w:tcW w:w="5812" w:type="dxa"/>
          </w:tcPr>
          <w:p w:rsidR="00F829E5" w:rsidRDefault="00F829E5" w:rsidP="00B17C12">
            <w:pPr>
              <w:spacing w:beforeLines="20" w:before="48" w:afterLines="20" w:after="48"/>
              <w:rPr>
                <w:sz w:val="20"/>
              </w:rPr>
            </w:pPr>
          </w:p>
        </w:tc>
      </w:tr>
      <w:tr w:rsidR="00F829E5">
        <w:trPr>
          <w:trHeight w:val="543"/>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6</w:t>
            </w:r>
          </w:p>
        </w:tc>
        <w:tc>
          <w:tcPr>
            <w:tcW w:w="2335" w:type="dxa"/>
          </w:tcPr>
          <w:p w:rsidR="00F829E5" w:rsidRDefault="00F829E5" w:rsidP="00B17C12">
            <w:pPr>
              <w:spacing w:beforeLines="20" w:before="48" w:afterLines="20" w:after="48"/>
              <w:rPr>
                <w:sz w:val="20"/>
                <w:u w:val="single"/>
                <w:lang w:val="en-US"/>
              </w:rPr>
            </w:pPr>
            <w:r>
              <w:rPr>
                <w:b/>
                <w:bCs/>
                <w:sz w:val="20"/>
                <w:lang w:val="en-US"/>
              </w:rPr>
              <w:t xml:space="preserve">Direction / </w:t>
            </w:r>
            <w:r>
              <w:rPr>
                <w:b/>
                <w:bCs/>
                <w:sz w:val="20"/>
                <w:lang w:val="en-US"/>
              </w:rPr>
              <w:br/>
              <w:t>Separation</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580"/>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7</w:t>
            </w:r>
          </w:p>
        </w:tc>
        <w:tc>
          <w:tcPr>
            <w:tcW w:w="2335" w:type="dxa"/>
          </w:tcPr>
          <w:p w:rsidR="00F829E5" w:rsidRDefault="00F829E5" w:rsidP="00B17C12">
            <w:pPr>
              <w:spacing w:beforeLines="20" w:before="48" w:afterLines="20" w:after="48"/>
              <w:rPr>
                <w:sz w:val="20"/>
                <w:u w:val="single"/>
              </w:rPr>
            </w:pPr>
            <w:r>
              <w:rPr>
                <w:b/>
                <w:bCs/>
                <w:sz w:val="20"/>
              </w:rPr>
              <w:t>Transmit power / Power density</w:t>
            </w:r>
          </w:p>
        </w:tc>
        <w:tc>
          <w:tcPr>
            <w:tcW w:w="5211" w:type="dxa"/>
          </w:tcPr>
          <w:p w:rsidR="00F829E5" w:rsidRDefault="00F829E5" w:rsidP="00B17C12">
            <w:pPr>
              <w:spacing w:beforeLines="20" w:before="48" w:afterLines="20" w:after="48"/>
              <w:rPr>
                <w:sz w:val="20"/>
              </w:rPr>
            </w:pPr>
            <w:r w:rsidRPr="00C7380A">
              <w:rPr>
                <w:noProof/>
                <w:sz w:val="20"/>
              </w:rPr>
              <w:t>100 mW e.i.r.p.</w:t>
            </w:r>
          </w:p>
        </w:tc>
        <w:tc>
          <w:tcPr>
            <w:tcW w:w="5812" w:type="dxa"/>
          </w:tcPr>
          <w:p w:rsidR="00F829E5" w:rsidRDefault="00F829E5" w:rsidP="00B17C12">
            <w:pPr>
              <w:spacing w:beforeLines="20" w:before="48" w:afterLines="20" w:after="48"/>
              <w:rPr>
                <w:sz w:val="20"/>
              </w:rPr>
            </w:pPr>
          </w:p>
        </w:tc>
      </w:tr>
      <w:tr w:rsidR="00F829E5">
        <w:trPr>
          <w:trHeight w:val="548"/>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8</w:t>
            </w:r>
          </w:p>
        </w:tc>
        <w:tc>
          <w:tcPr>
            <w:tcW w:w="2335" w:type="dxa"/>
          </w:tcPr>
          <w:p w:rsidR="00F829E5" w:rsidRDefault="00F829E5" w:rsidP="00B17C12">
            <w:pPr>
              <w:spacing w:beforeLines="20" w:before="48" w:afterLines="20" w:after="48"/>
              <w:rPr>
                <w:b/>
                <w:bCs/>
                <w:sz w:val="20"/>
              </w:rPr>
            </w:pPr>
            <w:r>
              <w:rPr>
                <w:b/>
                <w:bCs/>
                <w:sz w:val="20"/>
              </w:rPr>
              <w:t>Channel access and occupation rules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16"/>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9</w:t>
            </w:r>
          </w:p>
        </w:tc>
        <w:tc>
          <w:tcPr>
            <w:tcW w:w="2335" w:type="dxa"/>
          </w:tcPr>
          <w:p w:rsidR="00F829E5" w:rsidRDefault="00F829E5" w:rsidP="00B17C12">
            <w:pPr>
              <w:spacing w:beforeLines="20" w:before="48" w:afterLines="20" w:after="48"/>
              <w:rPr>
                <w:sz w:val="20"/>
                <w:u w:val="single"/>
              </w:rPr>
            </w:pPr>
            <w:r>
              <w:rPr>
                <w:b/>
                <w:bCs/>
                <w:sz w:val="20"/>
              </w:rPr>
              <w:t xml:space="preserve">Authorisation regime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i/>
                <w:sz w:val="20"/>
              </w:rPr>
            </w:pPr>
          </w:p>
        </w:tc>
      </w:tr>
      <w:tr w:rsidR="00F829E5">
        <w:trPr>
          <w:trHeight w:val="372"/>
        </w:trPr>
        <w:tc>
          <w:tcPr>
            <w:tcW w:w="709" w:type="dxa"/>
            <w:vMerge/>
          </w:tcPr>
          <w:p w:rsidR="00F829E5" w:rsidRDefault="00F829E5" w:rsidP="00B17C12">
            <w:pPr>
              <w:spacing w:beforeLines="20" w:before="48" w:afterLines="20" w:after="48"/>
              <w:rPr>
                <w:b/>
                <w:sz w:val="20"/>
              </w:rPr>
            </w:pPr>
          </w:p>
        </w:tc>
        <w:tc>
          <w:tcPr>
            <w:tcW w:w="534" w:type="dxa"/>
          </w:tcPr>
          <w:p w:rsidR="00F829E5" w:rsidRDefault="00F829E5" w:rsidP="00B17C12">
            <w:pPr>
              <w:spacing w:beforeLines="20" w:before="48" w:afterLines="20" w:after="48"/>
              <w:rPr>
                <w:b/>
                <w:sz w:val="20"/>
              </w:rPr>
            </w:pPr>
            <w:r>
              <w:rPr>
                <w:b/>
                <w:sz w:val="20"/>
              </w:rPr>
              <w:t>10</w:t>
            </w:r>
          </w:p>
        </w:tc>
        <w:tc>
          <w:tcPr>
            <w:tcW w:w="2335" w:type="dxa"/>
          </w:tcPr>
          <w:p w:rsidR="00F829E5" w:rsidRDefault="00F829E5" w:rsidP="00B17C12">
            <w:pPr>
              <w:spacing w:beforeLines="20" w:before="48" w:afterLines="20" w:after="48"/>
              <w:rPr>
                <w:sz w:val="20"/>
                <w:u w:val="single"/>
              </w:rPr>
            </w:pPr>
            <w:r>
              <w:rPr>
                <w:b/>
                <w:bCs/>
                <w:sz w:val="20"/>
              </w:rPr>
              <w:t>Additional essential requirements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rsidRPr="00126158">
        <w:trPr>
          <w:trHeight w:val="839"/>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11</w:t>
            </w:r>
          </w:p>
        </w:tc>
        <w:tc>
          <w:tcPr>
            <w:tcW w:w="2335" w:type="dxa"/>
          </w:tcPr>
          <w:p w:rsidR="00F829E5" w:rsidRDefault="00F829E5" w:rsidP="00B17C12">
            <w:pPr>
              <w:spacing w:beforeLines="20" w:before="48" w:afterLines="20" w:after="48"/>
              <w:rPr>
                <w:sz w:val="20"/>
                <w:u w:val="single"/>
              </w:rPr>
            </w:pPr>
            <w:r>
              <w:rPr>
                <w:b/>
                <w:bCs/>
                <w:sz w:val="20"/>
              </w:rPr>
              <w:t>Frequency planning assumptions</w:t>
            </w:r>
          </w:p>
        </w:tc>
        <w:tc>
          <w:tcPr>
            <w:tcW w:w="5211" w:type="dxa"/>
          </w:tcPr>
          <w:p w:rsidR="00F829E5" w:rsidRDefault="00F829E5" w:rsidP="00B17C12">
            <w:pPr>
              <w:spacing w:beforeLines="20" w:before="48" w:afterLines="20" w:after="48"/>
              <w:rPr>
                <w:iCs/>
                <w:sz w:val="20"/>
                <w:szCs w:val="20"/>
              </w:rPr>
            </w:pPr>
          </w:p>
        </w:tc>
        <w:tc>
          <w:tcPr>
            <w:tcW w:w="5812" w:type="dxa"/>
          </w:tcPr>
          <w:p w:rsidR="00F829E5" w:rsidRPr="005747A5" w:rsidRDefault="00F829E5" w:rsidP="00B17C12">
            <w:pPr>
              <w:spacing w:beforeLines="20" w:before="48" w:afterLines="20" w:after="48"/>
              <w:rPr>
                <w:iCs/>
                <w:sz w:val="20"/>
                <w:szCs w:val="20"/>
              </w:rPr>
            </w:pPr>
          </w:p>
        </w:tc>
      </w:tr>
      <w:tr w:rsidR="00F829E5">
        <w:trPr>
          <w:trHeight w:val="290"/>
        </w:trPr>
        <w:tc>
          <w:tcPr>
            <w:tcW w:w="709" w:type="dxa"/>
            <w:vMerge w:val="restart"/>
            <w:textDirection w:val="btLr"/>
          </w:tcPr>
          <w:p w:rsidR="00F829E5" w:rsidRDefault="00F829E5" w:rsidP="00B17C12">
            <w:pPr>
              <w:spacing w:beforeLines="20" w:before="48" w:afterLines="20" w:after="48"/>
              <w:ind w:left="113" w:right="113"/>
              <w:jc w:val="center"/>
              <w:rPr>
                <w:b/>
                <w:bCs/>
                <w:sz w:val="20"/>
              </w:rPr>
            </w:pPr>
            <w:r>
              <w:rPr>
                <w:b/>
                <w:bCs/>
                <w:sz w:val="20"/>
              </w:rPr>
              <w:t>Informative part</w:t>
            </w:r>
          </w:p>
        </w:tc>
        <w:tc>
          <w:tcPr>
            <w:tcW w:w="534" w:type="dxa"/>
          </w:tcPr>
          <w:p w:rsidR="00F829E5" w:rsidRDefault="00F829E5" w:rsidP="00B17C12">
            <w:pPr>
              <w:spacing w:beforeLines="20" w:before="48" w:afterLines="20" w:after="48"/>
              <w:rPr>
                <w:b/>
                <w:bCs/>
                <w:sz w:val="20"/>
              </w:rPr>
            </w:pPr>
            <w:r>
              <w:rPr>
                <w:b/>
                <w:bCs/>
                <w:sz w:val="20"/>
              </w:rPr>
              <w:t>12</w:t>
            </w:r>
          </w:p>
        </w:tc>
        <w:tc>
          <w:tcPr>
            <w:tcW w:w="2335" w:type="dxa"/>
          </w:tcPr>
          <w:p w:rsidR="00F829E5" w:rsidRDefault="00F829E5" w:rsidP="00B17C12">
            <w:pPr>
              <w:spacing w:beforeLines="20" w:before="48" w:afterLines="20" w:after="48"/>
              <w:rPr>
                <w:b/>
                <w:bCs/>
                <w:sz w:val="20"/>
              </w:rPr>
            </w:pPr>
            <w:r>
              <w:rPr>
                <w:b/>
                <w:bCs/>
                <w:sz w:val="20"/>
              </w:rPr>
              <w:t>Planned changes</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341"/>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13</w:t>
            </w:r>
          </w:p>
        </w:tc>
        <w:tc>
          <w:tcPr>
            <w:tcW w:w="2335" w:type="dxa"/>
          </w:tcPr>
          <w:p w:rsidR="00F829E5" w:rsidRDefault="00F829E5" w:rsidP="00B17C12">
            <w:pPr>
              <w:spacing w:beforeLines="20" w:before="48" w:afterLines="20" w:after="48"/>
              <w:rPr>
                <w:sz w:val="20"/>
                <w:u w:val="single"/>
              </w:rPr>
            </w:pPr>
            <w:r>
              <w:rPr>
                <w:b/>
                <w:bCs/>
                <w:sz w:val="20"/>
              </w:rPr>
              <w:t>Reference</w:t>
            </w:r>
          </w:p>
        </w:tc>
        <w:tc>
          <w:tcPr>
            <w:tcW w:w="5211" w:type="dxa"/>
          </w:tcPr>
          <w:p w:rsidR="00F829E5" w:rsidRDefault="00F829E5" w:rsidP="00B17C12">
            <w:pPr>
              <w:spacing w:beforeLines="20" w:before="48" w:afterLines="20" w:after="48"/>
              <w:rPr>
                <w:sz w:val="20"/>
              </w:rPr>
            </w:pPr>
            <w:r w:rsidRPr="00C7380A">
              <w:rPr>
                <w:noProof/>
                <w:sz w:val="20"/>
                <w:lang w:val="fr-CH"/>
              </w:rPr>
              <w:t>EN 305 550</w:t>
            </w:r>
            <w:r>
              <w:rPr>
                <w:sz w:val="20"/>
              </w:rPr>
              <w:t xml:space="preserve"> </w:t>
            </w:r>
          </w:p>
        </w:tc>
        <w:tc>
          <w:tcPr>
            <w:tcW w:w="5812" w:type="dxa"/>
          </w:tcPr>
          <w:p w:rsidR="00F829E5" w:rsidRDefault="00F829E5" w:rsidP="00B17C12">
            <w:pPr>
              <w:spacing w:beforeLines="20" w:before="48" w:afterLines="20" w:after="48"/>
              <w:rPr>
                <w:sz w:val="20"/>
              </w:rPr>
            </w:pPr>
          </w:p>
        </w:tc>
      </w:tr>
      <w:tr w:rsidR="00F829E5">
        <w:trPr>
          <w:trHeight w:val="29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14</w:t>
            </w:r>
          </w:p>
        </w:tc>
        <w:tc>
          <w:tcPr>
            <w:tcW w:w="2335" w:type="dxa"/>
          </w:tcPr>
          <w:p w:rsidR="00F829E5" w:rsidRDefault="00F829E5" w:rsidP="00B17C12">
            <w:pPr>
              <w:spacing w:beforeLines="20" w:before="48" w:afterLines="20" w:after="48"/>
              <w:rPr>
                <w:sz w:val="20"/>
                <w:u w:val="single"/>
              </w:rPr>
            </w:pPr>
            <w:r>
              <w:rPr>
                <w:b/>
                <w:bCs/>
                <w:sz w:val="20"/>
              </w:rPr>
              <w:t xml:space="preserve">Notification number </w:t>
            </w:r>
          </w:p>
        </w:tc>
        <w:tc>
          <w:tcPr>
            <w:tcW w:w="5211" w:type="dxa"/>
          </w:tcPr>
          <w:p w:rsidR="00F829E5" w:rsidRDefault="00F829E5" w:rsidP="00B17C12">
            <w:pPr>
              <w:spacing w:beforeLines="20" w:before="48" w:afterLines="20" w:after="48"/>
              <w:rPr>
                <w:sz w:val="20"/>
              </w:rPr>
            </w:pPr>
          </w:p>
        </w:tc>
        <w:tc>
          <w:tcPr>
            <w:tcW w:w="5812" w:type="dxa"/>
          </w:tcPr>
          <w:p w:rsidR="00F829E5" w:rsidRDefault="00F829E5" w:rsidP="00B17C12">
            <w:pPr>
              <w:spacing w:beforeLines="20" w:before="48" w:afterLines="20" w:after="48"/>
              <w:rPr>
                <w:sz w:val="20"/>
              </w:rPr>
            </w:pPr>
          </w:p>
        </w:tc>
      </w:tr>
      <w:tr w:rsidR="00F829E5">
        <w:trPr>
          <w:trHeight w:val="430"/>
        </w:trPr>
        <w:tc>
          <w:tcPr>
            <w:tcW w:w="709" w:type="dxa"/>
            <w:vMerge/>
          </w:tcPr>
          <w:p w:rsidR="00F829E5" w:rsidRDefault="00F829E5" w:rsidP="00B17C12">
            <w:pPr>
              <w:spacing w:beforeLines="20" w:before="48" w:afterLines="20" w:after="48"/>
              <w:rPr>
                <w:b/>
                <w:bCs/>
                <w:sz w:val="20"/>
              </w:rPr>
            </w:pPr>
          </w:p>
        </w:tc>
        <w:tc>
          <w:tcPr>
            <w:tcW w:w="534" w:type="dxa"/>
          </w:tcPr>
          <w:p w:rsidR="00F829E5" w:rsidRDefault="00F829E5" w:rsidP="00B17C12">
            <w:pPr>
              <w:spacing w:beforeLines="20" w:before="48" w:afterLines="20" w:after="48"/>
              <w:rPr>
                <w:b/>
                <w:bCs/>
                <w:sz w:val="20"/>
              </w:rPr>
            </w:pPr>
            <w:r>
              <w:rPr>
                <w:b/>
                <w:bCs/>
                <w:sz w:val="20"/>
              </w:rPr>
              <w:t>15</w:t>
            </w:r>
          </w:p>
        </w:tc>
        <w:tc>
          <w:tcPr>
            <w:tcW w:w="2335" w:type="dxa"/>
          </w:tcPr>
          <w:p w:rsidR="00F829E5" w:rsidRDefault="00F829E5" w:rsidP="00B17C12">
            <w:pPr>
              <w:spacing w:beforeLines="20" w:before="48" w:afterLines="20" w:after="48"/>
              <w:rPr>
                <w:sz w:val="20"/>
                <w:u w:val="single"/>
              </w:rPr>
            </w:pPr>
            <w:r>
              <w:rPr>
                <w:b/>
                <w:bCs/>
                <w:sz w:val="20"/>
              </w:rPr>
              <w:t xml:space="preserve">Remarks </w:t>
            </w:r>
          </w:p>
        </w:tc>
        <w:tc>
          <w:tcPr>
            <w:tcW w:w="5211" w:type="dxa"/>
          </w:tcPr>
          <w:p w:rsidR="00F829E5" w:rsidRDefault="00F829E5" w:rsidP="00B17C12">
            <w:pPr>
              <w:spacing w:beforeLines="20" w:before="48" w:afterLines="20" w:after="48"/>
              <w:rPr>
                <w:sz w:val="20"/>
              </w:rPr>
            </w:pPr>
            <w:r w:rsidRPr="00C7380A">
              <w:rPr>
                <w:noProof/>
                <w:sz w:val="20"/>
                <w:lang w:val="fr-CH"/>
              </w:rPr>
              <w:t>Commission Decision 2011/829/EU</w:t>
            </w:r>
          </w:p>
        </w:tc>
        <w:tc>
          <w:tcPr>
            <w:tcW w:w="5812" w:type="dxa"/>
          </w:tcPr>
          <w:p w:rsidR="00F829E5" w:rsidRDefault="00F829E5" w:rsidP="00B17C12">
            <w:pPr>
              <w:spacing w:beforeLines="20" w:before="48" w:afterLines="20" w:after="48"/>
              <w:rPr>
                <w:sz w:val="20"/>
              </w:rPr>
            </w:pPr>
          </w:p>
        </w:tc>
      </w:tr>
    </w:tbl>
    <w:p w:rsidR="00F829E5" w:rsidRDefault="00F829E5" w:rsidP="00992266">
      <w:pPr>
        <w:rPr>
          <w:sz w:val="2"/>
          <w:szCs w:val="2"/>
        </w:rPr>
        <w:sectPr w:rsidR="00F829E5" w:rsidSect="00F829E5">
          <w:headerReference w:type="default" r:id="rId266"/>
          <w:footerReference w:type="default" r:id="rId267"/>
          <w:pgSz w:w="16840" w:h="11907" w:orient="landscape" w:code="9"/>
          <w:pgMar w:top="284" w:right="1418" w:bottom="993" w:left="1701" w:header="708" w:footer="708" w:gutter="0"/>
          <w:pgNumType w:start="1"/>
          <w:cols w:space="708"/>
          <w:noEndnote/>
        </w:sectPr>
      </w:pPr>
    </w:p>
    <w:p w:rsidR="00F829E5" w:rsidRPr="00992266" w:rsidRDefault="00F829E5" w:rsidP="00992266">
      <w:pPr>
        <w:rPr>
          <w:sz w:val="2"/>
          <w:szCs w:val="2"/>
        </w:rPr>
      </w:pPr>
    </w:p>
    <w:sectPr w:rsidR="00F829E5" w:rsidRPr="00992266" w:rsidSect="00F829E5">
      <w:headerReference w:type="default" r:id="rId268"/>
      <w:footerReference w:type="default" r:id="rId269"/>
      <w:type w:val="continuous"/>
      <w:pgSz w:w="16840" w:h="11907" w:orient="landscape" w:code="9"/>
      <w:pgMar w:top="284" w:right="1418" w:bottom="993" w:left="1701"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03" w:rsidRDefault="00F13D03">
      <w:r>
        <w:separator/>
      </w:r>
    </w:p>
  </w:endnote>
  <w:endnote w:type="continuationSeparator" w:id="0">
    <w:p w:rsidR="00F13D03" w:rsidRDefault="00F1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5</w:t>
    </w:r>
    <w:r>
      <w:rPr>
        <w:rStyle w:val="PageNumber"/>
        <w:rFonts w:ascii="Times New Roman" w:hAnsi="Times New Roman"/>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18</w:t>
    </w:r>
    <w:r>
      <w:rPr>
        <w:rStyle w:val="PageNumber"/>
        <w:rFonts w:ascii="Times New Roman" w:hAnsi="Times New Roman"/>
        <w:sz w:val="16"/>
        <w:szCs w:val="16"/>
      </w:rPr>
      <w:fldChar w:fldCharType="end"/>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19</w:t>
    </w:r>
    <w:r>
      <w:rPr>
        <w:rStyle w:val="PageNumber"/>
        <w:rFonts w:ascii="Times New Roman" w:hAnsi="Times New Roman"/>
        <w:sz w:val="16"/>
        <w:szCs w:val="16"/>
      </w:rPr>
      <w:fldChar w:fldCharType="end"/>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21</w:t>
    </w:r>
    <w:r>
      <w:rPr>
        <w:rStyle w:val="PageNumber"/>
        <w:rFonts w:ascii="Times New Roman" w:hAnsi="Times New Roman"/>
        <w:sz w:val="16"/>
        <w:szCs w:val="16"/>
      </w:rPr>
      <w:fldChar w:fldCharType="end"/>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22</w:t>
    </w:r>
    <w:r>
      <w:rPr>
        <w:rStyle w:val="PageNumber"/>
        <w:rFonts w:ascii="Times New Roman" w:hAnsi="Times New Roman"/>
        <w:sz w:val="16"/>
        <w:szCs w:val="16"/>
      </w:rPr>
      <w:fldChar w:fldCharType="end"/>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Pr>
        <w:rStyle w:val="PageNumber"/>
        <w:rFonts w:ascii="Times New Roman" w:hAnsi="Times New Roman"/>
        <w:noProof/>
        <w:sz w:val="16"/>
        <w:szCs w:val="16"/>
        <w:lang w:val="en-US"/>
      </w:rPr>
      <w:t>164</w:t>
    </w:r>
    <w:r>
      <w:rPr>
        <w:rStyle w:val="PageNumber"/>
        <w:rFonts w:ascii="Times New Roman" w:hAnsi="Times New Roman"/>
        <w:sz w:val="16"/>
        <w:szCs w:val="16"/>
      </w:rPr>
      <w:fldChar w:fldCharType="end"/>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35" w:rsidRDefault="00CE1AB6">
    <w:pPr>
      <w:tabs>
        <w:tab w:val="left" w:pos="12758"/>
      </w:tabs>
      <w:rPr>
        <w:color w:val="000000"/>
        <w:sz w:val="16"/>
        <w:szCs w:val="16"/>
        <w:lang w:val="en-US"/>
      </w:rPr>
    </w:pPr>
    <w:r>
      <w:rPr>
        <w:noProof/>
        <w:color w:val="000000"/>
        <w:sz w:val="16"/>
        <w:szCs w:val="16"/>
        <w:lang w:val="en-US"/>
      </w:rPr>
      <w:t>RIS TEMPLATE</w:t>
    </w:r>
    <w:r w:rsidR="00F23E35">
      <w:rPr>
        <w:color w:val="000000"/>
        <w:sz w:val="16"/>
        <w:szCs w:val="16"/>
        <w:lang w:val="en-US"/>
      </w:rPr>
      <w:t xml:space="preserve"> / 16.01.2007</w:t>
    </w:r>
    <w:r w:rsidR="00F23E35">
      <w:rPr>
        <w:color w:val="000000"/>
        <w:sz w:val="16"/>
        <w:szCs w:val="16"/>
        <w:lang w:val="en-US"/>
      </w:rPr>
      <w:tab/>
      <w:t xml:space="preserve">Page </w:t>
    </w:r>
    <w:r w:rsidR="00F23E35">
      <w:rPr>
        <w:rStyle w:val="PageNumber"/>
        <w:rFonts w:ascii="Times New Roman" w:hAnsi="Times New Roman"/>
        <w:sz w:val="16"/>
        <w:szCs w:val="16"/>
      </w:rPr>
      <w:fldChar w:fldCharType="begin"/>
    </w:r>
    <w:r w:rsidR="00F23E35">
      <w:rPr>
        <w:rStyle w:val="PageNumber"/>
        <w:rFonts w:ascii="Times New Roman" w:hAnsi="Times New Roman"/>
        <w:sz w:val="16"/>
        <w:szCs w:val="16"/>
        <w:lang w:val="en-US"/>
      </w:rPr>
      <w:instrText xml:space="preserve"> PAGE </w:instrText>
    </w:r>
    <w:r w:rsidR="00F23E35">
      <w:rPr>
        <w:rStyle w:val="PageNumber"/>
        <w:rFonts w:ascii="Times New Roman" w:hAnsi="Times New Roman"/>
        <w:sz w:val="16"/>
        <w:szCs w:val="16"/>
      </w:rPr>
      <w:fldChar w:fldCharType="separate"/>
    </w:r>
    <w:r w:rsidR="00F829E5">
      <w:rPr>
        <w:rStyle w:val="PageNumber"/>
        <w:rFonts w:ascii="Times New Roman" w:hAnsi="Times New Roman"/>
        <w:noProof/>
        <w:sz w:val="16"/>
        <w:szCs w:val="16"/>
        <w:lang w:val="en-US"/>
      </w:rPr>
      <w:t>1</w:t>
    </w:r>
    <w:r w:rsidR="00F23E35">
      <w:rPr>
        <w:rStyle w:val="PageNumber"/>
        <w:rFonts w:ascii="Times New Roman" w:hAnsi="Times New Roman"/>
        <w:sz w:val="16"/>
        <w:szCs w:val="16"/>
      </w:rPr>
      <w:fldChar w:fldCharType="end"/>
    </w:r>
    <w:r w:rsidR="00F23E35">
      <w:rPr>
        <w:rStyle w:val="PageNumber"/>
        <w:rFonts w:ascii="Times New Roman" w:hAnsi="Times New Roman"/>
        <w:sz w:val="16"/>
        <w:szCs w:val="16"/>
        <w:lang w:val="en-US"/>
      </w:rPr>
      <w:t xml:space="preserve"> / </w:t>
    </w:r>
    <w:r w:rsidR="00F23E35">
      <w:rPr>
        <w:rStyle w:val="PageNumber"/>
        <w:rFonts w:ascii="Times New Roman" w:hAnsi="Times New Roman"/>
        <w:sz w:val="16"/>
        <w:szCs w:val="16"/>
      </w:rPr>
      <w:fldChar w:fldCharType="begin"/>
    </w:r>
    <w:r w:rsidR="00F23E35">
      <w:rPr>
        <w:rStyle w:val="PageNumber"/>
        <w:rFonts w:ascii="Times New Roman" w:hAnsi="Times New Roman"/>
        <w:sz w:val="16"/>
        <w:szCs w:val="16"/>
        <w:lang w:val="en-US"/>
      </w:rPr>
      <w:instrText xml:space="preserve"> NUMPAGES </w:instrText>
    </w:r>
    <w:r w:rsidR="00F23E35">
      <w:rPr>
        <w:rStyle w:val="PageNumber"/>
        <w:rFonts w:ascii="Times New Roman" w:hAnsi="Times New Roman"/>
        <w:sz w:val="16"/>
        <w:szCs w:val="16"/>
      </w:rPr>
      <w:fldChar w:fldCharType="separate"/>
    </w:r>
    <w:r w:rsidR="00F829E5">
      <w:rPr>
        <w:rStyle w:val="PageNumber"/>
        <w:rFonts w:ascii="Times New Roman" w:hAnsi="Times New Roman"/>
        <w:noProof/>
        <w:sz w:val="16"/>
        <w:szCs w:val="16"/>
        <w:lang w:val="en-US"/>
      </w:rPr>
      <w:t>1</w:t>
    </w:r>
    <w:r w:rsidR="00F23E35">
      <w:rPr>
        <w:rStyle w:val="PageNumber"/>
        <w:rFonts w:ascii="Times New Roman" w:hAnsi="Times New Roman"/>
        <w:sz w:val="16"/>
        <w:szCs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23</w:t>
    </w:r>
    <w:r>
      <w:rPr>
        <w:rStyle w:val="PageNumber"/>
        <w:rFonts w:ascii="Times New Roman" w:hAnsi="Times New Roman"/>
        <w:sz w:val="16"/>
        <w:szCs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25</w:t>
    </w:r>
    <w:r>
      <w:rPr>
        <w:rStyle w:val="PageNumber"/>
        <w:rFonts w:ascii="Times New Roman" w:hAnsi="Times New Roman"/>
        <w:sz w:val="16"/>
        <w:szCs w:val="16"/>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27</w:t>
    </w:r>
    <w:r>
      <w:rPr>
        <w:rStyle w:val="PageNumber"/>
        <w:rFonts w:ascii="Times New Roman" w:hAnsi="Times New Roman"/>
        <w:sz w:val="16"/>
        <w:szCs w:val="16"/>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28</w:t>
    </w:r>
    <w:r>
      <w:rPr>
        <w:rStyle w:val="PageNumber"/>
        <w:rFonts w:ascii="Times New Roman" w:hAnsi="Times New Roman"/>
        <w:sz w:val="16"/>
        <w:szCs w:val="16"/>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30</w:t>
    </w:r>
    <w:r>
      <w:rPr>
        <w:rStyle w:val="PageNumber"/>
        <w:rFonts w:ascii="Times New Roman" w:hAnsi="Times New Roman"/>
        <w:sz w:val="16"/>
        <w:szCs w:val="16"/>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31</w:t>
    </w:r>
    <w:r>
      <w:rPr>
        <w:rStyle w:val="PageNumbe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6</w:t>
    </w:r>
    <w:r>
      <w:rPr>
        <w:rStyle w:val="PageNumber"/>
        <w:rFonts w:ascii="Times New Roman" w:hAnsi="Times New Roman"/>
        <w:sz w:val="16"/>
        <w:szCs w:val="16"/>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32</w:t>
    </w:r>
    <w:r>
      <w:rPr>
        <w:rStyle w:val="PageNumber"/>
        <w:rFonts w:ascii="Times New Roman" w:hAnsi="Times New Roman"/>
        <w:sz w:val="16"/>
        <w:szCs w:val="16"/>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33</w:t>
    </w:r>
    <w:r>
      <w:rPr>
        <w:rStyle w:val="PageNumber"/>
        <w:rFonts w:ascii="Times New Roman" w:hAnsi="Times New Roman"/>
        <w:sz w:val="16"/>
        <w:szCs w:val="16"/>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35</w:t>
    </w:r>
    <w:r>
      <w:rPr>
        <w:rStyle w:val="PageNumber"/>
        <w:rFonts w:ascii="Times New Roman" w:hAnsi="Times New Roman"/>
        <w:sz w:val="16"/>
        <w:szCs w:val="16"/>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36</w:t>
    </w:r>
    <w:r>
      <w:rPr>
        <w:rStyle w:val="PageNumber"/>
        <w:rFonts w:ascii="Times New Roman" w:hAnsi="Times New Roman"/>
        <w:sz w:val="16"/>
        <w:szCs w:val="16"/>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39</w:t>
    </w:r>
    <w:r>
      <w:rPr>
        <w:rStyle w:val="PageNumber"/>
        <w:rFonts w:ascii="Times New Roman" w:hAnsi="Times New Roman"/>
        <w:sz w:val="16"/>
        <w:szCs w:val="16"/>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39</w:t>
    </w:r>
    <w:r>
      <w:rPr>
        <w:rStyle w:val="PageNumber"/>
        <w:rFonts w:ascii="Times New Roman" w:hAnsi="Times New Roman"/>
        <w:sz w:val="16"/>
        <w:szCs w:val="16"/>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41</w:t>
    </w:r>
    <w:r>
      <w:rPr>
        <w:rStyle w:val="PageNumber"/>
        <w:rFonts w:ascii="Times New Roman" w:hAnsi="Times New Roman"/>
        <w:sz w:val="16"/>
        <w:szCs w:val="16"/>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43</w:t>
    </w:r>
    <w:r>
      <w:rPr>
        <w:rStyle w:val="PageNumber"/>
        <w:rFonts w:ascii="Times New Roman" w:hAnsi="Times New Roman"/>
        <w:sz w:val="16"/>
        <w:szCs w:val="16"/>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44</w:t>
    </w:r>
    <w:r>
      <w:rPr>
        <w:rStyle w:val="PageNumber"/>
        <w:rFonts w:ascii="Times New Roman" w:hAnsi="Times New Roman"/>
        <w:sz w:val="16"/>
        <w:szCs w:val="16"/>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45</w:t>
    </w:r>
    <w:r>
      <w:rPr>
        <w:rStyle w:val="PageNumber"/>
        <w:rFonts w:ascii="Times New Roman" w:hAnsi="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8</w:t>
    </w:r>
    <w:r>
      <w:rPr>
        <w:rStyle w:val="PageNumber"/>
        <w:rFonts w:ascii="Times New Roman" w:hAnsi="Times New Roman"/>
        <w:sz w:val="16"/>
        <w:szCs w:val="16"/>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46</w:t>
    </w:r>
    <w:r>
      <w:rPr>
        <w:rStyle w:val="PageNumber"/>
        <w:rFonts w:ascii="Times New Roman" w:hAnsi="Times New Roman"/>
        <w:sz w:val="16"/>
        <w:szCs w:val="16"/>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47</w:t>
    </w:r>
    <w:r>
      <w:rPr>
        <w:rStyle w:val="PageNumber"/>
        <w:rFonts w:ascii="Times New Roman" w:hAnsi="Times New Roman"/>
        <w:sz w:val="16"/>
        <w:szCs w:val="16"/>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46</w:t>
    </w:r>
    <w:r>
      <w:rPr>
        <w:rStyle w:val="PageNumber"/>
        <w:rFonts w:ascii="Times New Roman" w:hAnsi="Times New Roman"/>
        <w:sz w:val="16"/>
        <w:szCs w:val="16"/>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47</w:t>
    </w:r>
    <w:r>
      <w:rPr>
        <w:rStyle w:val="PageNumber"/>
        <w:rFonts w:ascii="Times New Roman" w:hAnsi="Times New Roman"/>
        <w:sz w:val="16"/>
        <w:szCs w:val="16"/>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10</w:t>
    </w:r>
    <w:r>
      <w:rPr>
        <w:rStyle w:val="PageNumber"/>
        <w:rFonts w:ascii="Times New Roman" w:hAnsi="Times New Roman"/>
        <w:sz w:val="16"/>
        <w:szCs w:val="16"/>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11</w:t>
    </w:r>
    <w:r>
      <w:rPr>
        <w:rStyle w:val="PageNumber"/>
        <w:rFonts w:ascii="Times New Roman" w:hAnsi="Times New Roman"/>
        <w:sz w:val="16"/>
        <w:szCs w:val="16"/>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12</w:t>
    </w:r>
    <w:r>
      <w:rPr>
        <w:rStyle w:val="PageNumber"/>
        <w:rFonts w:ascii="Times New Roman" w:hAnsi="Times New Roman"/>
        <w:sz w:val="16"/>
        <w:szCs w:val="16"/>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14</w:t>
    </w:r>
    <w:r>
      <w:rPr>
        <w:rStyle w:val="PageNumber"/>
        <w:rFonts w:ascii="Times New Roman" w:hAnsi="Times New Roman"/>
        <w:sz w:val="16"/>
        <w:szCs w:val="16"/>
      </w:rPr>
      <w:fldChar w:fldCharType="end"/>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16</w:t>
    </w:r>
    <w:r>
      <w:rPr>
        <w:rStyle w:val="PageNumber"/>
        <w:rFonts w:ascii="Times New Roman" w:hAnsi="Times New Roman"/>
        <w:sz w:val="16"/>
        <w:szCs w:val="16"/>
      </w:rP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B17C12">
      <w:rPr>
        <w:rStyle w:val="PageNumber"/>
        <w:rFonts w:ascii="Times New Roman" w:hAnsi="Times New Roman"/>
        <w:noProof/>
        <w:sz w:val="16"/>
        <w:szCs w:val="16"/>
        <w:lang w:val="en-US"/>
      </w:rPr>
      <w:t>17</w:t>
    </w:r>
    <w:r>
      <w:rPr>
        <w:rStyle w:val="PageNumber"/>
        <w:rFonts w:ascii="Times New Roman" w:hAnsi="Times New Roman"/>
        <w:sz w:val="16"/>
        <w:szCs w:val="16"/>
      </w:rPr>
      <w:fldChar w:fldCharType="end"/>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2</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Default="00F829E5">
    <w:pPr>
      <w:tabs>
        <w:tab w:val="left" w:pos="12758"/>
      </w:tabs>
      <w:rPr>
        <w:color w:val="000000"/>
        <w:sz w:val="16"/>
        <w:szCs w:val="16"/>
        <w:lang w:val="en-US"/>
      </w:rPr>
    </w:pPr>
    <w:r>
      <w:rPr>
        <w:noProof/>
        <w:color w:val="000000"/>
        <w:sz w:val="16"/>
        <w:szCs w:val="16"/>
        <w:lang w:val="en-US"/>
      </w:rPr>
      <w:t>RIS TEMPLATE</w:t>
    </w:r>
    <w:r>
      <w:rPr>
        <w:color w:val="000000"/>
        <w:sz w:val="16"/>
        <w:szCs w:val="16"/>
        <w:lang w:val="en-US"/>
      </w:rPr>
      <w:t xml:space="preserve"> / 16.01.2007</w:t>
    </w:r>
    <w:r>
      <w:rPr>
        <w:color w:val="000000"/>
        <w:sz w:val="16"/>
        <w:szCs w:val="16"/>
        <w:lang w:val="en-US"/>
      </w:rPr>
      <w:tab/>
      <w:t xml:space="preserve">Page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PAGE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w:t>
    </w:r>
    <w:r>
      <w:rPr>
        <w:rStyle w:val="PageNumber"/>
        <w:rFonts w:ascii="Times New Roman" w:hAnsi="Times New Roman"/>
        <w:sz w:val="16"/>
        <w:szCs w:val="16"/>
      </w:rPr>
      <w:fldChar w:fldCharType="end"/>
    </w:r>
    <w:r>
      <w:rPr>
        <w:rStyle w:val="PageNumber"/>
        <w:rFonts w:ascii="Times New Roman" w:hAnsi="Times New Roman"/>
        <w:sz w:val="16"/>
        <w:szCs w:val="16"/>
        <w:lang w:val="en-US"/>
      </w:rPr>
      <w:t xml:space="preserve"> / </w:t>
    </w:r>
    <w:r>
      <w:rPr>
        <w:rStyle w:val="PageNumber"/>
        <w:rFonts w:ascii="Times New Roman" w:hAnsi="Times New Roman"/>
        <w:sz w:val="16"/>
        <w:szCs w:val="16"/>
      </w:rPr>
      <w:fldChar w:fldCharType="begin"/>
    </w:r>
    <w:r>
      <w:rPr>
        <w:rStyle w:val="PageNumber"/>
        <w:rFonts w:ascii="Times New Roman" w:hAnsi="Times New Roman"/>
        <w:sz w:val="16"/>
        <w:szCs w:val="16"/>
        <w:lang w:val="en-US"/>
      </w:rPr>
      <w:instrText xml:space="preserve"> NUMPAGES </w:instrText>
    </w:r>
    <w:r>
      <w:rPr>
        <w:rStyle w:val="PageNumber"/>
        <w:rFonts w:ascii="Times New Roman" w:hAnsi="Times New Roman"/>
        <w:sz w:val="16"/>
        <w:szCs w:val="16"/>
      </w:rPr>
      <w:fldChar w:fldCharType="separate"/>
    </w:r>
    <w:r w:rsidR="00E80525">
      <w:rPr>
        <w:rStyle w:val="PageNumber"/>
        <w:rFonts w:ascii="Times New Roman" w:hAnsi="Times New Roman"/>
        <w:sz w:val="16"/>
        <w:szCs w:val="16"/>
        <w:lang w:val="en-US"/>
      </w:rPr>
      <w:t>164</w:t>
    </w:r>
    <w:r>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03" w:rsidRDefault="00F13D03">
      <w:r>
        <w:separator/>
      </w:r>
    </w:p>
  </w:footnote>
  <w:footnote w:type="continuationSeparator" w:id="0">
    <w:p w:rsidR="00F13D03" w:rsidRDefault="00F13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35" w:rsidRPr="00E41AF0" w:rsidRDefault="00F23E35" w:rsidP="00E41AF0">
    <w:pPr>
      <w:pStyle w:val="Header"/>
      <w:jc w:val="center"/>
    </w:pPr>
    <w:r>
      <w:rPr>
        <w:b/>
        <w:sz w:val="20"/>
      </w:rPr>
      <w:t>Sub-class of Class 1 according Commission Decision 2000/299/EC (6.4.2000)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E5" w:rsidRPr="00E41AF0" w:rsidRDefault="00F829E5" w:rsidP="00E41AF0">
    <w:pPr>
      <w:pStyle w:val="Header"/>
      <w:jc w:val="center"/>
    </w:pPr>
    <w:r>
      <w:rPr>
        <w:b/>
        <w:sz w:val="20"/>
      </w:rPr>
      <w:t>Sub-class of Class 1 according Commission Decision 2000/299/EC (6.4.2000)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E71"/>
    <w:multiLevelType w:val="hybridMultilevel"/>
    <w:tmpl w:val="04AA47F6"/>
    <w:lvl w:ilvl="0" w:tplc="100C0001">
      <w:start w:val="1"/>
      <w:numFmt w:val="bullet"/>
      <w:lvlText w:val=""/>
      <w:lvlJc w:val="left"/>
      <w:pPr>
        <w:tabs>
          <w:tab w:val="num" w:pos="1440"/>
        </w:tabs>
        <w:ind w:left="1440" w:hanging="360"/>
      </w:pPr>
      <w:rPr>
        <w:rFonts w:ascii="Symbol" w:hAnsi="Symbol" w:hint="default"/>
      </w:rPr>
    </w:lvl>
    <w:lvl w:ilvl="1" w:tplc="100C0003" w:tentative="1">
      <w:start w:val="1"/>
      <w:numFmt w:val="bullet"/>
      <w:lvlText w:val="o"/>
      <w:lvlJc w:val="left"/>
      <w:pPr>
        <w:tabs>
          <w:tab w:val="num" w:pos="2160"/>
        </w:tabs>
        <w:ind w:left="2160" w:hanging="360"/>
      </w:pPr>
      <w:rPr>
        <w:rFonts w:ascii="Courier New" w:hAnsi="Courier New" w:cs="Courier New" w:hint="default"/>
      </w:rPr>
    </w:lvl>
    <w:lvl w:ilvl="2" w:tplc="100C0005" w:tentative="1">
      <w:start w:val="1"/>
      <w:numFmt w:val="bullet"/>
      <w:lvlText w:val=""/>
      <w:lvlJc w:val="left"/>
      <w:pPr>
        <w:tabs>
          <w:tab w:val="num" w:pos="2880"/>
        </w:tabs>
        <w:ind w:left="2880" w:hanging="360"/>
      </w:pPr>
      <w:rPr>
        <w:rFonts w:ascii="Wingdings" w:hAnsi="Wingdings" w:hint="default"/>
      </w:rPr>
    </w:lvl>
    <w:lvl w:ilvl="3" w:tplc="100C0001" w:tentative="1">
      <w:start w:val="1"/>
      <w:numFmt w:val="bullet"/>
      <w:lvlText w:val=""/>
      <w:lvlJc w:val="left"/>
      <w:pPr>
        <w:tabs>
          <w:tab w:val="num" w:pos="3600"/>
        </w:tabs>
        <w:ind w:left="3600" w:hanging="360"/>
      </w:pPr>
      <w:rPr>
        <w:rFonts w:ascii="Symbol" w:hAnsi="Symbol" w:hint="default"/>
      </w:rPr>
    </w:lvl>
    <w:lvl w:ilvl="4" w:tplc="100C0003" w:tentative="1">
      <w:start w:val="1"/>
      <w:numFmt w:val="bullet"/>
      <w:lvlText w:val="o"/>
      <w:lvlJc w:val="left"/>
      <w:pPr>
        <w:tabs>
          <w:tab w:val="num" w:pos="4320"/>
        </w:tabs>
        <w:ind w:left="4320" w:hanging="360"/>
      </w:pPr>
      <w:rPr>
        <w:rFonts w:ascii="Courier New" w:hAnsi="Courier New" w:cs="Courier New" w:hint="default"/>
      </w:rPr>
    </w:lvl>
    <w:lvl w:ilvl="5" w:tplc="100C0005" w:tentative="1">
      <w:start w:val="1"/>
      <w:numFmt w:val="bullet"/>
      <w:lvlText w:val=""/>
      <w:lvlJc w:val="left"/>
      <w:pPr>
        <w:tabs>
          <w:tab w:val="num" w:pos="5040"/>
        </w:tabs>
        <w:ind w:left="5040" w:hanging="360"/>
      </w:pPr>
      <w:rPr>
        <w:rFonts w:ascii="Wingdings" w:hAnsi="Wingdings" w:hint="default"/>
      </w:rPr>
    </w:lvl>
    <w:lvl w:ilvl="6" w:tplc="100C0001" w:tentative="1">
      <w:start w:val="1"/>
      <w:numFmt w:val="bullet"/>
      <w:lvlText w:val=""/>
      <w:lvlJc w:val="left"/>
      <w:pPr>
        <w:tabs>
          <w:tab w:val="num" w:pos="5760"/>
        </w:tabs>
        <w:ind w:left="5760" w:hanging="360"/>
      </w:pPr>
      <w:rPr>
        <w:rFonts w:ascii="Symbol" w:hAnsi="Symbol" w:hint="default"/>
      </w:rPr>
    </w:lvl>
    <w:lvl w:ilvl="7" w:tplc="100C0003" w:tentative="1">
      <w:start w:val="1"/>
      <w:numFmt w:val="bullet"/>
      <w:lvlText w:val="o"/>
      <w:lvlJc w:val="left"/>
      <w:pPr>
        <w:tabs>
          <w:tab w:val="num" w:pos="6480"/>
        </w:tabs>
        <w:ind w:left="6480" w:hanging="360"/>
      </w:pPr>
      <w:rPr>
        <w:rFonts w:ascii="Courier New" w:hAnsi="Courier New" w:cs="Courier New" w:hint="default"/>
      </w:rPr>
    </w:lvl>
    <w:lvl w:ilvl="8" w:tplc="100C0005" w:tentative="1">
      <w:start w:val="1"/>
      <w:numFmt w:val="bullet"/>
      <w:lvlText w:val=""/>
      <w:lvlJc w:val="left"/>
      <w:pPr>
        <w:tabs>
          <w:tab w:val="num" w:pos="7200"/>
        </w:tabs>
        <w:ind w:left="7200" w:hanging="360"/>
      </w:pPr>
      <w:rPr>
        <w:rFonts w:ascii="Wingdings" w:hAnsi="Wingdings" w:hint="default"/>
      </w:rPr>
    </w:lvl>
  </w:abstractNum>
  <w:abstractNum w:abstractNumId="1">
    <w:nsid w:val="065342C7"/>
    <w:multiLevelType w:val="hybridMultilevel"/>
    <w:tmpl w:val="1E5E47CC"/>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
    <w:nsid w:val="10DC74F0"/>
    <w:multiLevelType w:val="multilevel"/>
    <w:tmpl w:val="0807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3F107A1F"/>
    <w:multiLevelType w:val="hybridMultilevel"/>
    <w:tmpl w:val="993630E2"/>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4">
    <w:nsid w:val="5E52493B"/>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E547D51"/>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004F"/>
    <w:rsid w:val="000C6471"/>
    <w:rsid w:val="000D7FB6"/>
    <w:rsid w:val="00160495"/>
    <w:rsid w:val="0027004F"/>
    <w:rsid w:val="002912B7"/>
    <w:rsid w:val="00583DAD"/>
    <w:rsid w:val="005A2E96"/>
    <w:rsid w:val="006E2FCE"/>
    <w:rsid w:val="00782747"/>
    <w:rsid w:val="007B0DD4"/>
    <w:rsid w:val="007F0CB7"/>
    <w:rsid w:val="00992266"/>
    <w:rsid w:val="009E7A0D"/>
    <w:rsid w:val="00A13150"/>
    <w:rsid w:val="00A3720C"/>
    <w:rsid w:val="00B17C12"/>
    <w:rsid w:val="00CE1AB6"/>
    <w:rsid w:val="00D2086B"/>
    <w:rsid w:val="00E41AF0"/>
    <w:rsid w:val="00E64F8E"/>
    <w:rsid w:val="00E80525"/>
    <w:rsid w:val="00EF377C"/>
    <w:rsid w:val="00F13D03"/>
    <w:rsid w:val="00F1522C"/>
    <w:rsid w:val="00F2038B"/>
    <w:rsid w:val="00F23E35"/>
    <w:rsid w:val="00F73B02"/>
    <w:rsid w:val="00F829E5"/>
    <w:rsid w:val="00F844B8"/>
    <w:rsid w:val="00FB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0" w:after="20"/>
    </w:pPr>
    <w:rPr>
      <w:rFonts w:ascii="Arial" w:hAnsi="Arial"/>
      <w:sz w:val="22"/>
      <w:szCs w:val="24"/>
      <w:lang w:val="en-GB" w:eastAsia="de-CH"/>
    </w:rPr>
  </w:style>
  <w:style w:type="paragraph" w:styleId="Heading1">
    <w:name w:val="heading 1"/>
    <w:basedOn w:val="Normal"/>
    <w:next w:val="Normal"/>
    <w:qFormat/>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Arial-BoldMT14ptFett">
    <w:name w:val="Formatvorlage Arial-BoldMT 14 pt Fett"/>
    <w:basedOn w:val="DefaultParagraphFont"/>
    <w:rPr>
      <w:rFonts w:ascii="Arial" w:hAnsi="Arial"/>
      <w:b/>
      <w:bCs/>
      <w:sz w:val="28"/>
    </w:rPr>
  </w:style>
  <w:style w:type="paragraph" w:customStyle="1" w:styleId="CM1">
    <w:name w:val="CM1"/>
    <w:basedOn w:val="Normal"/>
    <w:pPr>
      <w:widowControl w:val="0"/>
      <w:autoSpaceDE w:val="0"/>
      <w:autoSpaceDN w:val="0"/>
      <w:adjustRightInd w:val="0"/>
      <w:spacing w:line="231" w:lineRule="atLeast"/>
    </w:pPr>
    <w:rPr>
      <w:rFonts w:cs="Arial"/>
      <w:lang w:val="de-CH"/>
    </w:rPr>
  </w:style>
  <w:style w:type="paragraph" w:styleId="Header">
    <w:name w:val="header"/>
    <w:basedOn w:val="Normal"/>
    <w:pPr>
      <w:tabs>
        <w:tab w:val="center" w:pos="4536"/>
        <w:tab w:val="right" w:pos="9072"/>
      </w:tabs>
    </w:pPr>
  </w:style>
  <w:style w:type="character" w:customStyle="1" w:styleId="Formatvorlage9pt">
    <w:name w:val="Formatvorlage 9 pt"/>
    <w:basedOn w:val="DefaultParagraphFont"/>
    <w:rPr>
      <w:rFonts w:ascii="Arial" w:hAnsi="Arial"/>
      <w:sz w:val="18"/>
    </w:rPr>
  </w:style>
  <w:style w:type="character" w:customStyle="1" w:styleId="FormatvorlageArialMT9pt">
    <w:name w:val="Formatvorlage ArialMT 9 pt"/>
    <w:basedOn w:val="DefaultParagraphFont"/>
    <w:rPr>
      <w:rFonts w:ascii="Arial" w:hAnsi="Arial"/>
      <w:sz w:val="18"/>
    </w:rPr>
  </w:style>
  <w:style w:type="paragraph" w:customStyle="1" w:styleId="CM5">
    <w:name w:val="CM5"/>
    <w:basedOn w:val="Normal"/>
    <w:pPr>
      <w:widowControl w:val="0"/>
      <w:autoSpaceDE w:val="0"/>
      <w:autoSpaceDN w:val="0"/>
      <w:adjustRightInd w:val="0"/>
      <w:spacing w:after="205"/>
    </w:pPr>
    <w:rPr>
      <w:rFonts w:cs="Arial"/>
      <w:lang w:val="de-CH"/>
    </w:rPr>
  </w:style>
  <w:style w:type="character" w:styleId="Hyperlink">
    <w:name w:val="Hyperlink"/>
    <w:basedOn w:val="DefaultParagraphFont"/>
    <w:rPr>
      <w:color w:val="0000FF"/>
      <w:u w:val="single"/>
    </w:rPr>
  </w:style>
  <w:style w:type="paragraph" w:customStyle="1" w:styleId="Formatvorlage1">
    <w:name w:val="Formatvorlage1"/>
    <w:basedOn w:val="Normal"/>
    <w:pPr>
      <w:spacing w:before="100" w:after="100"/>
    </w:pPr>
    <w:rPr>
      <w:sz w:val="20"/>
      <w:szCs w:val="20"/>
    </w:rPr>
  </w:style>
  <w:style w:type="character" w:styleId="FollowedHyperlink">
    <w:name w:val="FollowedHyperlink"/>
    <w:basedOn w:val="DefaultParagraphFont"/>
    <w:rPr>
      <w:color w:val="800080"/>
      <w:u w:val="singl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Kopf">
    <w:name w:val="Kopf"/>
    <w:basedOn w:val="Normal"/>
    <w:link w:val="KopfCar"/>
    <w:pPr>
      <w:suppressAutoHyphens/>
      <w:spacing w:line="200" w:lineRule="exact"/>
    </w:pPr>
    <w:rPr>
      <w:rFonts w:cs="Arial"/>
      <w:noProof/>
      <w:sz w:val="15"/>
      <w:szCs w:val="15"/>
      <w:lang w:val="de-CH"/>
    </w:rPr>
  </w:style>
  <w:style w:type="character" w:customStyle="1" w:styleId="KopfCar">
    <w:name w:val="Kopf Car"/>
    <w:basedOn w:val="DefaultParagraphFont"/>
    <w:link w:val="Kopf"/>
    <w:rPr>
      <w:rFonts w:ascii="Arial" w:hAnsi="Arial" w:cs="Arial"/>
      <w:noProof/>
      <w:sz w:val="15"/>
      <w:szCs w:val="15"/>
      <w:lang w:val="de-CH" w:eastAsia="de-CH" w:bidi="ar-SA"/>
    </w:rPr>
  </w:style>
  <w:style w:type="paragraph" w:customStyle="1" w:styleId="Formatvorlage2">
    <w:name w:val="Formatvorlage2"/>
    <w:basedOn w:val="Normal"/>
    <w:pPr>
      <w:spacing w:before="100" w:after="100"/>
    </w:pPr>
    <w:rPr>
      <w:b/>
    </w:rPr>
  </w:style>
  <w:style w:type="paragraph" w:styleId="BalloonText">
    <w:name w:val="Balloon Text"/>
    <w:basedOn w:val="Normal"/>
    <w:semiHidden/>
    <w:rPr>
      <w:rFonts w:ascii="Tahoma" w:hAnsi="Tahoma" w:cs="Tahoma"/>
      <w:sz w:val="16"/>
      <w:szCs w:val="16"/>
    </w:rPr>
  </w:style>
  <w:style w:type="paragraph" w:customStyle="1" w:styleId="Logo">
    <w:name w:val="Logo"/>
    <w:rPr>
      <w:rFonts w:ascii="Arial" w:hAnsi="Arial"/>
      <w:noProof/>
      <w:sz w:val="15"/>
      <w:lang w:val="de-CH" w:eastAsia="de-CH"/>
    </w:rPr>
  </w:style>
  <w:style w:type="paragraph" w:customStyle="1" w:styleId="FormatvorlageCM4FettRechts068cmZeilenabstandMindestens143">
    <w:name w:val="Formatvorlage CM4 + Fett Rechts:  0.68 cm Zeilenabstand:  Mindestens 14.3..."/>
    <w:basedOn w:val="Normal"/>
    <w:pPr>
      <w:widowControl w:val="0"/>
      <w:autoSpaceDE w:val="0"/>
      <w:autoSpaceDN w:val="0"/>
      <w:adjustRightInd w:val="0"/>
      <w:spacing w:line="286" w:lineRule="atLeast"/>
      <w:ind w:right="386"/>
    </w:pPr>
    <w:rPr>
      <w:b/>
      <w:bCs/>
      <w:szCs w:val="20"/>
      <w:lang w:val="de-CH"/>
    </w:rPr>
  </w:style>
  <w:style w:type="paragraph" w:customStyle="1" w:styleId="Formatvorlage3">
    <w:name w:val="Formatvorlage3"/>
    <w:basedOn w:val="Normal"/>
    <w:pPr>
      <w:spacing w:before="100" w:after="100"/>
    </w:pPr>
    <w:rPr>
      <w:b/>
    </w:rPr>
  </w:style>
  <w:style w:type="table" w:styleId="TableGrid">
    <w:name w:val="Table Grid"/>
    <w:basedOn w:val="TableNormal"/>
    <w:pPr>
      <w:spacing w:before="20" w:after="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0" w:after="20"/>
    </w:pPr>
    <w:rPr>
      <w:rFonts w:ascii="Arial" w:hAnsi="Arial"/>
      <w:sz w:val="22"/>
      <w:szCs w:val="24"/>
      <w:lang w:val="en-GB" w:eastAsia="de-CH"/>
    </w:rPr>
  </w:style>
  <w:style w:type="paragraph" w:styleId="Heading1">
    <w:name w:val="heading 1"/>
    <w:basedOn w:val="Normal"/>
    <w:next w:val="Normal"/>
    <w:qFormat/>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pPr>
      <w:keepNext/>
      <w:numPr>
        <w:ilvl w:val="1"/>
        <w:numId w:val="3"/>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cs="Arial"/>
      <w:b/>
      <w:bCs/>
      <w:sz w:val="26"/>
      <w:szCs w:val="26"/>
    </w:rPr>
  </w:style>
  <w:style w:type="paragraph" w:styleId="Heading4">
    <w:name w:val="heading 4"/>
    <w:basedOn w:val="Normal"/>
    <w:next w:val="Normal"/>
    <w:qFormat/>
    <w:pPr>
      <w:keepNext/>
      <w:numPr>
        <w:ilvl w:val="3"/>
        <w:numId w:val="3"/>
      </w:numPr>
      <w:spacing w:before="240" w:after="60"/>
      <w:outlineLvl w:val="3"/>
    </w:pPr>
    <w:rPr>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Arial-BoldMT14ptFett">
    <w:name w:val="Formatvorlage Arial-BoldMT 14 pt Fett"/>
    <w:basedOn w:val="DefaultParagraphFont"/>
    <w:rPr>
      <w:rFonts w:ascii="Arial" w:hAnsi="Arial"/>
      <w:b/>
      <w:bCs/>
      <w:sz w:val="28"/>
    </w:rPr>
  </w:style>
  <w:style w:type="paragraph" w:customStyle="1" w:styleId="CM1">
    <w:name w:val="CM1"/>
    <w:basedOn w:val="Normal"/>
    <w:pPr>
      <w:widowControl w:val="0"/>
      <w:autoSpaceDE w:val="0"/>
      <w:autoSpaceDN w:val="0"/>
      <w:adjustRightInd w:val="0"/>
      <w:spacing w:line="231" w:lineRule="atLeast"/>
    </w:pPr>
    <w:rPr>
      <w:rFonts w:cs="Arial"/>
      <w:lang w:val="de-CH"/>
    </w:rPr>
  </w:style>
  <w:style w:type="paragraph" w:styleId="Header">
    <w:name w:val="header"/>
    <w:basedOn w:val="Normal"/>
    <w:pPr>
      <w:tabs>
        <w:tab w:val="center" w:pos="4536"/>
        <w:tab w:val="right" w:pos="9072"/>
      </w:tabs>
    </w:pPr>
  </w:style>
  <w:style w:type="character" w:customStyle="1" w:styleId="Formatvorlage9pt">
    <w:name w:val="Formatvorlage 9 pt"/>
    <w:basedOn w:val="DefaultParagraphFont"/>
    <w:rPr>
      <w:rFonts w:ascii="Arial" w:hAnsi="Arial"/>
      <w:sz w:val="18"/>
    </w:rPr>
  </w:style>
  <w:style w:type="character" w:customStyle="1" w:styleId="FormatvorlageArialMT9pt">
    <w:name w:val="Formatvorlage ArialMT 9 pt"/>
    <w:basedOn w:val="DefaultParagraphFont"/>
    <w:rPr>
      <w:rFonts w:ascii="Arial" w:hAnsi="Arial"/>
      <w:sz w:val="18"/>
    </w:rPr>
  </w:style>
  <w:style w:type="paragraph" w:customStyle="1" w:styleId="CM5">
    <w:name w:val="CM5"/>
    <w:basedOn w:val="Normal"/>
    <w:pPr>
      <w:widowControl w:val="0"/>
      <w:autoSpaceDE w:val="0"/>
      <w:autoSpaceDN w:val="0"/>
      <w:adjustRightInd w:val="0"/>
      <w:spacing w:after="205"/>
    </w:pPr>
    <w:rPr>
      <w:rFonts w:cs="Arial"/>
      <w:lang w:val="de-CH"/>
    </w:rPr>
  </w:style>
  <w:style w:type="character" w:styleId="Hyperlink">
    <w:name w:val="Hyperlink"/>
    <w:basedOn w:val="DefaultParagraphFont"/>
    <w:rPr>
      <w:color w:val="0000FF"/>
      <w:u w:val="single"/>
    </w:rPr>
  </w:style>
  <w:style w:type="paragraph" w:customStyle="1" w:styleId="Formatvorlage1">
    <w:name w:val="Formatvorlage1"/>
    <w:basedOn w:val="Normal"/>
    <w:pPr>
      <w:spacing w:before="100" w:after="100"/>
    </w:pPr>
    <w:rPr>
      <w:sz w:val="20"/>
      <w:szCs w:val="20"/>
    </w:rPr>
  </w:style>
  <w:style w:type="character" w:styleId="FollowedHyperlink">
    <w:name w:val="FollowedHyperlink"/>
    <w:basedOn w:val="DefaultParagraphFont"/>
    <w:rPr>
      <w:color w:val="800080"/>
      <w:u w:val="singl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Kopf">
    <w:name w:val="Kopf"/>
    <w:basedOn w:val="Normal"/>
    <w:link w:val="KopfCar"/>
    <w:pPr>
      <w:suppressAutoHyphens/>
      <w:spacing w:line="200" w:lineRule="exact"/>
    </w:pPr>
    <w:rPr>
      <w:rFonts w:cs="Arial"/>
      <w:noProof/>
      <w:sz w:val="15"/>
      <w:szCs w:val="15"/>
      <w:lang w:val="de-CH"/>
    </w:rPr>
  </w:style>
  <w:style w:type="character" w:customStyle="1" w:styleId="KopfCar">
    <w:name w:val="Kopf Car"/>
    <w:basedOn w:val="DefaultParagraphFont"/>
    <w:link w:val="Kopf"/>
    <w:rPr>
      <w:rFonts w:ascii="Arial" w:hAnsi="Arial" w:cs="Arial"/>
      <w:noProof/>
      <w:sz w:val="15"/>
      <w:szCs w:val="15"/>
      <w:lang w:val="de-CH" w:eastAsia="de-CH" w:bidi="ar-SA"/>
    </w:rPr>
  </w:style>
  <w:style w:type="paragraph" w:customStyle="1" w:styleId="Formatvorlage2">
    <w:name w:val="Formatvorlage2"/>
    <w:basedOn w:val="Normal"/>
    <w:pPr>
      <w:spacing w:before="100" w:after="100"/>
    </w:pPr>
    <w:rPr>
      <w:b/>
    </w:rPr>
  </w:style>
  <w:style w:type="paragraph" w:styleId="BalloonText">
    <w:name w:val="Balloon Text"/>
    <w:basedOn w:val="Normal"/>
    <w:semiHidden/>
    <w:rPr>
      <w:rFonts w:ascii="Tahoma" w:hAnsi="Tahoma" w:cs="Tahoma"/>
      <w:sz w:val="16"/>
      <w:szCs w:val="16"/>
    </w:rPr>
  </w:style>
  <w:style w:type="paragraph" w:customStyle="1" w:styleId="Logo">
    <w:name w:val="Logo"/>
    <w:rPr>
      <w:rFonts w:ascii="Arial" w:hAnsi="Arial"/>
      <w:noProof/>
      <w:sz w:val="15"/>
      <w:lang w:val="de-CH" w:eastAsia="de-CH"/>
    </w:rPr>
  </w:style>
  <w:style w:type="paragraph" w:customStyle="1" w:styleId="FormatvorlageCM4FettRechts068cmZeilenabstandMindestens143">
    <w:name w:val="Formatvorlage CM4 + Fett Rechts:  0.68 cm Zeilenabstand:  Mindestens 14.3..."/>
    <w:basedOn w:val="Normal"/>
    <w:pPr>
      <w:widowControl w:val="0"/>
      <w:autoSpaceDE w:val="0"/>
      <w:autoSpaceDN w:val="0"/>
      <w:adjustRightInd w:val="0"/>
      <w:spacing w:line="286" w:lineRule="atLeast"/>
      <w:ind w:right="386"/>
    </w:pPr>
    <w:rPr>
      <w:b/>
      <w:bCs/>
      <w:szCs w:val="20"/>
      <w:lang w:val="de-CH"/>
    </w:rPr>
  </w:style>
  <w:style w:type="paragraph" w:customStyle="1" w:styleId="Formatvorlage3">
    <w:name w:val="Formatvorlage3"/>
    <w:basedOn w:val="Normal"/>
    <w:pPr>
      <w:spacing w:before="100" w:after="100"/>
    </w:pPr>
    <w:rPr>
      <w:b/>
    </w:rPr>
  </w:style>
  <w:style w:type="table" w:styleId="TableGrid">
    <w:name w:val="Table Grid"/>
    <w:basedOn w:val="TableNormal"/>
    <w:pPr>
      <w:spacing w:before="20" w:after="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8.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footer" Target="footer76.xml"/><Relationship Id="rId170" Type="http://schemas.openxmlformats.org/officeDocument/2006/relationships/header" Target="header82.xml"/><Relationship Id="rId191" Type="http://schemas.openxmlformats.org/officeDocument/2006/relationships/footer" Target="footer92.xml"/><Relationship Id="rId205" Type="http://schemas.openxmlformats.org/officeDocument/2006/relationships/footer" Target="footer99.xml"/><Relationship Id="rId226" Type="http://schemas.openxmlformats.org/officeDocument/2006/relationships/header" Target="header110.xml"/><Relationship Id="rId247" Type="http://schemas.openxmlformats.org/officeDocument/2006/relationships/footer" Target="footer120.xml"/><Relationship Id="rId107" Type="http://schemas.openxmlformats.org/officeDocument/2006/relationships/footer" Target="footer50.xml"/><Relationship Id="rId268" Type="http://schemas.openxmlformats.org/officeDocument/2006/relationships/header" Target="header131.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5" Type="http://schemas.openxmlformats.org/officeDocument/2006/relationships/webSettings" Target="webSettings.xml"/><Relationship Id="rId95" Type="http://schemas.openxmlformats.org/officeDocument/2006/relationships/footer" Target="footer44.xml"/><Relationship Id="rId160" Type="http://schemas.openxmlformats.org/officeDocument/2006/relationships/header" Target="header77.xml"/><Relationship Id="rId181" Type="http://schemas.openxmlformats.org/officeDocument/2006/relationships/footer" Target="footer87.xml"/><Relationship Id="rId216" Type="http://schemas.openxmlformats.org/officeDocument/2006/relationships/header" Target="header105.xml"/><Relationship Id="rId237" Type="http://schemas.openxmlformats.org/officeDocument/2006/relationships/footer" Target="footer115.xml"/><Relationship Id="rId258" Type="http://schemas.openxmlformats.org/officeDocument/2006/relationships/header" Target="header126.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header" Target="header72.xml"/><Relationship Id="rId171" Type="http://schemas.openxmlformats.org/officeDocument/2006/relationships/footer" Target="footer82.xml"/><Relationship Id="rId192" Type="http://schemas.openxmlformats.org/officeDocument/2006/relationships/header" Target="header93.xml"/><Relationship Id="rId206" Type="http://schemas.openxmlformats.org/officeDocument/2006/relationships/header" Target="header100.xml"/><Relationship Id="rId227" Type="http://schemas.openxmlformats.org/officeDocument/2006/relationships/footer" Target="footer110.xml"/><Relationship Id="rId248" Type="http://schemas.openxmlformats.org/officeDocument/2006/relationships/header" Target="header121.xml"/><Relationship Id="rId269" Type="http://schemas.openxmlformats.org/officeDocument/2006/relationships/footer" Target="footer131.xml"/><Relationship Id="rId12" Type="http://schemas.openxmlformats.org/officeDocument/2006/relationships/header" Target="header3.xml"/><Relationship Id="rId33" Type="http://schemas.openxmlformats.org/officeDocument/2006/relationships/footer" Target="footer13.xml"/><Relationship Id="rId108" Type="http://schemas.openxmlformats.org/officeDocument/2006/relationships/header" Target="header51.xml"/><Relationship Id="rId129" Type="http://schemas.openxmlformats.org/officeDocument/2006/relationships/footer" Target="footer61.xml"/><Relationship Id="rId54" Type="http://schemas.openxmlformats.org/officeDocument/2006/relationships/header" Target="header24.xml"/><Relationship Id="rId75" Type="http://schemas.openxmlformats.org/officeDocument/2006/relationships/footer" Target="footer34.xml"/><Relationship Id="rId96" Type="http://schemas.openxmlformats.org/officeDocument/2006/relationships/header" Target="header45.xml"/><Relationship Id="rId140" Type="http://schemas.openxmlformats.org/officeDocument/2006/relationships/header" Target="header67.xml"/><Relationship Id="rId161" Type="http://schemas.openxmlformats.org/officeDocument/2006/relationships/footer" Target="footer77.xml"/><Relationship Id="rId182" Type="http://schemas.openxmlformats.org/officeDocument/2006/relationships/header" Target="header88.xml"/><Relationship Id="rId217" Type="http://schemas.openxmlformats.org/officeDocument/2006/relationships/footer" Target="footer105.xml"/><Relationship Id="rId6" Type="http://schemas.openxmlformats.org/officeDocument/2006/relationships/footnotes" Target="footnotes.xml"/><Relationship Id="rId238" Type="http://schemas.openxmlformats.org/officeDocument/2006/relationships/header" Target="header116.xml"/><Relationship Id="rId259" Type="http://schemas.openxmlformats.org/officeDocument/2006/relationships/footer" Target="footer126.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fontTable" Target="fontTable.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footer" Target="footer37.xml"/><Relationship Id="rId86" Type="http://schemas.openxmlformats.org/officeDocument/2006/relationships/header" Target="header40.xml"/><Relationship Id="rId130" Type="http://schemas.openxmlformats.org/officeDocument/2006/relationships/header" Target="header62.xml"/><Relationship Id="rId135" Type="http://schemas.openxmlformats.org/officeDocument/2006/relationships/footer" Target="footer64.xml"/><Relationship Id="rId151" Type="http://schemas.openxmlformats.org/officeDocument/2006/relationships/footer" Target="footer72.xml"/><Relationship Id="rId156" Type="http://schemas.openxmlformats.org/officeDocument/2006/relationships/header" Target="header75.xml"/><Relationship Id="rId177" Type="http://schemas.openxmlformats.org/officeDocument/2006/relationships/footer" Target="footer85.xml"/><Relationship Id="rId198" Type="http://schemas.openxmlformats.org/officeDocument/2006/relationships/header" Target="header96.xml"/><Relationship Id="rId172" Type="http://schemas.openxmlformats.org/officeDocument/2006/relationships/header" Target="header83.xml"/><Relationship Id="rId193" Type="http://schemas.openxmlformats.org/officeDocument/2006/relationships/footer" Target="footer93.xml"/><Relationship Id="rId202" Type="http://schemas.openxmlformats.org/officeDocument/2006/relationships/header" Target="header98.xml"/><Relationship Id="rId207" Type="http://schemas.openxmlformats.org/officeDocument/2006/relationships/footer" Target="footer100.xml"/><Relationship Id="rId223" Type="http://schemas.openxmlformats.org/officeDocument/2006/relationships/footer" Target="footer108.xml"/><Relationship Id="rId228" Type="http://schemas.openxmlformats.org/officeDocument/2006/relationships/header" Target="header111.xml"/><Relationship Id="rId244" Type="http://schemas.openxmlformats.org/officeDocument/2006/relationships/header" Target="header119.xml"/><Relationship Id="rId249" Type="http://schemas.openxmlformats.org/officeDocument/2006/relationships/footer" Target="footer12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51.xml"/><Relationship Id="rId260" Type="http://schemas.openxmlformats.org/officeDocument/2006/relationships/header" Target="header127.xml"/><Relationship Id="rId265" Type="http://schemas.openxmlformats.org/officeDocument/2006/relationships/footer" Target="footer129.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footer" Target="footer67.xml"/><Relationship Id="rId146" Type="http://schemas.openxmlformats.org/officeDocument/2006/relationships/header" Target="header70.xml"/><Relationship Id="rId167" Type="http://schemas.openxmlformats.org/officeDocument/2006/relationships/footer" Target="footer80.xml"/><Relationship Id="rId188"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header" Target="header78.xml"/><Relationship Id="rId183" Type="http://schemas.openxmlformats.org/officeDocument/2006/relationships/footer" Target="footer88.xml"/><Relationship Id="rId213" Type="http://schemas.openxmlformats.org/officeDocument/2006/relationships/footer" Target="footer103.xml"/><Relationship Id="rId218" Type="http://schemas.openxmlformats.org/officeDocument/2006/relationships/header" Target="header106.xml"/><Relationship Id="rId234" Type="http://schemas.openxmlformats.org/officeDocument/2006/relationships/header" Target="header114.xml"/><Relationship Id="rId239" Type="http://schemas.openxmlformats.org/officeDocument/2006/relationships/footer" Target="footer116.xml"/><Relationship Id="rId2" Type="http://schemas.openxmlformats.org/officeDocument/2006/relationships/styles" Target="styles.xml"/><Relationship Id="rId29" Type="http://schemas.openxmlformats.org/officeDocument/2006/relationships/footer" Target="footer11.xml"/><Relationship Id="rId250" Type="http://schemas.openxmlformats.org/officeDocument/2006/relationships/header" Target="header122.xml"/><Relationship Id="rId255" Type="http://schemas.openxmlformats.org/officeDocument/2006/relationships/footer" Target="footer124.xml"/><Relationship Id="rId271" Type="http://schemas.openxmlformats.org/officeDocument/2006/relationships/theme" Target="theme/theme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5.xml"/><Relationship Id="rId157" Type="http://schemas.openxmlformats.org/officeDocument/2006/relationships/footer" Target="footer75.xml"/><Relationship Id="rId178" Type="http://schemas.openxmlformats.org/officeDocument/2006/relationships/header" Target="header86.xml"/><Relationship Id="rId61" Type="http://schemas.openxmlformats.org/officeDocument/2006/relationships/footer" Target="footer27.xml"/><Relationship Id="rId82" Type="http://schemas.openxmlformats.org/officeDocument/2006/relationships/header" Target="header38.xml"/><Relationship Id="rId152" Type="http://schemas.openxmlformats.org/officeDocument/2006/relationships/header" Target="header73.xml"/><Relationship Id="rId173" Type="http://schemas.openxmlformats.org/officeDocument/2006/relationships/footer" Target="footer83.xml"/><Relationship Id="rId194" Type="http://schemas.openxmlformats.org/officeDocument/2006/relationships/header" Target="header94.xml"/><Relationship Id="rId199" Type="http://schemas.openxmlformats.org/officeDocument/2006/relationships/footer" Target="footer96.xml"/><Relationship Id="rId203" Type="http://schemas.openxmlformats.org/officeDocument/2006/relationships/footer" Target="footer98.xml"/><Relationship Id="rId208" Type="http://schemas.openxmlformats.org/officeDocument/2006/relationships/header" Target="header101.xml"/><Relationship Id="rId229" Type="http://schemas.openxmlformats.org/officeDocument/2006/relationships/footer" Target="footer111.xml"/><Relationship Id="rId19" Type="http://schemas.openxmlformats.org/officeDocument/2006/relationships/footer" Target="footer6.xml"/><Relationship Id="rId224" Type="http://schemas.openxmlformats.org/officeDocument/2006/relationships/header" Target="header109.xml"/><Relationship Id="rId240" Type="http://schemas.openxmlformats.org/officeDocument/2006/relationships/header" Target="header117.xml"/><Relationship Id="rId245" Type="http://schemas.openxmlformats.org/officeDocument/2006/relationships/footer" Target="footer119.xml"/><Relationship Id="rId261" Type="http://schemas.openxmlformats.org/officeDocument/2006/relationships/footer" Target="footer127.xml"/><Relationship Id="rId266" Type="http://schemas.openxmlformats.org/officeDocument/2006/relationships/header" Target="header130.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 Id="rId147" Type="http://schemas.openxmlformats.org/officeDocument/2006/relationships/footer" Target="footer70.xml"/><Relationship Id="rId168" Type="http://schemas.openxmlformats.org/officeDocument/2006/relationships/header" Target="header8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footer" Target="footer78.xml"/><Relationship Id="rId184" Type="http://schemas.openxmlformats.org/officeDocument/2006/relationships/header" Target="header89.xml"/><Relationship Id="rId189" Type="http://schemas.openxmlformats.org/officeDocument/2006/relationships/footer" Target="footer91.xml"/><Relationship Id="rId219" Type="http://schemas.openxmlformats.org/officeDocument/2006/relationships/footer" Target="footer106.xml"/><Relationship Id="rId3" Type="http://schemas.microsoft.com/office/2007/relationships/stylesWithEffects" Target="stylesWithEffects.xml"/><Relationship Id="rId214" Type="http://schemas.openxmlformats.org/officeDocument/2006/relationships/header" Target="header104.xml"/><Relationship Id="rId230" Type="http://schemas.openxmlformats.org/officeDocument/2006/relationships/header" Target="header112.xml"/><Relationship Id="rId235" Type="http://schemas.openxmlformats.org/officeDocument/2006/relationships/footer" Target="footer114.xml"/><Relationship Id="rId251" Type="http://schemas.openxmlformats.org/officeDocument/2006/relationships/footer" Target="footer122.xml"/><Relationship Id="rId256" Type="http://schemas.openxmlformats.org/officeDocument/2006/relationships/header" Target="header125.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header" Target="header63.xml"/><Relationship Id="rId153" Type="http://schemas.openxmlformats.org/officeDocument/2006/relationships/footer" Target="footer73.xml"/><Relationship Id="rId174" Type="http://schemas.openxmlformats.org/officeDocument/2006/relationships/header" Target="header84.xml"/><Relationship Id="rId179" Type="http://schemas.openxmlformats.org/officeDocument/2006/relationships/footer" Target="footer86.xml"/><Relationship Id="rId195" Type="http://schemas.openxmlformats.org/officeDocument/2006/relationships/footer" Target="footer94.xml"/><Relationship Id="rId209" Type="http://schemas.openxmlformats.org/officeDocument/2006/relationships/footer" Target="footer101.xml"/><Relationship Id="rId190" Type="http://schemas.openxmlformats.org/officeDocument/2006/relationships/header" Target="header92.xml"/><Relationship Id="rId204" Type="http://schemas.openxmlformats.org/officeDocument/2006/relationships/header" Target="header99.xml"/><Relationship Id="rId220" Type="http://schemas.openxmlformats.org/officeDocument/2006/relationships/header" Target="header107.xml"/><Relationship Id="rId225" Type="http://schemas.openxmlformats.org/officeDocument/2006/relationships/footer" Target="footer109.xml"/><Relationship Id="rId241" Type="http://schemas.openxmlformats.org/officeDocument/2006/relationships/footer" Target="footer117.xml"/><Relationship Id="rId246" Type="http://schemas.openxmlformats.org/officeDocument/2006/relationships/header" Target="header120.xml"/><Relationship Id="rId267" Type="http://schemas.openxmlformats.org/officeDocument/2006/relationships/footer" Target="footer130.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footer" Target="footer60.xml"/><Relationship Id="rId262" Type="http://schemas.openxmlformats.org/officeDocument/2006/relationships/header" Target="header128.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header" Target="header71.xml"/><Relationship Id="rId164" Type="http://schemas.openxmlformats.org/officeDocument/2006/relationships/header" Target="header79.xml"/><Relationship Id="rId169" Type="http://schemas.openxmlformats.org/officeDocument/2006/relationships/footer" Target="footer81.xml"/><Relationship Id="rId185" Type="http://schemas.openxmlformats.org/officeDocument/2006/relationships/footer" Target="footer89.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87.xml"/><Relationship Id="rId210" Type="http://schemas.openxmlformats.org/officeDocument/2006/relationships/header" Target="header102.xml"/><Relationship Id="rId215" Type="http://schemas.openxmlformats.org/officeDocument/2006/relationships/footer" Target="footer104.xml"/><Relationship Id="rId236" Type="http://schemas.openxmlformats.org/officeDocument/2006/relationships/header" Target="header115.xml"/><Relationship Id="rId257" Type="http://schemas.openxmlformats.org/officeDocument/2006/relationships/footer" Target="footer125.xml"/><Relationship Id="rId26" Type="http://schemas.openxmlformats.org/officeDocument/2006/relationships/header" Target="header10.xml"/><Relationship Id="rId231" Type="http://schemas.openxmlformats.org/officeDocument/2006/relationships/footer" Target="footer112.xml"/><Relationship Id="rId252" Type="http://schemas.openxmlformats.org/officeDocument/2006/relationships/header" Target="header123.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75" Type="http://schemas.openxmlformats.org/officeDocument/2006/relationships/footer" Target="footer84.xml"/><Relationship Id="rId196" Type="http://schemas.openxmlformats.org/officeDocument/2006/relationships/header" Target="header95.xml"/><Relationship Id="rId200" Type="http://schemas.openxmlformats.org/officeDocument/2006/relationships/header" Target="header97.xml"/><Relationship Id="rId16" Type="http://schemas.openxmlformats.org/officeDocument/2006/relationships/header" Target="header5.xml"/><Relationship Id="rId221" Type="http://schemas.openxmlformats.org/officeDocument/2006/relationships/footer" Target="footer107.xml"/><Relationship Id="rId242" Type="http://schemas.openxmlformats.org/officeDocument/2006/relationships/header" Target="header118.xml"/><Relationship Id="rId263" Type="http://schemas.openxmlformats.org/officeDocument/2006/relationships/footer" Target="footer128.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44" Type="http://schemas.openxmlformats.org/officeDocument/2006/relationships/header" Target="header69.xml"/><Relationship Id="rId90" Type="http://schemas.openxmlformats.org/officeDocument/2006/relationships/header" Target="header42.xml"/><Relationship Id="rId165" Type="http://schemas.openxmlformats.org/officeDocument/2006/relationships/footer" Target="footer79.xml"/><Relationship Id="rId186" Type="http://schemas.openxmlformats.org/officeDocument/2006/relationships/header" Target="header90.xml"/><Relationship Id="rId211" Type="http://schemas.openxmlformats.org/officeDocument/2006/relationships/footer" Target="footer102.xml"/><Relationship Id="rId232" Type="http://schemas.openxmlformats.org/officeDocument/2006/relationships/header" Target="header113.xml"/><Relationship Id="rId253" Type="http://schemas.openxmlformats.org/officeDocument/2006/relationships/footer" Target="footer123.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footer" Target="footer31.xml"/><Relationship Id="rId113" Type="http://schemas.openxmlformats.org/officeDocument/2006/relationships/footer" Target="footer53.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footer" Target="footer74.xml"/><Relationship Id="rId176" Type="http://schemas.openxmlformats.org/officeDocument/2006/relationships/header" Target="header85.xml"/><Relationship Id="rId197" Type="http://schemas.openxmlformats.org/officeDocument/2006/relationships/footer" Target="footer95.xml"/><Relationship Id="rId201" Type="http://schemas.openxmlformats.org/officeDocument/2006/relationships/footer" Target="footer97.xml"/><Relationship Id="rId222" Type="http://schemas.openxmlformats.org/officeDocument/2006/relationships/header" Target="header108.xml"/><Relationship Id="rId243" Type="http://schemas.openxmlformats.org/officeDocument/2006/relationships/footer" Target="footer118.xml"/><Relationship Id="rId264" Type="http://schemas.openxmlformats.org/officeDocument/2006/relationships/header" Target="header129.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 Id="rId187" Type="http://schemas.openxmlformats.org/officeDocument/2006/relationships/footer" Target="footer90.xml"/><Relationship Id="rId1" Type="http://schemas.openxmlformats.org/officeDocument/2006/relationships/numbering" Target="numbering.xml"/><Relationship Id="rId212" Type="http://schemas.openxmlformats.org/officeDocument/2006/relationships/header" Target="header103.xml"/><Relationship Id="rId233" Type="http://schemas.openxmlformats.org/officeDocument/2006/relationships/footer" Target="footer113.xml"/><Relationship Id="rId254" Type="http://schemas.openxmlformats.org/officeDocument/2006/relationships/header" Target="header124.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16510</Words>
  <Characters>100718</Characters>
  <Application>Microsoft Office Word</Application>
  <DocSecurity>0</DocSecurity>
  <Lines>839</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RIR0000- Header</vt:lpstr>
      <vt:lpstr>RIR0000- Header</vt:lpstr>
    </vt:vector>
  </TitlesOfParts>
  <Company>UVEK</Company>
  <LinksUpToDate>false</LinksUpToDate>
  <CharactersWithSpaces>116995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RIR0000- Header</dc:title>
  <dc:creator>u80746747</dc:creator>
  <cp:lastModifiedBy>Thomas Weber</cp:lastModifiedBy>
  <cp:revision>2</cp:revision>
  <cp:lastPrinted>2012-01-24T19:53:00Z</cp:lastPrinted>
  <dcterms:created xsi:type="dcterms:W3CDTF">2012-03-26T09:54:00Z</dcterms:created>
  <dcterms:modified xsi:type="dcterms:W3CDTF">2012-03-26T09:54:00Z</dcterms:modified>
</cp:coreProperties>
</file>