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4253"/>
      </w:tblGrid>
      <w:tr w:rsidR="007873E6" w:rsidRPr="00ED7BE1" w:rsidTr="00245A15">
        <w:trPr>
          <w:cantSplit/>
        </w:trPr>
        <w:tc>
          <w:tcPr>
            <w:tcW w:w="5670" w:type="dxa"/>
          </w:tcPr>
          <w:p w:rsidR="007873E6" w:rsidRPr="00ED7BE1" w:rsidRDefault="007873E6" w:rsidP="00245A15">
            <w:pPr>
              <w:ind w:right="282"/>
            </w:pPr>
            <w:r w:rsidRPr="00807D28">
              <w:rPr>
                <w:b/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28.25pt;height:66pt;visibility:visible">
                  <v:imagedata r:id="rId4" o:title=""/>
                </v:shape>
              </w:pict>
            </w:r>
          </w:p>
        </w:tc>
        <w:tc>
          <w:tcPr>
            <w:tcW w:w="4253" w:type="dxa"/>
          </w:tcPr>
          <w:p w:rsidR="007873E6" w:rsidRPr="00ED7BE1" w:rsidRDefault="007873E6" w:rsidP="00245A15">
            <w:pPr>
              <w:ind w:right="282"/>
              <w:jc w:val="right"/>
            </w:pPr>
          </w:p>
        </w:tc>
      </w:tr>
      <w:tr w:rsidR="007873E6" w:rsidRPr="00ED7BE1" w:rsidTr="00245A15">
        <w:tblPrEx>
          <w:tblCellMar>
            <w:left w:w="108" w:type="dxa"/>
            <w:right w:w="108" w:type="dxa"/>
          </w:tblCellMar>
        </w:tblPrEx>
        <w:tc>
          <w:tcPr>
            <w:tcW w:w="5670" w:type="dxa"/>
          </w:tcPr>
          <w:p w:rsidR="007873E6" w:rsidRPr="00ED7BE1" w:rsidRDefault="007873E6" w:rsidP="00245A15">
            <w:pPr>
              <w:pStyle w:val="Heading4"/>
              <w:ind w:right="-321"/>
            </w:pPr>
            <w:r w:rsidRPr="00ED7BE1">
              <w:t xml:space="preserve"> </w:t>
            </w:r>
          </w:p>
          <w:p w:rsidR="007873E6" w:rsidRPr="00ED7BE1" w:rsidRDefault="007873E6" w:rsidP="00245A15">
            <w:pPr>
              <w:pStyle w:val="Heading4"/>
              <w:ind w:right="-321"/>
            </w:pPr>
            <w:r w:rsidRPr="00ED7BE1">
              <w:t>SRD/MG</w:t>
            </w:r>
          </w:p>
        </w:tc>
        <w:tc>
          <w:tcPr>
            <w:tcW w:w="4253" w:type="dxa"/>
          </w:tcPr>
          <w:p w:rsidR="007873E6" w:rsidRPr="00ED7BE1" w:rsidRDefault="007873E6" w:rsidP="00245A15">
            <w:pPr>
              <w:ind w:right="282"/>
              <w:rPr>
                <w:sz w:val="12"/>
              </w:rPr>
            </w:pPr>
          </w:p>
          <w:p w:rsidR="007873E6" w:rsidRPr="00ED7BE1" w:rsidRDefault="007873E6" w:rsidP="00245A15">
            <w:pPr>
              <w:pStyle w:val="Heading4"/>
              <w:ind w:right="-321"/>
            </w:pPr>
          </w:p>
        </w:tc>
      </w:tr>
      <w:tr w:rsidR="007873E6" w:rsidRPr="00ED7BE1" w:rsidTr="00245A15">
        <w:tblPrEx>
          <w:tblCellMar>
            <w:left w:w="108" w:type="dxa"/>
            <w:right w:w="108" w:type="dxa"/>
          </w:tblCellMar>
        </w:tblPrEx>
        <w:tc>
          <w:tcPr>
            <w:tcW w:w="5670" w:type="dxa"/>
          </w:tcPr>
          <w:p w:rsidR="007873E6" w:rsidRPr="00ED7BE1" w:rsidRDefault="007873E6" w:rsidP="00245A15">
            <w:pPr>
              <w:pStyle w:val="Heading4"/>
              <w:ind w:right="-321"/>
            </w:pPr>
          </w:p>
        </w:tc>
        <w:tc>
          <w:tcPr>
            <w:tcW w:w="4253" w:type="dxa"/>
          </w:tcPr>
          <w:p w:rsidR="007873E6" w:rsidRPr="00ED7BE1" w:rsidRDefault="007873E6" w:rsidP="00245A15">
            <w:pPr>
              <w:pStyle w:val="Heading4"/>
              <w:ind w:right="-321"/>
            </w:pPr>
          </w:p>
        </w:tc>
      </w:tr>
      <w:tr w:rsidR="007873E6" w:rsidRPr="00ED7BE1" w:rsidTr="00245A15">
        <w:tblPrEx>
          <w:tblCellMar>
            <w:left w:w="108" w:type="dxa"/>
            <w:right w:w="108" w:type="dxa"/>
          </w:tblCellMar>
        </w:tblPrEx>
        <w:tc>
          <w:tcPr>
            <w:tcW w:w="5670" w:type="dxa"/>
          </w:tcPr>
          <w:p w:rsidR="007873E6" w:rsidRPr="00ED7BE1" w:rsidRDefault="007873E6" w:rsidP="00245A15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ED7BE1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</w:t>
            </w:r>
            <w:r w:rsidRPr="00ED7BE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d</w:t>
            </w:r>
            <w:r w:rsidRPr="00ED7BE1">
              <w:rPr>
                <w:rFonts w:ascii="Arial" w:hAnsi="Arial" w:cs="Arial"/>
                <w:b/>
                <w:sz w:val="24"/>
                <w:szCs w:val="24"/>
              </w:rPr>
              <w:t xml:space="preserve"> Meeting of SRD/MG </w:t>
            </w:r>
          </w:p>
          <w:p w:rsidR="007873E6" w:rsidRPr="00ED7BE1" w:rsidRDefault="007873E6" w:rsidP="00566708">
            <w:r>
              <w:rPr>
                <w:rFonts w:ascii="Arial" w:hAnsi="Arial" w:cs="Arial"/>
                <w:b/>
                <w:sz w:val="24"/>
                <w:szCs w:val="24"/>
              </w:rPr>
              <w:t>Biel</w:t>
            </w:r>
            <w:r w:rsidRPr="00ED7BE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ED7BE1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ED7B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September</w:t>
            </w:r>
            <w:r w:rsidRPr="00ED7BE1">
              <w:rPr>
                <w:rFonts w:ascii="Arial" w:hAnsi="Arial" w:cs="Arial"/>
                <w:b/>
                <w:sz w:val="24"/>
                <w:szCs w:val="24"/>
              </w:rPr>
              <w:t xml:space="preserve"> 2011</w:t>
            </w:r>
          </w:p>
        </w:tc>
        <w:tc>
          <w:tcPr>
            <w:tcW w:w="4253" w:type="dxa"/>
          </w:tcPr>
          <w:p w:rsidR="007873E6" w:rsidRPr="00ED7BE1" w:rsidRDefault="007873E6" w:rsidP="00245A15">
            <w:pPr>
              <w:pStyle w:val="Heading4"/>
              <w:ind w:right="-321"/>
            </w:pPr>
          </w:p>
          <w:p w:rsidR="007873E6" w:rsidRPr="00ED7BE1" w:rsidRDefault="007873E6" w:rsidP="00245A15">
            <w:pPr>
              <w:pStyle w:val="Heading4"/>
              <w:spacing w:after="60"/>
              <w:ind w:right="-317"/>
            </w:pPr>
            <w:r w:rsidRPr="00ED7BE1">
              <w:t xml:space="preserve">  </w:t>
            </w:r>
            <w:r>
              <w:t xml:space="preserve">                              </w:t>
            </w:r>
            <w:r w:rsidRPr="00ED7BE1">
              <w:t>SRDMG(11)</w:t>
            </w:r>
            <w:r>
              <w:t>071</w:t>
            </w:r>
          </w:p>
        </w:tc>
      </w:tr>
      <w:tr w:rsidR="007873E6" w:rsidRPr="00ED7BE1" w:rsidTr="00245A15">
        <w:tblPrEx>
          <w:tblCellMar>
            <w:left w:w="108" w:type="dxa"/>
            <w:right w:w="108" w:type="dxa"/>
          </w:tblCellMar>
        </w:tblPrEx>
        <w:tc>
          <w:tcPr>
            <w:tcW w:w="9923" w:type="dxa"/>
            <w:gridSpan w:val="2"/>
          </w:tcPr>
          <w:p w:rsidR="007873E6" w:rsidRPr="00ED7BE1" w:rsidRDefault="007873E6" w:rsidP="00245A15">
            <w:pPr>
              <w:pStyle w:val="Heading4"/>
              <w:tabs>
                <w:tab w:val="left" w:pos="8789"/>
              </w:tabs>
              <w:rPr>
                <w:rFonts w:cs="Arial"/>
                <w:szCs w:val="24"/>
              </w:rPr>
            </w:pPr>
          </w:p>
          <w:p w:rsidR="007873E6" w:rsidRPr="00ED7BE1" w:rsidRDefault="007873E6" w:rsidP="00245A15">
            <w:pPr>
              <w:pStyle w:val="Heading4"/>
              <w:tabs>
                <w:tab w:val="left" w:pos="8789"/>
              </w:tabs>
              <w:jc w:val="both"/>
              <w:rPr>
                <w:rFonts w:cs="Arial"/>
                <w:b w:val="0"/>
                <w:szCs w:val="24"/>
              </w:rPr>
            </w:pPr>
            <w:r w:rsidRPr="00ED7BE1">
              <w:rPr>
                <w:rFonts w:cs="Arial"/>
                <w:szCs w:val="24"/>
              </w:rPr>
              <w:t xml:space="preserve">Date issued: </w:t>
            </w:r>
            <w:r w:rsidRPr="000A39FA">
              <w:rPr>
                <w:rFonts w:cs="Arial"/>
                <w:szCs w:val="24"/>
              </w:rPr>
              <w:t>28 July 2011</w:t>
            </w:r>
          </w:p>
          <w:p w:rsidR="007873E6" w:rsidRPr="00ED7BE1" w:rsidRDefault="007873E6" w:rsidP="00245A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73E6" w:rsidRPr="00ED7BE1" w:rsidRDefault="007873E6" w:rsidP="00245A15">
            <w:pPr>
              <w:pStyle w:val="Heading4"/>
              <w:tabs>
                <w:tab w:val="left" w:pos="8789"/>
              </w:tabs>
              <w:rPr>
                <w:rFonts w:cs="Arial"/>
                <w:szCs w:val="24"/>
              </w:rPr>
            </w:pPr>
            <w:r w:rsidRPr="00ED7BE1">
              <w:rPr>
                <w:rFonts w:cs="Arial"/>
                <w:szCs w:val="24"/>
              </w:rPr>
              <w:t xml:space="preserve">Source: </w:t>
            </w:r>
            <w:r>
              <w:rPr>
                <w:rFonts w:cs="Arial"/>
                <w:szCs w:val="24"/>
              </w:rPr>
              <w:t>Portugal</w:t>
            </w:r>
          </w:p>
          <w:p w:rsidR="007873E6" w:rsidRPr="00ED7BE1" w:rsidRDefault="007873E6" w:rsidP="00245A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873E6" w:rsidRDefault="007873E6" w:rsidP="00245A15">
            <w:pPr>
              <w:pStyle w:val="Header"/>
              <w:ind w:left="999" w:hanging="999"/>
              <w:rPr>
                <w:rFonts w:ascii="Arial" w:hAnsi="Arial" w:cs="Arial"/>
                <w:b/>
                <w:sz w:val="24"/>
                <w:szCs w:val="24"/>
              </w:rPr>
            </w:pPr>
            <w:r w:rsidRPr="00ED7BE1">
              <w:rPr>
                <w:rFonts w:ascii="Arial" w:hAnsi="Arial" w:cs="Arial"/>
                <w:b/>
                <w:sz w:val="24"/>
                <w:szCs w:val="24"/>
              </w:rPr>
              <w:t xml:space="preserve">Subject: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Vehicle radars in Annexes 5 and 6 of ERC Recommendation 70-03 </w:t>
            </w:r>
          </w:p>
          <w:p w:rsidR="007873E6" w:rsidRPr="00ED7BE1" w:rsidRDefault="007873E6" w:rsidP="00245A15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873E6" w:rsidRPr="00ED7BE1" w:rsidRDefault="007873E6" w:rsidP="00566708">
      <w:pPr>
        <w:ind w:right="-852"/>
        <w:jc w:val="right"/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5pt;margin-top:7.8pt;width:36pt;height:18pt;z-index:251658240;mso-position-horizontal-relative:text;mso-position-vertical-relative:text">
            <v:textbox style="mso-next-textbox:#_x0000_s1026">
              <w:txbxContent>
                <w:p w:rsidR="007873E6" w:rsidRPr="00BB0117" w:rsidRDefault="007873E6" w:rsidP="00566708">
                  <w:pPr>
                    <w:jc w:val="center"/>
                    <w:rPr>
                      <w:lang w:val="en-IE"/>
                    </w:rPr>
                  </w:pPr>
                  <w:r>
                    <w:rPr>
                      <w:lang w:val="en-IE"/>
                    </w:rPr>
                    <w:t>N</w:t>
                  </w:r>
                </w:p>
              </w:txbxContent>
            </v:textbox>
          </v:shape>
        </w:pict>
      </w:r>
    </w:p>
    <w:p w:rsidR="007873E6" w:rsidRPr="00ED7BE1" w:rsidRDefault="007873E6" w:rsidP="00566708">
      <w:pPr>
        <w:ind w:right="-852" w:hanging="540"/>
      </w:pPr>
      <w:r w:rsidRPr="00ED7BE1">
        <w:t xml:space="preserve">Password protection required? (N)  </w:t>
      </w:r>
    </w:p>
    <w:p w:rsidR="007873E6" w:rsidRPr="00ED7BE1" w:rsidRDefault="007873E6" w:rsidP="00566708">
      <w:pPr>
        <w:ind w:right="-852"/>
        <w:jc w:val="right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7873E6" w:rsidRPr="00ED7BE1" w:rsidTr="00245A15">
        <w:tc>
          <w:tcPr>
            <w:tcW w:w="9923" w:type="dxa"/>
          </w:tcPr>
          <w:p w:rsidR="007873E6" w:rsidRPr="00ED7BE1" w:rsidRDefault="007873E6" w:rsidP="00245A15">
            <w:pPr>
              <w:rPr>
                <w:rFonts w:ascii="Arial" w:hAnsi="Arial" w:cs="Arial"/>
                <w:b/>
              </w:rPr>
            </w:pPr>
          </w:p>
          <w:p w:rsidR="007873E6" w:rsidRPr="00ED7BE1" w:rsidRDefault="007873E6" w:rsidP="00245A15">
            <w:pPr>
              <w:pStyle w:val="Heading3"/>
              <w:jc w:val="left"/>
              <w:rPr>
                <w:rFonts w:cs="Arial"/>
              </w:rPr>
            </w:pPr>
            <w:r w:rsidRPr="00ED7BE1">
              <w:rPr>
                <w:rFonts w:cs="Arial"/>
              </w:rPr>
              <w:t>Summary</w:t>
            </w:r>
          </w:p>
          <w:p w:rsidR="007873E6" w:rsidRDefault="007873E6" w:rsidP="00245A1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73E6" w:rsidRDefault="007873E6" w:rsidP="00245A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Annexes 5 and 6 of ERC Recommendation 70-03 (</w:t>
            </w:r>
            <w:r w:rsidRPr="008D5989">
              <w:rPr>
                <w:rFonts w:ascii="Arial" w:hAnsi="Arial" w:cs="Arial"/>
                <w:sz w:val="22"/>
                <w:szCs w:val="22"/>
                <w:lang w:val="en-US"/>
              </w:rPr>
              <w:t>Version of 9 February 2011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) allow different emission limits for radar systems in the band 24.05 – 24.25 GHz.</w:t>
            </w:r>
          </w:p>
          <w:p w:rsidR="007873E6" w:rsidRDefault="007873E6" w:rsidP="00245A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73E6" w:rsidRDefault="007873E6" w:rsidP="00245A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Portugal is of the view that both entries for radar systems, as contained in Annexes 5 and 6 of ERC/REC 70-03, should have some text explaining the corresponding regulatory solutions. These clarifications should give the rationale for the two distinct entries in ERC/REC 70-03 for the band 24.05 – 24.25 GHz, in order to avoid the implementation of both by national administrations.</w:t>
            </w:r>
          </w:p>
          <w:p w:rsidR="007873E6" w:rsidRDefault="007873E6" w:rsidP="00245A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873E6" w:rsidRPr="00B35991" w:rsidRDefault="007873E6" w:rsidP="00245A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In addition, it is proposed that SRD/MG investigates if it is possible to concentrate in a single Annex of ERC/REC 70-03 the use of Vehicle Radars in the band 24.05 – 24.25 GHz.</w:t>
            </w:r>
          </w:p>
          <w:p w:rsidR="007873E6" w:rsidRPr="008D5989" w:rsidRDefault="007873E6" w:rsidP="00245A15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873E6" w:rsidRPr="00ED7BE1" w:rsidTr="00245A15">
        <w:tc>
          <w:tcPr>
            <w:tcW w:w="9923" w:type="dxa"/>
          </w:tcPr>
          <w:p w:rsidR="007873E6" w:rsidRPr="00ED7BE1" w:rsidRDefault="007873E6" w:rsidP="00245A15">
            <w:pPr>
              <w:pStyle w:val="Heading3"/>
              <w:rPr>
                <w:rFonts w:cs="Arial"/>
              </w:rPr>
            </w:pPr>
          </w:p>
          <w:p w:rsidR="007873E6" w:rsidRPr="00ED7BE1" w:rsidRDefault="007873E6" w:rsidP="00245A15">
            <w:pPr>
              <w:pStyle w:val="Heading3"/>
              <w:jc w:val="left"/>
              <w:rPr>
                <w:rFonts w:cs="Arial"/>
              </w:rPr>
            </w:pPr>
            <w:r w:rsidRPr="00ED7BE1">
              <w:rPr>
                <w:rFonts w:cs="Arial"/>
              </w:rPr>
              <w:t>Proposal</w:t>
            </w:r>
          </w:p>
          <w:p w:rsidR="007873E6" w:rsidRPr="00ED7BE1" w:rsidRDefault="007873E6" w:rsidP="00245A15"/>
          <w:p w:rsidR="007873E6" w:rsidRDefault="007873E6" w:rsidP="00C60C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22B">
              <w:rPr>
                <w:rFonts w:ascii="Arial" w:hAnsi="Arial" w:cs="Arial"/>
                <w:sz w:val="22"/>
                <w:szCs w:val="22"/>
              </w:rPr>
              <w:t xml:space="preserve">SRD/MG </w:t>
            </w:r>
            <w:r>
              <w:rPr>
                <w:rFonts w:ascii="Arial" w:hAnsi="Arial" w:cs="Arial"/>
                <w:sz w:val="22"/>
                <w:szCs w:val="22"/>
              </w:rPr>
              <w:t xml:space="preserve">is invited to clarify the regulatory solutions proposed for radars systems in Annexes 5 and 6 of Recommendation 70-03 in the band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24.05 – 24.25 GHz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873E6" w:rsidRPr="000E122B" w:rsidRDefault="007873E6" w:rsidP="00245A15">
            <w:pPr>
              <w:rPr>
                <w:rFonts w:ascii="Arial" w:hAnsi="Arial" w:cs="Arial"/>
                <w:sz w:val="22"/>
                <w:szCs w:val="22"/>
              </w:rPr>
            </w:pPr>
          </w:p>
          <w:p w:rsidR="007873E6" w:rsidRPr="00ED7BE1" w:rsidRDefault="007873E6" w:rsidP="00245A15">
            <w:pPr>
              <w:rPr>
                <w:rFonts w:ascii="Arial" w:hAnsi="Arial" w:cs="Arial"/>
              </w:rPr>
            </w:pPr>
          </w:p>
        </w:tc>
      </w:tr>
    </w:tbl>
    <w:p w:rsidR="007873E6" w:rsidRDefault="007873E6" w:rsidP="000F0F89">
      <w:pPr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rPr>
          <w:rFonts w:ascii="Arial" w:hAnsi="Arial" w:cs="Arial"/>
          <w:sz w:val="22"/>
          <w:szCs w:val="22"/>
        </w:rPr>
      </w:pPr>
    </w:p>
    <w:p w:rsidR="007873E6" w:rsidRDefault="007873E6" w:rsidP="00CF0F7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CF0F74">
        <w:rPr>
          <w:rFonts w:ascii="Arial" w:hAnsi="Arial" w:cs="Arial"/>
          <w:sz w:val="22"/>
          <w:szCs w:val="22"/>
          <w:lang w:val="en-US"/>
        </w:rPr>
        <w:t>Annex 5 of Recommendation 70-03, Road Transport and Traffic Telematics (RTTT), covers frequency bands and regulatory as well as informative parameters recommended for RTTT including radar system installations to be used in vehicles.</w:t>
      </w:r>
      <w:r>
        <w:rPr>
          <w:rFonts w:ascii="Arial" w:hAnsi="Arial" w:cs="Arial"/>
          <w:sz w:val="22"/>
          <w:szCs w:val="22"/>
          <w:lang w:val="en-US"/>
        </w:rPr>
        <w:t xml:space="preserve"> The following emission limits are proposed for the band 24.05 – 24.25 GHz:</w:t>
      </w:r>
    </w:p>
    <w:p w:rsidR="007873E6" w:rsidRPr="00CF0F74" w:rsidRDefault="007873E6" w:rsidP="00CF0F7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7873E6" w:rsidRDefault="007873E6" w:rsidP="00CF0F7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07D28">
        <w:rPr>
          <w:rFonts w:ascii="Arial" w:hAnsi="Arial" w:cs="Arial"/>
          <w:noProof/>
          <w:sz w:val="22"/>
          <w:szCs w:val="22"/>
          <w:lang w:val="en-US" w:eastAsia="en-US"/>
        </w:rPr>
        <w:pict>
          <v:shape id="Picture 2" o:spid="_x0000_i1026" type="#_x0000_t75" style="width:444.75pt;height:128.25pt;visibility:visible">
            <v:imagedata r:id="rId5" o:title=""/>
          </v:shape>
        </w:pict>
      </w:r>
    </w:p>
    <w:p w:rsidR="007873E6" w:rsidRDefault="007873E6" w:rsidP="002B6D3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873E6" w:rsidRDefault="007873E6" w:rsidP="002B6D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300 440 is the relevant harmonised ETSI standard for this band and is pending replacement by EN 302 858 which is under development.</w:t>
      </w: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p w:rsidR="007873E6" w:rsidRPr="00BB0109" w:rsidRDefault="007873E6" w:rsidP="00BB0109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B0109">
        <w:rPr>
          <w:rFonts w:ascii="Arial" w:hAnsi="Arial" w:cs="Arial"/>
          <w:sz w:val="22"/>
          <w:szCs w:val="22"/>
          <w:lang w:val="en-US"/>
        </w:rPr>
        <w:t xml:space="preserve">Annex 6 of </w:t>
      </w:r>
      <w:r w:rsidRPr="00CF0F74">
        <w:rPr>
          <w:rFonts w:ascii="Arial" w:hAnsi="Arial" w:cs="Arial"/>
          <w:sz w:val="22"/>
          <w:szCs w:val="22"/>
          <w:lang w:val="en-US"/>
        </w:rPr>
        <w:t>Recommendation 70-03</w:t>
      </w:r>
      <w:r>
        <w:rPr>
          <w:rFonts w:ascii="Arial" w:hAnsi="Arial" w:cs="Arial"/>
          <w:sz w:val="22"/>
          <w:szCs w:val="22"/>
          <w:lang w:val="en-US"/>
        </w:rPr>
        <w:t>, “</w:t>
      </w:r>
      <w:r w:rsidRPr="00BB0109">
        <w:rPr>
          <w:rFonts w:ascii="Arial" w:hAnsi="Arial" w:cs="Arial"/>
          <w:sz w:val="22"/>
          <w:szCs w:val="22"/>
          <w:lang w:val="en-US"/>
        </w:rPr>
        <w:t>Radiodetermination applications</w:t>
      </w:r>
      <w:r>
        <w:rPr>
          <w:rFonts w:ascii="Arial" w:hAnsi="Arial" w:cs="Arial"/>
          <w:sz w:val="22"/>
          <w:szCs w:val="22"/>
          <w:lang w:val="en-US"/>
        </w:rPr>
        <w:t xml:space="preserve">”, </w:t>
      </w:r>
      <w:r w:rsidRPr="00BB0109">
        <w:rPr>
          <w:rFonts w:ascii="Arial" w:hAnsi="Arial" w:cs="Arial"/>
          <w:sz w:val="22"/>
          <w:szCs w:val="22"/>
          <w:lang w:val="en-US"/>
        </w:rPr>
        <w:t>covers frequency bands and regulatory as well as informative parameters recommended for SRD radiodetermination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BB0109">
        <w:rPr>
          <w:rFonts w:ascii="Arial" w:hAnsi="Arial" w:cs="Arial"/>
          <w:sz w:val="22"/>
          <w:szCs w:val="22"/>
          <w:lang w:val="en-US"/>
        </w:rPr>
        <w:t>applications including SRD radar systems, Equipment for Detecting Movement and Alert. Radiodetermination is defined as the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BB0109">
        <w:rPr>
          <w:rFonts w:ascii="Arial" w:hAnsi="Arial" w:cs="Arial"/>
          <w:sz w:val="22"/>
          <w:szCs w:val="22"/>
          <w:lang w:val="en-US"/>
        </w:rPr>
        <w:t>determination of the position, velocity and/or other characteristics of an object, or the obtaining of information relating to these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BB0109">
        <w:rPr>
          <w:rFonts w:ascii="Arial" w:hAnsi="Arial" w:cs="Arial"/>
          <w:sz w:val="22"/>
          <w:szCs w:val="22"/>
          <w:lang w:val="en-US"/>
        </w:rPr>
        <w:t>parameters, by means of the propagation properties of radio waves.</w:t>
      </w:r>
      <w:r>
        <w:rPr>
          <w:rFonts w:ascii="Arial" w:hAnsi="Arial" w:cs="Arial"/>
          <w:sz w:val="22"/>
          <w:szCs w:val="22"/>
          <w:lang w:val="en-US"/>
        </w:rPr>
        <w:t xml:space="preserve"> The following emission limits are proposed for the band 24.05 – 24.25 GHz:</w:t>
      </w: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  <w:r w:rsidRPr="00807D28">
        <w:rPr>
          <w:rFonts w:ascii="Arial" w:hAnsi="Arial" w:cs="Arial"/>
          <w:noProof/>
          <w:sz w:val="22"/>
          <w:szCs w:val="22"/>
          <w:lang w:val="en-US" w:eastAsia="en-US"/>
        </w:rPr>
        <w:pict>
          <v:shape id="Picture 3" o:spid="_x0000_i1027" type="#_x0000_t75" style="width:447.75pt;height:45pt;visibility:visible">
            <v:imagedata r:id="rId6" o:title=""/>
          </v:shape>
        </w:pict>
      </w:r>
    </w:p>
    <w:p w:rsidR="007873E6" w:rsidRDefault="007873E6" w:rsidP="00A00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300 440 is the relevant harmonised ETSI standard for this band, the same as for Annex 5.</w:t>
      </w: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p w:rsidR="007873E6" w:rsidRDefault="007873E6" w:rsidP="003712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this, it can be concluded that there are two different regulatory solutions for the same application, i.e. radar systems in the band </w:t>
      </w:r>
      <w:r>
        <w:rPr>
          <w:rFonts w:ascii="Arial" w:hAnsi="Arial" w:cs="Arial"/>
          <w:sz w:val="22"/>
          <w:szCs w:val="22"/>
          <w:lang w:val="en-US"/>
        </w:rPr>
        <w:t>24.05 – 24.25 GHz</w:t>
      </w:r>
      <w:r>
        <w:rPr>
          <w:rFonts w:ascii="Arial" w:hAnsi="Arial" w:cs="Arial"/>
          <w:sz w:val="22"/>
          <w:szCs w:val="22"/>
        </w:rPr>
        <w:t>.</w:t>
      </w: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p w:rsidR="007873E6" w:rsidRDefault="007873E6" w:rsidP="005C3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Concerning the implementation status as presented in Appendix 1 of ERC/Rec 70-03, it can be seen that some countries implement both Annex 5 and 6 for the frequency band </w:t>
      </w:r>
      <w:r>
        <w:rPr>
          <w:rFonts w:ascii="Arial" w:hAnsi="Arial" w:cs="Arial"/>
          <w:sz w:val="22"/>
          <w:szCs w:val="22"/>
          <w:lang w:val="en-US"/>
        </w:rPr>
        <w:t>24.05 – 24.25 GHz, which, in our understanding, is a contradiction, as different limits are being authorized for the same application.</w:t>
      </w: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  <w:r w:rsidRPr="00807D28">
        <w:rPr>
          <w:rFonts w:ascii="Arial" w:hAnsi="Arial" w:cs="Arial"/>
          <w:noProof/>
          <w:sz w:val="22"/>
          <w:szCs w:val="22"/>
          <w:lang w:val="en-US" w:eastAsia="en-US"/>
        </w:rPr>
        <w:pict>
          <v:shape id="Picture 4" o:spid="_x0000_i1028" type="#_x0000_t75" style="width:450.75pt;height:51pt;visibility:visible">
            <v:imagedata r:id="rId7" o:title=""/>
          </v:shape>
        </w:pict>
      </w: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p w:rsidR="007873E6" w:rsidRDefault="007873E6" w:rsidP="0023202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Portugal requests </w:t>
      </w:r>
      <w:r w:rsidRPr="00632D02">
        <w:rPr>
          <w:rFonts w:ascii="Arial" w:hAnsi="Arial" w:cs="Arial"/>
          <w:b/>
          <w:sz w:val="22"/>
          <w:szCs w:val="22"/>
        </w:rPr>
        <w:t xml:space="preserve">SRD/MG </w:t>
      </w:r>
      <w:r>
        <w:rPr>
          <w:rFonts w:ascii="Arial" w:hAnsi="Arial" w:cs="Arial"/>
          <w:b/>
          <w:sz w:val="22"/>
          <w:szCs w:val="22"/>
        </w:rPr>
        <w:t xml:space="preserve">to </w:t>
      </w:r>
      <w:r w:rsidRPr="00632D02">
        <w:rPr>
          <w:rFonts w:ascii="Arial" w:hAnsi="Arial" w:cs="Arial"/>
          <w:b/>
          <w:sz w:val="22"/>
          <w:szCs w:val="22"/>
        </w:rPr>
        <w:t>clarif</w:t>
      </w:r>
      <w:r>
        <w:rPr>
          <w:rFonts w:ascii="Arial" w:hAnsi="Arial" w:cs="Arial"/>
          <w:b/>
          <w:sz w:val="22"/>
          <w:szCs w:val="22"/>
        </w:rPr>
        <w:t>y</w:t>
      </w:r>
      <w:r w:rsidRPr="00632D02">
        <w:rPr>
          <w:rFonts w:ascii="Arial" w:hAnsi="Arial" w:cs="Arial"/>
          <w:b/>
          <w:sz w:val="22"/>
          <w:szCs w:val="22"/>
        </w:rPr>
        <w:t xml:space="preserve"> the regulatory solutions proposed for radars </w:t>
      </w:r>
      <w:r>
        <w:rPr>
          <w:rFonts w:ascii="Arial" w:hAnsi="Arial" w:cs="Arial"/>
          <w:b/>
          <w:sz w:val="22"/>
          <w:szCs w:val="22"/>
        </w:rPr>
        <w:t xml:space="preserve">systems </w:t>
      </w:r>
      <w:r w:rsidRPr="00632D02">
        <w:rPr>
          <w:rFonts w:ascii="Arial" w:hAnsi="Arial" w:cs="Arial"/>
          <w:b/>
          <w:sz w:val="22"/>
          <w:szCs w:val="22"/>
        </w:rPr>
        <w:t xml:space="preserve">in Annexes 5 and 6 of Recommendation 70-03 in the band </w:t>
      </w:r>
      <w:r w:rsidRPr="00632D02">
        <w:rPr>
          <w:rFonts w:ascii="Arial" w:hAnsi="Arial" w:cs="Arial"/>
          <w:b/>
          <w:sz w:val="22"/>
          <w:szCs w:val="22"/>
          <w:lang w:val="en-US"/>
        </w:rPr>
        <w:t>24.05 – 24.25 GHz</w:t>
      </w:r>
      <w:r>
        <w:rPr>
          <w:rFonts w:ascii="Arial" w:hAnsi="Arial" w:cs="Arial"/>
          <w:b/>
          <w:sz w:val="22"/>
          <w:szCs w:val="22"/>
          <w:lang w:val="en-US"/>
        </w:rPr>
        <w:t>, aiming at solving the existing ambiguity</w:t>
      </w:r>
      <w:r w:rsidRPr="00632D02">
        <w:rPr>
          <w:rFonts w:ascii="Arial" w:hAnsi="Arial" w:cs="Arial"/>
          <w:b/>
          <w:sz w:val="22"/>
          <w:szCs w:val="22"/>
          <w:lang w:val="en-US"/>
        </w:rPr>
        <w:t>.</w:t>
      </w:r>
    </w:p>
    <w:p w:rsidR="007873E6" w:rsidRPr="0091611C" w:rsidRDefault="007873E6" w:rsidP="002320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873E6" w:rsidRDefault="007873E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C726C">
        <w:rPr>
          <w:rFonts w:ascii="Arial" w:hAnsi="Arial" w:cs="Arial"/>
          <w:b/>
          <w:sz w:val="22"/>
          <w:szCs w:val="22"/>
        </w:rPr>
        <w:t xml:space="preserve">In addition, it is proposed that SRD/MG investigates if it is possible to concentrate in a single </w:t>
      </w:r>
      <w:r>
        <w:rPr>
          <w:rFonts w:ascii="Arial" w:hAnsi="Arial" w:cs="Arial"/>
          <w:b/>
          <w:sz w:val="22"/>
          <w:szCs w:val="22"/>
        </w:rPr>
        <w:t>A</w:t>
      </w:r>
      <w:r w:rsidRPr="00FC726C">
        <w:rPr>
          <w:rFonts w:ascii="Arial" w:hAnsi="Arial" w:cs="Arial"/>
          <w:b/>
          <w:sz w:val="22"/>
          <w:szCs w:val="22"/>
        </w:rPr>
        <w:t>nnex of ERC/REC 70-03 the use of Vehicle Radars in the band 24.05 – 24.25 GHz.</w:t>
      </w:r>
    </w:p>
    <w:p w:rsidR="007873E6" w:rsidRPr="0091611C" w:rsidRDefault="007873E6" w:rsidP="0023202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p w:rsidR="007873E6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p w:rsidR="007873E6" w:rsidRPr="000E122B" w:rsidRDefault="007873E6" w:rsidP="000F0F8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873E6" w:rsidRPr="000E122B" w:rsidSect="00BF0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708"/>
    <w:rsid w:val="00021746"/>
    <w:rsid w:val="00040500"/>
    <w:rsid w:val="000A39FA"/>
    <w:rsid w:val="000E122B"/>
    <w:rsid w:val="000F0F89"/>
    <w:rsid w:val="00122434"/>
    <w:rsid w:val="001452B5"/>
    <w:rsid w:val="00174559"/>
    <w:rsid w:val="0018123C"/>
    <w:rsid w:val="0019563D"/>
    <w:rsid w:val="001A4149"/>
    <w:rsid w:val="001C4B48"/>
    <w:rsid w:val="00216A7F"/>
    <w:rsid w:val="0023202E"/>
    <w:rsid w:val="00245A15"/>
    <w:rsid w:val="002B6D3A"/>
    <w:rsid w:val="002F4130"/>
    <w:rsid w:val="002F4F27"/>
    <w:rsid w:val="0037122B"/>
    <w:rsid w:val="003804C4"/>
    <w:rsid w:val="0040488F"/>
    <w:rsid w:val="00464F2F"/>
    <w:rsid w:val="00566708"/>
    <w:rsid w:val="005A7A5E"/>
    <w:rsid w:val="005C3B16"/>
    <w:rsid w:val="0061378F"/>
    <w:rsid w:val="00632D02"/>
    <w:rsid w:val="00667D1D"/>
    <w:rsid w:val="00712902"/>
    <w:rsid w:val="00765549"/>
    <w:rsid w:val="007873E6"/>
    <w:rsid w:val="00790E09"/>
    <w:rsid w:val="00807D28"/>
    <w:rsid w:val="00842BB8"/>
    <w:rsid w:val="008857C6"/>
    <w:rsid w:val="008D5989"/>
    <w:rsid w:val="008E2AE5"/>
    <w:rsid w:val="008F0211"/>
    <w:rsid w:val="008F76F8"/>
    <w:rsid w:val="00903A80"/>
    <w:rsid w:val="0091611C"/>
    <w:rsid w:val="0095346D"/>
    <w:rsid w:val="00961A50"/>
    <w:rsid w:val="0096315A"/>
    <w:rsid w:val="009A3719"/>
    <w:rsid w:val="009F20CB"/>
    <w:rsid w:val="00A0077C"/>
    <w:rsid w:val="00A16608"/>
    <w:rsid w:val="00A238D5"/>
    <w:rsid w:val="00AE545E"/>
    <w:rsid w:val="00B17656"/>
    <w:rsid w:val="00B35991"/>
    <w:rsid w:val="00B47FCB"/>
    <w:rsid w:val="00B626BF"/>
    <w:rsid w:val="00BB0109"/>
    <w:rsid w:val="00BB0117"/>
    <w:rsid w:val="00BC2959"/>
    <w:rsid w:val="00BF0B0B"/>
    <w:rsid w:val="00C26860"/>
    <w:rsid w:val="00C33117"/>
    <w:rsid w:val="00C35D82"/>
    <w:rsid w:val="00C60CD3"/>
    <w:rsid w:val="00CA2F2F"/>
    <w:rsid w:val="00CB16A2"/>
    <w:rsid w:val="00CF0F74"/>
    <w:rsid w:val="00CF1F7B"/>
    <w:rsid w:val="00D42EE2"/>
    <w:rsid w:val="00D84FF9"/>
    <w:rsid w:val="00DF52A6"/>
    <w:rsid w:val="00E36E72"/>
    <w:rsid w:val="00E51E3E"/>
    <w:rsid w:val="00E83E6E"/>
    <w:rsid w:val="00EA3C35"/>
    <w:rsid w:val="00ED7BE1"/>
    <w:rsid w:val="00F04163"/>
    <w:rsid w:val="00F67091"/>
    <w:rsid w:val="00F77035"/>
    <w:rsid w:val="00FA6DC6"/>
    <w:rsid w:val="00FC726C"/>
    <w:rsid w:val="00FD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08"/>
    <w:rPr>
      <w:rFonts w:ascii="Times New Roman" w:eastAsia="Times New Roman" w:hAnsi="Times New Roman"/>
      <w:sz w:val="20"/>
      <w:szCs w:val="20"/>
      <w:lang w:val="en-GB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6708"/>
    <w:pPr>
      <w:keepNext/>
      <w:jc w:val="right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6708"/>
    <w:pPr>
      <w:keepNext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66708"/>
    <w:rPr>
      <w:rFonts w:ascii="Arial" w:hAnsi="Arial" w:cs="Times New Roman"/>
      <w:b/>
      <w:sz w:val="20"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66708"/>
    <w:rPr>
      <w:rFonts w:ascii="Arial" w:hAnsi="Arial" w:cs="Times New Roman"/>
      <w:b/>
      <w:sz w:val="20"/>
      <w:szCs w:val="20"/>
      <w:lang w:eastAsia="de-DE"/>
    </w:rPr>
  </w:style>
  <w:style w:type="paragraph" w:styleId="Header">
    <w:name w:val="header"/>
    <w:basedOn w:val="Normal"/>
    <w:link w:val="HeaderChar"/>
    <w:uiPriority w:val="99"/>
    <w:rsid w:val="00566708"/>
    <w:pPr>
      <w:tabs>
        <w:tab w:val="center" w:pos="4320"/>
        <w:tab w:val="right" w:pos="8640"/>
      </w:tabs>
    </w:pPr>
    <w:rPr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708"/>
    <w:rPr>
      <w:rFonts w:ascii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566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6708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uiPriority w:val="99"/>
    <w:semiHidden/>
    <w:rsid w:val="00961A5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1A5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61A50"/>
    <w:rPr>
      <w:rFonts w:ascii="Times New Roman" w:hAnsi="Times New Roman" w:cs="Times New Roman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61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1A50"/>
    <w:rPr>
      <w:b/>
      <w:bCs/>
    </w:rPr>
  </w:style>
  <w:style w:type="paragraph" w:styleId="Revision">
    <w:name w:val="Revision"/>
    <w:hidden/>
    <w:uiPriority w:val="99"/>
    <w:semiHidden/>
    <w:rsid w:val="00961A50"/>
    <w:rPr>
      <w:rFonts w:ascii="Times New Roman" w:eastAsia="Times New Roman" w:hAnsi="Times New Roman"/>
      <w:sz w:val="20"/>
      <w:szCs w:val="20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471</Words>
  <Characters>2691</Characters>
  <Application>Microsoft Office Outlook</Application>
  <DocSecurity>0</DocSecurity>
  <Lines>0</Lines>
  <Paragraphs>0</Paragraphs>
  <ScaleCrop>false</ScaleCrop>
  <Company>OFCOM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robin.donoghue</dc:creator>
  <cp:keywords/>
  <dc:description/>
  <cp:lastModifiedBy>SE21</cp:lastModifiedBy>
  <cp:revision>2</cp:revision>
  <dcterms:created xsi:type="dcterms:W3CDTF">2011-08-01T09:18:00Z</dcterms:created>
  <dcterms:modified xsi:type="dcterms:W3CDTF">2011-08-01T09:18:00Z</dcterms:modified>
</cp:coreProperties>
</file>