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9D" w:rsidRDefault="00E13C9D" w:rsidP="00E13C9D">
      <w:pPr>
        <w:spacing w:after="0"/>
        <w:jc w:val="right"/>
        <w:rPr>
          <w:rFonts w:ascii="Arial" w:hAnsi="Arial" w:cs="Arial"/>
          <w:b/>
          <w:sz w:val="24"/>
          <w:szCs w:val="24"/>
        </w:rPr>
      </w:pPr>
      <w:proofErr w:type="gramStart"/>
      <w:r w:rsidRPr="001C534F">
        <w:rPr>
          <w:rFonts w:ascii="Arial" w:hAnsi="Arial" w:cs="Arial"/>
          <w:b/>
        </w:rPr>
        <w:t>FM(</w:t>
      </w:r>
      <w:proofErr w:type="gramEnd"/>
      <w:r w:rsidRPr="001C534F">
        <w:rPr>
          <w:rFonts w:ascii="Arial" w:hAnsi="Arial" w:cs="Arial"/>
          <w:b/>
        </w:rPr>
        <w:t>11)1</w:t>
      </w:r>
      <w:r w:rsidRPr="00F83D89">
        <w:rPr>
          <w:rFonts w:ascii="Arial" w:hAnsi="Arial" w:cs="Arial"/>
          <w:b/>
        </w:rPr>
        <w:t>60</w:t>
      </w:r>
    </w:p>
    <w:p w:rsidR="0081742A" w:rsidRPr="0098572B" w:rsidRDefault="0081742A" w:rsidP="00E13C9D">
      <w:pPr>
        <w:spacing w:after="0"/>
        <w:rPr>
          <w:sz w:val="24"/>
          <w:szCs w:val="24"/>
        </w:rPr>
      </w:pPr>
      <w:r>
        <w:rPr>
          <w:noProof/>
          <w:lang w:val="ru-RU" w:eastAsia="ru-RU"/>
        </w:rPr>
        <w:drawing>
          <wp:inline distT="0" distB="0" distL="0" distR="0">
            <wp:extent cx="16192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19250" cy="838200"/>
                    </a:xfrm>
                    <a:prstGeom prst="rect">
                      <a:avLst/>
                    </a:prstGeom>
                    <a:noFill/>
                    <a:ln w="9525">
                      <a:noFill/>
                      <a:miter lim="800000"/>
                      <a:headEnd/>
                      <a:tailEnd/>
                    </a:ln>
                  </pic:spPr>
                </pic:pic>
              </a:graphicData>
            </a:graphic>
          </wp:inline>
        </w:drawing>
      </w:r>
      <w:r w:rsidRPr="0098572B">
        <w:rPr>
          <w:rFonts w:ascii="Arial" w:hAnsi="Arial" w:cs="Arial"/>
          <w:b/>
          <w:sz w:val="24"/>
          <w:szCs w:val="24"/>
        </w:rPr>
        <w:t>Working Group FM</w:t>
      </w:r>
    </w:p>
    <w:p w:rsidR="00764A11" w:rsidRDefault="00764A11" w:rsidP="00764A11">
      <w:pPr>
        <w:spacing w:after="0"/>
        <w:rPr>
          <w:rFonts w:ascii="Arial" w:hAnsi="Arial" w:cs="Arial"/>
          <w:b/>
        </w:rPr>
      </w:pPr>
    </w:p>
    <w:p w:rsidR="0081742A" w:rsidRPr="00764A11" w:rsidRDefault="0081742A" w:rsidP="00764A11">
      <w:pPr>
        <w:spacing w:after="0"/>
        <w:rPr>
          <w:rFonts w:ascii="Arial" w:hAnsi="Arial" w:cs="Arial"/>
          <w:b/>
        </w:rPr>
      </w:pPr>
      <w:proofErr w:type="gramStart"/>
      <w:r w:rsidRPr="00764A11">
        <w:rPr>
          <w:rFonts w:ascii="Arial" w:hAnsi="Arial" w:cs="Arial"/>
          <w:b/>
        </w:rPr>
        <w:t>73</w:t>
      </w:r>
      <w:r w:rsidRPr="00093386">
        <w:rPr>
          <w:rFonts w:ascii="Arial" w:hAnsi="Arial" w:cs="Arial"/>
          <w:b/>
          <w:vertAlign w:val="superscript"/>
        </w:rPr>
        <w:t>rd</w:t>
      </w:r>
      <w:r w:rsidRPr="00764A11">
        <w:rPr>
          <w:rFonts w:ascii="Arial" w:hAnsi="Arial" w:cs="Arial"/>
          <w:b/>
        </w:rPr>
        <w:t xml:space="preserve">  Meeting</w:t>
      </w:r>
      <w:proofErr w:type="gramEnd"/>
    </w:p>
    <w:p w:rsidR="0081742A" w:rsidRPr="00764A11" w:rsidRDefault="0081742A" w:rsidP="00F83D89">
      <w:pPr>
        <w:spacing w:after="0"/>
        <w:rPr>
          <w:rFonts w:ascii="Arial" w:hAnsi="Arial" w:cs="Arial"/>
          <w:b/>
        </w:rPr>
      </w:pPr>
      <w:r w:rsidRPr="00764A11">
        <w:rPr>
          <w:rFonts w:ascii="Arial" w:hAnsi="Arial" w:cs="Arial"/>
          <w:b/>
        </w:rPr>
        <w:t>Lille, 17 – 21 October 2011</w:t>
      </w:r>
    </w:p>
    <w:tbl>
      <w:tblPr>
        <w:tblW w:w="9640" w:type="dxa"/>
        <w:tblInd w:w="-72" w:type="dxa"/>
        <w:tblLayout w:type="fixed"/>
        <w:tblLook w:val="0000"/>
      </w:tblPr>
      <w:tblGrid>
        <w:gridCol w:w="4340"/>
        <w:gridCol w:w="5300"/>
      </w:tblGrid>
      <w:tr w:rsidR="00F83D89" w:rsidRPr="00EB4BBE" w:rsidTr="00D83B34">
        <w:tblPrEx>
          <w:tblCellMar>
            <w:top w:w="0" w:type="dxa"/>
            <w:bottom w:w="0" w:type="dxa"/>
          </w:tblCellMar>
        </w:tblPrEx>
        <w:trPr>
          <w:cantSplit/>
          <w:trHeight w:val="80"/>
        </w:trPr>
        <w:tc>
          <w:tcPr>
            <w:tcW w:w="4340" w:type="dxa"/>
            <w:tcBorders>
              <w:top w:val="nil"/>
              <w:left w:val="nil"/>
              <w:bottom w:val="nil"/>
              <w:right w:val="nil"/>
            </w:tcBorders>
            <w:vAlign w:val="center"/>
          </w:tcPr>
          <w:p w:rsidR="00F83D89" w:rsidRPr="00EB4BBE" w:rsidRDefault="00F83D89" w:rsidP="00D83B34">
            <w:pPr>
              <w:pStyle w:val="Header"/>
              <w:rPr>
                <w:sz w:val="8"/>
                <w:lang w:val="en-GB"/>
              </w:rPr>
            </w:pPr>
          </w:p>
        </w:tc>
        <w:tc>
          <w:tcPr>
            <w:tcW w:w="5300" w:type="dxa"/>
            <w:tcBorders>
              <w:top w:val="nil"/>
              <w:left w:val="nil"/>
              <w:bottom w:val="nil"/>
              <w:right w:val="nil"/>
            </w:tcBorders>
            <w:vAlign w:val="center"/>
          </w:tcPr>
          <w:p w:rsidR="00F83D89" w:rsidRPr="00EB4BBE" w:rsidRDefault="00F83D89" w:rsidP="00D83B34">
            <w:pPr>
              <w:pStyle w:val="Header"/>
              <w:rPr>
                <w:sz w:val="8"/>
                <w:lang w:val="en-GB"/>
              </w:rPr>
            </w:pPr>
          </w:p>
        </w:tc>
      </w:tr>
    </w:tbl>
    <w:p w:rsidR="0081742A" w:rsidRPr="0098572B" w:rsidRDefault="0081742A" w:rsidP="0098572B">
      <w:pPr>
        <w:spacing w:after="60"/>
        <w:rPr>
          <w:rFonts w:ascii="Arial" w:hAnsi="Arial" w:cs="Arial"/>
          <w:b/>
        </w:rPr>
      </w:pPr>
      <w:r w:rsidRPr="0098572B">
        <w:rPr>
          <w:rFonts w:ascii="Arial" w:hAnsi="Arial" w:cs="Arial"/>
          <w:b/>
        </w:rPr>
        <w:t xml:space="preserve">Date issued: </w:t>
      </w:r>
      <w:r w:rsidR="00700FFF">
        <w:rPr>
          <w:rFonts w:ascii="Arial" w:hAnsi="Arial" w:cs="Arial"/>
          <w:b/>
        </w:rPr>
        <w:t>30 September</w:t>
      </w:r>
      <w:r w:rsidRPr="0098572B">
        <w:rPr>
          <w:rFonts w:ascii="Arial" w:hAnsi="Arial" w:cs="Arial"/>
          <w:b/>
        </w:rPr>
        <w:t xml:space="preserve"> 2011</w:t>
      </w:r>
    </w:p>
    <w:p w:rsidR="0081742A" w:rsidRPr="0098572B" w:rsidRDefault="0081742A" w:rsidP="0098572B">
      <w:pPr>
        <w:spacing w:after="60"/>
        <w:rPr>
          <w:rFonts w:ascii="Arial" w:hAnsi="Arial" w:cs="Arial"/>
          <w:b/>
        </w:rPr>
      </w:pPr>
      <w:r w:rsidRPr="0098572B">
        <w:rPr>
          <w:rFonts w:ascii="Arial" w:hAnsi="Arial" w:cs="Arial"/>
          <w:b/>
        </w:rPr>
        <w:t xml:space="preserve">Source:       </w:t>
      </w:r>
      <w:r w:rsidR="00F83D89">
        <w:rPr>
          <w:rFonts w:ascii="Arial" w:hAnsi="Arial" w:cs="Arial"/>
          <w:b/>
        </w:rPr>
        <w:tab/>
      </w:r>
      <w:r w:rsidRPr="0098572B">
        <w:rPr>
          <w:rFonts w:ascii="Arial" w:hAnsi="Arial" w:cs="Arial"/>
          <w:b/>
        </w:rPr>
        <w:t>Ireland</w:t>
      </w:r>
    </w:p>
    <w:p w:rsidR="00F83D89" w:rsidRDefault="0081742A" w:rsidP="00F83D89">
      <w:pPr>
        <w:spacing w:after="0"/>
        <w:rPr>
          <w:rFonts w:ascii="Arial" w:hAnsi="Arial" w:cs="Arial"/>
          <w:b/>
        </w:rPr>
      </w:pPr>
      <w:r w:rsidRPr="0098572B">
        <w:rPr>
          <w:rFonts w:ascii="Arial" w:hAnsi="Arial" w:cs="Arial"/>
          <w:b/>
        </w:rPr>
        <w:t xml:space="preserve">Subject:       </w:t>
      </w:r>
      <w:r w:rsidR="00F83D89">
        <w:rPr>
          <w:rFonts w:ascii="Arial" w:hAnsi="Arial" w:cs="Arial"/>
          <w:b/>
        </w:rPr>
        <w:tab/>
      </w:r>
      <w:r w:rsidRPr="0098572B">
        <w:rPr>
          <w:rFonts w:ascii="Arial" w:hAnsi="Arial" w:cs="Arial"/>
          <w:b/>
        </w:rPr>
        <w:t>Proposed inclusion of 2 GHz bands into the list of candidate bands for</w:t>
      </w:r>
    </w:p>
    <w:p w:rsidR="0081742A" w:rsidRPr="0098572B" w:rsidRDefault="0081742A" w:rsidP="00F83D89">
      <w:pPr>
        <w:spacing w:after="0"/>
        <w:rPr>
          <w:rFonts w:ascii="Arial" w:hAnsi="Arial" w:cs="Arial"/>
          <w:b/>
        </w:rPr>
      </w:pPr>
      <w:r w:rsidRPr="0098572B">
        <w:rPr>
          <w:rFonts w:ascii="Arial" w:hAnsi="Arial" w:cs="Arial"/>
          <w:b/>
        </w:rPr>
        <w:tab/>
      </w:r>
      <w:r w:rsidR="00F83D89">
        <w:tab/>
      </w:r>
      <w:r w:rsidRPr="0098572B">
        <w:rPr>
          <w:rFonts w:ascii="Arial" w:hAnsi="Arial" w:cs="Arial"/>
          <w:b/>
        </w:rPr>
        <w:t>Broadband Direct-Air-to-Ground-Communications (DA2GC)</w:t>
      </w:r>
      <w:r w:rsidRPr="0098572B">
        <w:rPr>
          <w:rFonts w:ascii="Arial" w:hAnsi="Arial" w:cs="Arial"/>
          <w:b/>
        </w:rPr>
        <w:tab/>
      </w:r>
    </w:p>
    <w:p w:rsidR="0081742A" w:rsidRPr="00E13C9D" w:rsidRDefault="009937E4" w:rsidP="0081742A">
      <w:pPr>
        <w:spacing w:after="0" w:line="240" w:lineRule="auto"/>
        <w:rPr>
          <w:rFonts w:ascii="Arial" w:hAnsi="Arial" w:cs="Arial"/>
          <w:b/>
          <w:sz w:val="16"/>
          <w:szCs w:val="16"/>
        </w:rPr>
      </w:pPr>
      <w:r w:rsidRPr="009937E4">
        <w:rPr>
          <w:rFonts w:ascii="Arial" w:hAnsi="Arial" w:cs="Arial"/>
          <w:b/>
          <w:noProof/>
          <w:sz w:val="16"/>
          <w:szCs w:val="16"/>
        </w:rPr>
        <w:pict>
          <v:shapetype id="_x0000_t202" coordsize="21600,21600" o:spt="202" path="m,l,21600r21600,l21600,xe">
            <v:stroke joinstyle="miter"/>
            <v:path gradientshapeok="t" o:connecttype="rect"/>
          </v:shapetype>
          <v:shape id="_x0000_s1026" type="#_x0000_t202" style="position:absolute;margin-left:210.15pt;margin-top:4.4pt;width:36pt;height:21.35pt;z-index:-251658752;mso-wrap-edited:f" wrapcoords="-450 0 -450 21600 22050 21600 22050 0 -450 0">
            <v:textbox style="mso-next-textbox:#_x0000_s1026">
              <w:txbxContent>
                <w:p w:rsidR="00A9006C" w:rsidRPr="00F83D89" w:rsidRDefault="00A9006C" w:rsidP="0081742A">
                  <w:pPr>
                    <w:spacing w:after="0"/>
                    <w:jc w:val="center"/>
                    <w:rPr>
                      <w:rFonts w:ascii="Arial" w:hAnsi="Arial" w:cs="Arial"/>
                      <w:szCs w:val="24"/>
                      <w:lang w:val="de-DE"/>
                    </w:rPr>
                  </w:pPr>
                  <w:r w:rsidRPr="00F83D89">
                    <w:rPr>
                      <w:rFonts w:ascii="Arial" w:hAnsi="Arial" w:cs="Arial"/>
                      <w:szCs w:val="24"/>
                      <w:lang w:val="de-DE"/>
                    </w:rPr>
                    <w:t>N</w:t>
                  </w:r>
                </w:p>
              </w:txbxContent>
            </v:textbox>
            <w10:wrap type="tight"/>
          </v:shape>
        </w:pict>
      </w:r>
    </w:p>
    <w:p w:rsidR="0081742A" w:rsidRPr="00E13C9D" w:rsidRDefault="0081742A" w:rsidP="0081742A">
      <w:pPr>
        <w:spacing w:after="0" w:line="240" w:lineRule="auto"/>
        <w:rPr>
          <w:rFonts w:ascii="Arial" w:hAnsi="Arial" w:cs="Arial"/>
        </w:rPr>
      </w:pPr>
      <w:r w:rsidRPr="00E13C9D">
        <w:rPr>
          <w:rFonts w:ascii="Arial" w:hAnsi="Arial" w:cs="Arial"/>
        </w:rPr>
        <w:t>Password protection required? (Y/N)</w:t>
      </w:r>
    </w:p>
    <w:p w:rsidR="0081742A" w:rsidRPr="0081742A" w:rsidRDefault="0081742A" w:rsidP="0081742A">
      <w:pPr>
        <w:spacing w:after="0" w:line="240" w:lineRule="auto"/>
        <w:rPr>
          <w:b/>
        </w:rPr>
      </w:pPr>
    </w:p>
    <w:tbl>
      <w:tblPr>
        <w:tblStyle w:val="a3"/>
        <w:tblW w:w="0" w:type="auto"/>
        <w:tblLook w:val="04A0"/>
      </w:tblPr>
      <w:tblGrid>
        <w:gridCol w:w="9576"/>
      </w:tblGrid>
      <w:tr w:rsidR="0081742A" w:rsidRPr="0098572B" w:rsidTr="0081742A">
        <w:tc>
          <w:tcPr>
            <w:tcW w:w="9576" w:type="dxa"/>
          </w:tcPr>
          <w:p w:rsidR="0081742A" w:rsidRPr="00E13C9D" w:rsidRDefault="0081742A" w:rsidP="0081742A">
            <w:pPr>
              <w:rPr>
                <w:rFonts w:ascii="Arial" w:hAnsi="Arial" w:cs="Arial"/>
                <w:b/>
                <w:sz w:val="16"/>
                <w:szCs w:val="16"/>
              </w:rPr>
            </w:pPr>
          </w:p>
          <w:p w:rsidR="0081742A" w:rsidRPr="0098572B" w:rsidRDefault="0081742A" w:rsidP="0081742A">
            <w:pPr>
              <w:rPr>
                <w:rFonts w:ascii="Arial" w:hAnsi="Arial" w:cs="Arial"/>
                <w:b/>
              </w:rPr>
            </w:pPr>
            <w:r w:rsidRPr="0098572B">
              <w:rPr>
                <w:rFonts w:ascii="Arial" w:hAnsi="Arial" w:cs="Arial"/>
                <w:b/>
              </w:rPr>
              <w:t xml:space="preserve">Summary: </w:t>
            </w:r>
          </w:p>
          <w:p w:rsidR="0081742A" w:rsidRPr="00E13C9D" w:rsidRDefault="0081742A" w:rsidP="0081742A">
            <w:pPr>
              <w:rPr>
                <w:rFonts w:ascii="Arial" w:hAnsi="Arial" w:cs="Arial"/>
                <w:sz w:val="16"/>
                <w:szCs w:val="16"/>
              </w:rPr>
            </w:pPr>
          </w:p>
          <w:p w:rsidR="0081742A" w:rsidRPr="0098572B" w:rsidRDefault="0081742A" w:rsidP="00A9006C">
            <w:pPr>
              <w:jc w:val="both"/>
              <w:rPr>
                <w:rFonts w:ascii="Arial" w:hAnsi="Arial" w:cs="Arial"/>
              </w:rPr>
            </w:pPr>
            <w:r w:rsidRPr="0098572B">
              <w:rPr>
                <w:rFonts w:ascii="Arial" w:hAnsi="Arial" w:cs="Arial"/>
              </w:rPr>
              <w:t xml:space="preserve">FM PT 48 is tasked with the identification of possible candidate bands for harmonised spectrum for Broadband DA2GC.  At its recent meeting (13-14 September 2011, Maisons-Alfort, France), a proposal to include the 2 GHz bands (1980 </w:t>
            </w:r>
            <w:r w:rsidR="00A9006C" w:rsidRPr="0098572B">
              <w:rPr>
                <w:rFonts w:ascii="Arial" w:hAnsi="Arial" w:cs="Arial"/>
              </w:rPr>
              <w:t>-</w:t>
            </w:r>
            <w:r w:rsidRPr="0098572B">
              <w:rPr>
                <w:rFonts w:ascii="Arial" w:hAnsi="Arial" w:cs="Arial"/>
              </w:rPr>
              <w:t xml:space="preserve"> 2010 / 2170 - 2200 MHz) into the list of candidate bands</w:t>
            </w:r>
            <w:r w:rsidR="00A9006C" w:rsidRPr="0098572B">
              <w:rPr>
                <w:rFonts w:ascii="Arial" w:hAnsi="Arial" w:cs="Arial"/>
              </w:rPr>
              <w:t xml:space="preserve"> </w:t>
            </w:r>
            <w:r w:rsidRPr="0098572B">
              <w:rPr>
                <w:rFonts w:ascii="Arial" w:hAnsi="Arial" w:cs="Arial"/>
              </w:rPr>
              <w:t xml:space="preserve">and to request SE PT 44 to perform the necessary compatibility studies was made.  FM PT 48 considered the issue but due to diverging views a conclusion on the proposal could not be reached. </w:t>
            </w:r>
          </w:p>
          <w:p w:rsidR="0081742A" w:rsidRPr="00E13C9D" w:rsidRDefault="0081742A" w:rsidP="00A9006C">
            <w:pPr>
              <w:jc w:val="both"/>
              <w:rPr>
                <w:rFonts w:ascii="Arial" w:hAnsi="Arial" w:cs="Arial"/>
                <w:sz w:val="16"/>
                <w:szCs w:val="16"/>
              </w:rPr>
            </w:pPr>
          </w:p>
          <w:p w:rsidR="0081742A" w:rsidRPr="0098572B" w:rsidRDefault="0081742A" w:rsidP="00A9006C">
            <w:pPr>
              <w:jc w:val="both"/>
              <w:rPr>
                <w:rFonts w:ascii="Arial" w:hAnsi="Arial" w:cs="Arial"/>
                <w:color w:val="FF0000"/>
              </w:rPr>
            </w:pPr>
            <w:r w:rsidRPr="0098572B">
              <w:rPr>
                <w:rFonts w:ascii="Arial" w:hAnsi="Arial" w:cs="Arial"/>
              </w:rPr>
              <w:t xml:space="preserve">This document contains an Irish proposal to CEPT in relation to </w:t>
            </w:r>
            <w:r w:rsidR="00702416">
              <w:rPr>
                <w:rFonts w:ascii="Arial" w:hAnsi="Arial" w:cs="Arial"/>
              </w:rPr>
              <w:t>the proposed inclusion of the 2 </w:t>
            </w:r>
            <w:r w:rsidRPr="0098572B">
              <w:rPr>
                <w:rFonts w:ascii="Arial" w:hAnsi="Arial" w:cs="Arial"/>
              </w:rPr>
              <w:t>GHz bands (1980 - 2010 / 2170 - 2200 MHz) into the list of candidate bands for Broadband DA2GC.</w:t>
            </w:r>
          </w:p>
          <w:p w:rsidR="0081742A" w:rsidRPr="0098572B" w:rsidRDefault="0081742A" w:rsidP="0081742A">
            <w:pPr>
              <w:rPr>
                <w:rFonts w:ascii="Arial" w:hAnsi="Arial" w:cs="Arial"/>
              </w:rPr>
            </w:pPr>
          </w:p>
        </w:tc>
      </w:tr>
      <w:tr w:rsidR="0081742A" w:rsidRPr="0098572B" w:rsidTr="0081742A">
        <w:tc>
          <w:tcPr>
            <w:tcW w:w="9576" w:type="dxa"/>
          </w:tcPr>
          <w:p w:rsidR="0081742A" w:rsidRPr="00E13C9D" w:rsidRDefault="0081742A" w:rsidP="0081742A">
            <w:pPr>
              <w:rPr>
                <w:rFonts w:ascii="Arial" w:hAnsi="Arial" w:cs="Arial"/>
                <w:sz w:val="16"/>
                <w:szCs w:val="16"/>
              </w:rPr>
            </w:pPr>
          </w:p>
          <w:p w:rsidR="0081742A" w:rsidRPr="0098572B" w:rsidRDefault="0081742A" w:rsidP="0081742A">
            <w:pPr>
              <w:rPr>
                <w:rFonts w:ascii="Arial" w:hAnsi="Arial" w:cs="Arial"/>
                <w:b/>
              </w:rPr>
            </w:pPr>
            <w:r w:rsidRPr="0098572B">
              <w:rPr>
                <w:rFonts w:ascii="Arial" w:hAnsi="Arial" w:cs="Arial"/>
                <w:b/>
              </w:rPr>
              <w:t>Proposal:</w:t>
            </w:r>
          </w:p>
          <w:p w:rsidR="0081742A" w:rsidRPr="00E13C9D" w:rsidRDefault="0081742A" w:rsidP="0081742A">
            <w:pPr>
              <w:ind w:right="355"/>
              <w:rPr>
                <w:rFonts w:ascii="Arial" w:hAnsi="Arial" w:cs="Arial"/>
                <w:sz w:val="16"/>
                <w:szCs w:val="16"/>
              </w:rPr>
            </w:pPr>
          </w:p>
          <w:p w:rsidR="0081742A" w:rsidRPr="0098572B" w:rsidRDefault="0081742A" w:rsidP="00A9006C">
            <w:pPr>
              <w:ind w:right="355"/>
              <w:jc w:val="both"/>
              <w:rPr>
                <w:rFonts w:ascii="Arial" w:hAnsi="Arial" w:cs="Arial"/>
              </w:rPr>
            </w:pPr>
            <w:r w:rsidRPr="0098572B">
              <w:rPr>
                <w:rFonts w:ascii="Arial" w:hAnsi="Arial" w:cs="Arial"/>
              </w:rPr>
              <w:t>Regarding the proposed inclusion of the 2 GHz bands (1980 </w:t>
            </w:r>
            <w:r w:rsidRPr="0098572B">
              <w:rPr>
                <w:rFonts w:ascii="Arial" w:hAnsi="Arial" w:cs="Arial"/>
              </w:rPr>
              <w:noBreakHyphen/>
              <w:t> 2010 / 2170 </w:t>
            </w:r>
            <w:r w:rsidRPr="0098572B">
              <w:rPr>
                <w:rFonts w:ascii="Arial" w:hAnsi="Arial" w:cs="Arial"/>
              </w:rPr>
              <w:noBreakHyphen/>
              <w:t xml:space="preserve"> 2200 MHz)  into the list of candidate bands for Broadband DA2GC: </w:t>
            </w:r>
          </w:p>
          <w:p w:rsidR="0081742A" w:rsidRPr="00E13C9D" w:rsidRDefault="0081742A" w:rsidP="00A9006C">
            <w:pPr>
              <w:ind w:right="355"/>
              <w:jc w:val="both"/>
              <w:rPr>
                <w:rFonts w:ascii="Arial" w:hAnsi="Arial" w:cs="Arial"/>
                <w:sz w:val="16"/>
                <w:szCs w:val="16"/>
              </w:rPr>
            </w:pPr>
          </w:p>
          <w:p w:rsidR="0081742A" w:rsidRPr="0098572B" w:rsidRDefault="0081742A" w:rsidP="00A9006C">
            <w:pPr>
              <w:numPr>
                <w:ilvl w:val="0"/>
                <w:numId w:val="1"/>
              </w:numPr>
              <w:ind w:right="213"/>
              <w:jc w:val="both"/>
              <w:rPr>
                <w:rFonts w:ascii="Arial" w:hAnsi="Arial" w:cs="Arial"/>
                <w:b/>
              </w:rPr>
            </w:pPr>
            <w:r w:rsidRPr="0098572B">
              <w:rPr>
                <w:rFonts w:ascii="Arial" w:hAnsi="Arial" w:cs="Arial"/>
                <w:b/>
              </w:rPr>
              <w:t xml:space="preserve">CEPT should be very cautious and guarded about considering the potential of the 2 GHz band for uses other than the Mobile Satellite Service (MSS) at present as it risks </w:t>
            </w:r>
            <w:proofErr w:type="spellStart"/>
            <w:r w:rsidRPr="0098572B">
              <w:rPr>
                <w:rFonts w:ascii="Arial" w:hAnsi="Arial" w:cs="Arial"/>
                <w:b/>
              </w:rPr>
              <w:t>destabilising</w:t>
            </w:r>
            <w:proofErr w:type="spellEnd"/>
            <w:r w:rsidRPr="0098572B">
              <w:rPr>
                <w:rFonts w:ascii="Arial" w:hAnsi="Arial" w:cs="Arial"/>
                <w:b/>
              </w:rPr>
              <w:t xml:space="preserve"> the development of the EC-supported MSS in the band.  It is premature to make judgements about the level of take-up of the MSS in Europe at the present time.</w:t>
            </w:r>
          </w:p>
          <w:p w:rsidR="0081742A" w:rsidRPr="0098572B" w:rsidRDefault="0081742A" w:rsidP="00A9006C">
            <w:pPr>
              <w:ind w:left="1076" w:right="213"/>
              <w:jc w:val="both"/>
              <w:rPr>
                <w:rFonts w:ascii="Arial" w:hAnsi="Arial" w:cs="Arial"/>
                <w:b/>
              </w:rPr>
            </w:pPr>
          </w:p>
          <w:p w:rsidR="0081742A" w:rsidRPr="0098572B" w:rsidRDefault="0081742A" w:rsidP="00A9006C">
            <w:pPr>
              <w:ind w:right="355"/>
              <w:jc w:val="both"/>
              <w:rPr>
                <w:rFonts w:ascii="Arial" w:hAnsi="Arial" w:cs="Arial"/>
              </w:rPr>
            </w:pPr>
            <w:r w:rsidRPr="0098572B">
              <w:rPr>
                <w:rFonts w:ascii="Arial" w:hAnsi="Arial" w:cs="Arial"/>
              </w:rPr>
              <w:t xml:space="preserve">Ireland considers that if WG FM decides to include the 2 GHz MSS bands in the list of candidate bands for Broadband DA2GC, this should be followed by complete and thorough compatibility studies to examine the feasibility of sharing between DA2GC and MSS.  </w:t>
            </w:r>
          </w:p>
          <w:p w:rsidR="0081742A" w:rsidRPr="00E13C9D" w:rsidRDefault="0081742A" w:rsidP="00A9006C">
            <w:pPr>
              <w:ind w:left="214" w:right="355"/>
              <w:jc w:val="both"/>
              <w:rPr>
                <w:rFonts w:ascii="Arial" w:hAnsi="Arial" w:cs="Arial"/>
                <w:sz w:val="16"/>
                <w:szCs w:val="16"/>
              </w:rPr>
            </w:pPr>
          </w:p>
          <w:p w:rsidR="0081742A" w:rsidRPr="0098572B" w:rsidRDefault="0081742A" w:rsidP="0081742A">
            <w:pPr>
              <w:numPr>
                <w:ilvl w:val="1"/>
                <w:numId w:val="1"/>
              </w:numPr>
              <w:tabs>
                <w:tab w:val="clear" w:pos="1796"/>
                <w:tab w:val="num" w:pos="1062"/>
              </w:tabs>
              <w:ind w:left="1062" w:right="355" w:hanging="440"/>
              <w:jc w:val="both"/>
              <w:rPr>
                <w:rFonts w:ascii="Arial" w:hAnsi="Arial" w:cs="Arial"/>
                <w:b/>
              </w:rPr>
            </w:pPr>
            <w:r w:rsidRPr="0098572B">
              <w:rPr>
                <w:rFonts w:ascii="Arial" w:hAnsi="Arial" w:cs="Arial"/>
                <w:b/>
              </w:rPr>
              <w:t>If the results of such compatibility studies indicate that MSS/DA2GC sharing is not feasible, Ireland is of the view that the 2 GHz band (1980 </w:t>
            </w:r>
            <w:r w:rsidRPr="0098572B">
              <w:rPr>
                <w:rFonts w:ascii="Arial" w:hAnsi="Arial" w:cs="Arial"/>
                <w:b/>
              </w:rPr>
              <w:noBreakHyphen/>
              <w:t> 2010 / 2170 </w:t>
            </w:r>
            <w:r w:rsidRPr="0098572B">
              <w:rPr>
                <w:rFonts w:ascii="Arial" w:hAnsi="Arial" w:cs="Arial"/>
                <w:b/>
              </w:rPr>
              <w:noBreakHyphen/>
              <w:t> 2200 MHz) must then be removed as a candidate band for Broadband DA2GC.    </w:t>
            </w:r>
          </w:p>
        </w:tc>
      </w:tr>
    </w:tbl>
    <w:p w:rsidR="0081742A" w:rsidRPr="0098572B" w:rsidRDefault="0081742A">
      <w:pPr>
        <w:rPr>
          <w:rFonts w:ascii="Arial" w:hAnsi="Arial" w:cs="Arial"/>
        </w:rPr>
      </w:pPr>
      <w:r w:rsidRPr="0098572B">
        <w:rPr>
          <w:rFonts w:ascii="Arial" w:hAnsi="Arial" w:cs="Arial"/>
        </w:rPr>
        <w:br w:type="page"/>
      </w:r>
    </w:p>
    <w:tbl>
      <w:tblPr>
        <w:tblStyle w:val="a3"/>
        <w:tblW w:w="0" w:type="auto"/>
        <w:tblLook w:val="04A0"/>
      </w:tblPr>
      <w:tblGrid>
        <w:gridCol w:w="9576"/>
      </w:tblGrid>
      <w:tr w:rsidR="0081742A" w:rsidRPr="0098572B" w:rsidTr="0081742A">
        <w:trPr>
          <w:trHeight w:val="662"/>
        </w:trPr>
        <w:tc>
          <w:tcPr>
            <w:tcW w:w="9576" w:type="dxa"/>
          </w:tcPr>
          <w:p w:rsidR="0081742A" w:rsidRPr="0098572B" w:rsidRDefault="0081742A" w:rsidP="0081742A">
            <w:pPr>
              <w:rPr>
                <w:rFonts w:ascii="Arial" w:hAnsi="Arial" w:cs="Arial"/>
                <w:b/>
              </w:rPr>
            </w:pPr>
          </w:p>
          <w:p w:rsidR="0081742A" w:rsidRPr="0098572B" w:rsidRDefault="0081742A" w:rsidP="0081742A">
            <w:pPr>
              <w:rPr>
                <w:rFonts w:ascii="Arial" w:hAnsi="Arial" w:cs="Arial"/>
                <w:b/>
              </w:rPr>
            </w:pPr>
            <w:r w:rsidRPr="0098572B">
              <w:rPr>
                <w:rFonts w:ascii="Arial" w:hAnsi="Arial" w:cs="Arial"/>
                <w:b/>
              </w:rPr>
              <w:t>Background:</w:t>
            </w:r>
          </w:p>
          <w:p w:rsidR="0081742A" w:rsidRPr="0098572B" w:rsidRDefault="0081742A" w:rsidP="0081742A">
            <w:pPr>
              <w:ind w:right="355"/>
              <w:rPr>
                <w:rFonts w:ascii="Arial" w:hAnsi="Arial" w:cs="Arial"/>
              </w:rPr>
            </w:pPr>
          </w:p>
          <w:p w:rsidR="0081742A" w:rsidRPr="0098572B" w:rsidRDefault="0081742A" w:rsidP="00A9006C">
            <w:pPr>
              <w:ind w:right="355"/>
              <w:jc w:val="both"/>
              <w:rPr>
                <w:rFonts w:ascii="Arial" w:hAnsi="Arial" w:cs="Arial"/>
              </w:rPr>
            </w:pPr>
            <w:r w:rsidRPr="0098572B">
              <w:rPr>
                <w:rFonts w:ascii="Arial" w:hAnsi="Arial" w:cs="Arial"/>
              </w:rPr>
              <w:t xml:space="preserve">At its recent meeting (13-14 September 2011, Maisons-Alfort, France), a proposal by Deutsche Telekom </w:t>
            </w:r>
            <w:r w:rsidR="00702416">
              <w:rPr>
                <w:rFonts w:ascii="Arial" w:hAnsi="Arial" w:cs="Arial"/>
              </w:rPr>
              <w:t xml:space="preserve">and Alcatel-Lucent (Document </w:t>
            </w:r>
            <w:proofErr w:type="gramStart"/>
            <w:r w:rsidR="00702416">
              <w:rPr>
                <w:rFonts w:ascii="Arial" w:hAnsi="Arial" w:cs="Arial"/>
              </w:rPr>
              <w:t>FM</w:t>
            </w:r>
            <w:r w:rsidRPr="0098572B">
              <w:rPr>
                <w:rFonts w:ascii="Arial" w:hAnsi="Arial" w:cs="Arial"/>
              </w:rPr>
              <w:t>48(</w:t>
            </w:r>
            <w:proofErr w:type="gramEnd"/>
            <w:r w:rsidRPr="0098572B">
              <w:rPr>
                <w:rFonts w:ascii="Arial" w:hAnsi="Arial" w:cs="Arial"/>
              </w:rPr>
              <w:t>11)029 Rev 1) was presented.  The proposal is to include the 2 GHz bands (1980 </w:t>
            </w:r>
            <w:r w:rsidRPr="0098572B">
              <w:rPr>
                <w:rFonts w:ascii="Arial" w:hAnsi="Arial" w:cs="Arial"/>
              </w:rPr>
              <w:noBreakHyphen/>
              <w:t xml:space="preserve"> 2010 / 2170 - 2200 MHz) into the list of candidate bands for Broadband Direct-Air-to-Ground-Communications (DA2GC) and to request SE PT 44 to perform the necessary compatibility studies.  </w:t>
            </w:r>
          </w:p>
          <w:p w:rsidR="0081742A" w:rsidRPr="0098572B" w:rsidRDefault="0081742A" w:rsidP="00A9006C">
            <w:pPr>
              <w:ind w:right="355"/>
              <w:jc w:val="both"/>
              <w:rPr>
                <w:rFonts w:ascii="Arial" w:hAnsi="Arial" w:cs="Arial"/>
              </w:rPr>
            </w:pPr>
          </w:p>
          <w:p w:rsidR="0081742A" w:rsidRPr="0098572B" w:rsidRDefault="0081742A" w:rsidP="00A9006C">
            <w:pPr>
              <w:ind w:right="355"/>
              <w:jc w:val="both"/>
              <w:rPr>
                <w:rFonts w:ascii="Arial" w:hAnsi="Arial" w:cs="Arial"/>
              </w:rPr>
            </w:pPr>
            <w:r w:rsidRPr="0098572B">
              <w:rPr>
                <w:rFonts w:ascii="Arial" w:hAnsi="Arial" w:cs="Arial"/>
              </w:rPr>
              <w:t>FM PT 48 considered the issue but due to diverging views a conclusion on the proposal could not be reached.  WG FM has been invited to consider the issue. In this consideration WG</w:t>
            </w:r>
            <w:r w:rsidR="00FA41DD">
              <w:rPr>
                <w:rFonts w:ascii="Arial" w:hAnsi="Arial" w:cs="Arial"/>
              </w:rPr>
              <w:t xml:space="preserve"> </w:t>
            </w:r>
            <w:r w:rsidRPr="0098572B">
              <w:rPr>
                <w:rFonts w:ascii="Arial" w:hAnsi="Arial" w:cs="Arial"/>
              </w:rPr>
              <w:t>FM should take note of current regulatory situation within Europe and</w:t>
            </w:r>
            <w:r w:rsidR="00A9006C" w:rsidRPr="0098572B">
              <w:rPr>
                <w:rFonts w:ascii="Arial" w:hAnsi="Arial" w:cs="Arial"/>
              </w:rPr>
              <w:t>,</w:t>
            </w:r>
            <w:r w:rsidRPr="0098572B">
              <w:rPr>
                <w:rFonts w:ascii="Arial" w:hAnsi="Arial" w:cs="Arial"/>
              </w:rPr>
              <w:t xml:space="preserve"> in particular</w:t>
            </w:r>
            <w:r w:rsidR="00A9006C" w:rsidRPr="0098572B">
              <w:rPr>
                <w:rFonts w:ascii="Arial" w:hAnsi="Arial" w:cs="Arial"/>
              </w:rPr>
              <w:t>,</w:t>
            </w:r>
            <w:r w:rsidRPr="0098572B">
              <w:rPr>
                <w:rFonts w:ascii="Arial" w:hAnsi="Arial" w:cs="Arial"/>
              </w:rPr>
              <w:t xml:space="preserve"> projects which have been undertaken within the European Union.</w:t>
            </w:r>
          </w:p>
          <w:p w:rsidR="0081742A" w:rsidRPr="0098572B" w:rsidRDefault="0081742A" w:rsidP="0081742A">
            <w:pPr>
              <w:ind w:right="355"/>
              <w:rPr>
                <w:rFonts w:ascii="Arial" w:hAnsi="Arial" w:cs="Arial"/>
              </w:rPr>
            </w:pPr>
          </w:p>
        </w:tc>
      </w:tr>
    </w:tbl>
    <w:p w:rsidR="0081742A" w:rsidRDefault="0081742A" w:rsidP="0081742A">
      <w:pPr>
        <w:rPr>
          <w:sz w:val="28"/>
          <w:szCs w:val="28"/>
        </w:rPr>
      </w:pPr>
    </w:p>
    <w:p w:rsidR="0081742A" w:rsidRDefault="0081742A">
      <w:pPr>
        <w:rPr>
          <w:sz w:val="28"/>
          <w:szCs w:val="28"/>
        </w:rPr>
      </w:pPr>
      <w:r>
        <w:rPr>
          <w:sz w:val="28"/>
          <w:szCs w:val="28"/>
        </w:rPr>
        <w:br w:type="page"/>
      </w:r>
    </w:p>
    <w:p w:rsidR="00762FBD" w:rsidRDefault="00762FBD" w:rsidP="0081742A">
      <w:pPr>
        <w:jc w:val="both"/>
        <w:rPr>
          <w:b/>
          <w:sz w:val="28"/>
          <w:szCs w:val="28"/>
        </w:rPr>
      </w:pPr>
    </w:p>
    <w:p w:rsidR="0081742A" w:rsidRPr="0098572B" w:rsidRDefault="0081742A" w:rsidP="0081742A">
      <w:pPr>
        <w:jc w:val="both"/>
        <w:rPr>
          <w:rFonts w:ascii="Arial" w:hAnsi="Arial" w:cs="Arial"/>
          <w:b/>
          <w:sz w:val="28"/>
          <w:szCs w:val="28"/>
        </w:rPr>
      </w:pPr>
      <w:r w:rsidRPr="0098572B">
        <w:rPr>
          <w:rFonts w:ascii="Arial" w:hAnsi="Arial" w:cs="Arial"/>
          <w:b/>
          <w:sz w:val="28"/>
          <w:szCs w:val="28"/>
        </w:rPr>
        <w:t>1</w:t>
      </w:r>
      <w:r w:rsidRPr="0098572B">
        <w:rPr>
          <w:rFonts w:ascii="Arial" w:hAnsi="Arial" w:cs="Arial"/>
          <w:b/>
          <w:sz w:val="28"/>
          <w:szCs w:val="28"/>
        </w:rPr>
        <w:tab/>
        <w:t xml:space="preserve">Introduction </w:t>
      </w:r>
    </w:p>
    <w:p w:rsidR="0081742A" w:rsidRPr="0098572B" w:rsidRDefault="0081742A" w:rsidP="0081742A">
      <w:pPr>
        <w:jc w:val="both"/>
        <w:rPr>
          <w:rFonts w:ascii="Arial" w:hAnsi="Arial" w:cs="Arial"/>
        </w:rPr>
      </w:pPr>
      <w:r w:rsidRPr="0098572B">
        <w:rPr>
          <w:rFonts w:ascii="Arial" w:hAnsi="Arial" w:cs="Arial"/>
        </w:rPr>
        <w:t xml:space="preserve">A number of candidate bands are currently under discussion in FM PT 48, and some of them have been chosen for compatibility studies to be performed in SE PT 44. </w:t>
      </w:r>
    </w:p>
    <w:p w:rsidR="0081742A" w:rsidRPr="0098572B" w:rsidRDefault="0081742A" w:rsidP="0081742A">
      <w:pPr>
        <w:jc w:val="both"/>
        <w:rPr>
          <w:rFonts w:ascii="Arial" w:hAnsi="Arial" w:cs="Arial"/>
        </w:rPr>
      </w:pPr>
      <w:r w:rsidRPr="0098572B">
        <w:rPr>
          <w:rFonts w:ascii="Arial" w:hAnsi="Arial" w:cs="Arial"/>
        </w:rPr>
        <w:t>Regulatory implications and compatibility aspects must be considered for all potential candidate bands. The bands 1980</w:t>
      </w:r>
      <w:r w:rsidR="00FA41DD">
        <w:rPr>
          <w:rFonts w:ascii="Arial" w:hAnsi="Arial" w:cs="Arial"/>
        </w:rPr>
        <w:t xml:space="preserve"> </w:t>
      </w:r>
      <w:r w:rsidRPr="0098572B">
        <w:rPr>
          <w:rFonts w:ascii="Arial" w:hAnsi="Arial" w:cs="Arial"/>
        </w:rPr>
        <w:t>-</w:t>
      </w:r>
      <w:r w:rsidR="00FA41DD">
        <w:rPr>
          <w:rFonts w:ascii="Arial" w:hAnsi="Arial" w:cs="Arial"/>
        </w:rPr>
        <w:t xml:space="preserve"> </w:t>
      </w:r>
      <w:r w:rsidRPr="0098572B">
        <w:rPr>
          <w:rFonts w:ascii="Arial" w:hAnsi="Arial" w:cs="Arial"/>
        </w:rPr>
        <w:t>2010 / 2170</w:t>
      </w:r>
      <w:r w:rsidR="00FA41DD">
        <w:rPr>
          <w:rFonts w:ascii="Arial" w:hAnsi="Arial" w:cs="Arial"/>
        </w:rPr>
        <w:t xml:space="preserve"> </w:t>
      </w:r>
      <w:r w:rsidRPr="0098572B">
        <w:rPr>
          <w:rFonts w:ascii="Arial" w:hAnsi="Arial" w:cs="Arial"/>
        </w:rPr>
        <w:t>-</w:t>
      </w:r>
      <w:r w:rsidR="00FA41DD">
        <w:rPr>
          <w:rFonts w:ascii="Arial" w:hAnsi="Arial" w:cs="Arial"/>
        </w:rPr>
        <w:t xml:space="preserve"> </w:t>
      </w:r>
      <w:r w:rsidRPr="0098572B">
        <w:rPr>
          <w:rFonts w:ascii="Arial" w:hAnsi="Arial" w:cs="Arial"/>
        </w:rPr>
        <w:t xml:space="preserve">2200 MHz are allocated to the MOBILE and the MOBILE SATELLITE SERVICE and are designated in Europe for use by systems in the Mobile Satellite Service. </w:t>
      </w:r>
    </w:p>
    <w:p w:rsidR="0081742A" w:rsidRPr="0098572B" w:rsidRDefault="0081742A" w:rsidP="0081742A">
      <w:pPr>
        <w:jc w:val="both"/>
        <w:rPr>
          <w:rFonts w:ascii="Arial" w:hAnsi="Arial" w:cs="Arial"/>
          <w:sz w:val="28"/>
          <w:szCs w:val="28"/>
        </w:rPr>
      </w:pPr>
    </w:p>
    <w:p w:rsidR="0081742A" w:rsidRPr="0098572B" w:rsidRDefault="0081742A" w:rsidP="0081742A">
      <w:pPr>
        <w:jc w:val="both"/>
        <w:rPr>
          <w:rFonts w:ascii="Arial" w:hAnsi="Arial" w:cs="Arial"/>
          <w:b/>
          <w:sz w:val="28"/>
          <w:szCs w:val="28"/>
        </w:rPr>
      </w:pPr>
      <w:r w:rsidRPr="0098572B">
        <w:rPr>
          <w:rFonts w:ascii="Arial" w:hAnsi="Arial" w:cs="Arial"/>
          <w:b/>
          <w:sz w:val="28"/>
          <w:szCs w:val="28"/>
        </w:rPr>
        <w:t>2</w:t>
      </w:r>
      <w:r w:rsidRPr="0098572B">
        <w:rPr>
          <w:rFonts w:ascii="Arial" w:hAnsi="Arial" w:cs="Arial"/>
          <w:b/>
          <w:sz w:val="28"/>
          <w:szCs w:val="28"/>
        </w:rPr>
        <w:tab/>
        <w:t xml:space="preserve">Current regulatory situation in the 2 GHz MSS bands </w:t>
      </w:r>
    </w:p>
    <w:p w:rsidR="0081742A" w:rsidRPr="0098572B" w:rsidRDefault="0081742A" w:rsidP="0081742A">
      <w:pPr>
        <w:jc w:val="both"/>
        <w:rPr>
          <w:rFonts w:ascii="Arial" w:hAnsi="Arial" w:cs="Arial"/>
        </w:rPr>
      </w:pPr>
      <w:r w:rsidRPr="0098572B">
        <w:rPr>
          <w:rFonts w:ascii="Arial" w:hAnsi="Arial" w:cs="Arial"/>
        </w:rPr>
        <w:t xml:space="preserve">Ireland would like to draw the attention of WG FM to the status of MSS including Complementary Ground-Component (CGC) on a pan European basis.  This is clearly set out in the relevant European Decisions </w:t>
      </w:r>
      <w:hyperlink r:id="rId6" w:history="1">
        <w:r w:rsidRPr="0098572B">
          <w:rPr>
            <w:rStyle w:val="a7"/>
            <w:rFonts w:ascii="Arial" w:hAnsi="Arial" w:cs="Arial"/>
          </w:rPr>
          <w:t>2007/98/EC</w:t>
        </w:r>
      </w:hyperlink>
      <w:r w:rsidRPr="0098572B">
        <w:rPr>
          <w:rFonts w:ascii="Arial" w:hAnsi="Arial" w:cs="Arial"/>
        </w:rPr>
        <w:t xml:space="preserve">, </w:t>
      </w:r>
      <w:hyperlink r:id="rId7" w:history="1">
        <w:r w:rsidRPr="0098572B">
          <w:rPr>
            <w:rStyle w:val="a7"/>
            <w:rFonts w:ascii="Arial" w:hAnsi="Arial" w:cs="Arial"/>
          </w:rPr>
          <w:t>2008/626/EC</w:t>
        </w:r>
      </w:hyperlink>
      <w:r w:rsidRPr="0098572B">
        <w:rPr>
          <w:rFonts w:ascii="Arial" w:hAnsi="Arial" w:cs="Arial"/>
        </w:rPr>
        <w:t xml:space="preserve"> and </w:t>
      </w:r>
      <w:hyperlink r:id="rId8" w:history="1">
        <w:r w:rsidRPr="0098572B">
          <w:rPr>
            <w:rStyle w:val="a7"/>
            <w:rFonts w:ascii="Arial" w:hAnsi="Arial" w:cs="Arial"/>
          </w:rPr>
          <w:t>2009/449/EC</w:t>
        </w:r>
      </w:hyperlink>
      <w:r w:rsidRPr="0098572B">
        <w:rPr>
          <w:rFonts w:ascii="Arial" w:hAnsi="Arial" w:cs="Arial"/>
        </w:rPr>
        <w:t>.  Note in particular Article 3 of Commission Decision 2007/98/EC which states that:</w:t>
      </w:r>
    </w:p>
    <w:p w:rsidR="0081742A" w:rsidRPr="0098572B" w:rsidRDefault="0081742A" w:rsidP="0081742A">
      <w:pPr>
        <w:ind w:left="709"/>
        <w:jc w:val="both"/>
        <w:rPr>
          <w:rFonts w:ascii="Arial" w:hAnsi="Arial" w:cs="Arial"/>
          <w:i/>
        </w:rPr>
      </w:pPr>
      <w:r w:rsidRPr="0098572B">
        <w:rPr>
          <w:rFonts w:ascii="Arial" w:hAnsi="Arial" w:cs="Arial"/>
          <w:i/>
        </w:rPr>
        <w:t>“Member States shall designate and make available as from 1 July 2007 the frequency</w:t>
      </w:r>
      <w:r w:rsidR="00A9006C" w:rsidRPr="0098572B">
        <w:rPr>
          <w:rFonts w:ascii="Arial" w:hAnsi="Arial" w:cs="Arial"/>
          <w:i/>
        </w:rPr>
        <w:t xml:space="preserve"> </w:t>
      </w:r>
      <w:r w:rsidRPr="0098572B">
        <w:rPr>
          <w:rFonts w:ascii="Arial" w:hAnsi="Arial" w:cs="Arial"/>
          <w:i/>
        </w:rPr>
        <w:t>bands 1</w:t>
      </w:r>
      <w:r w:rsidR="00A9006C" w:rsidRPr="0098572B">
        <w:rPr>
          <w:rFonts w:ascii="Arial" w:hAnsi="Arial" w:cs="Arial"/>
          <w:i/>
        </w:rPr>
        <w:t> </w:t>
      </w:r>
      <w:r w:rsidRPr="0098572B">
        <w:rPr>
          <w:rFonts w:ascii="Arial" w:hAnsi="Arial" w:cs="Arial"/>
          <w:i/>
        </w:rPr>
        <w:t xml:space="preserve">980 to 2 010 MHz and 2 170 to 2 200 MHz for systems providing mobile satellite </w:t>
      </w:r>
      <w:r w:rsidRPr="0098572B">
        <w:rPr>
          <w:rFonts w:ascii="Arial" w:hAnsi="Arial" w:cs="Arial"/>
          <w:i/>
        </w:rPr>
        <w:tab/>
        <w:t xml:space="preserve">services. Any other use of these bands shall not cause harmful interference to systems </w:t>
      </w:r>
      <w:r w:rsidRPr="0098572B">
        <w:rPr>
          <w:rFonts w:ascii="Arial" w:hAnsi="Arial" w:cs="Arial"/>
          <w:i/>
        </w:rPr>
        <w:tab/>
        <w:t>providing</w:t>
      </w:r>
      <w:r w:rsidR="00A9006C" w:rsidRPr="0098572B">
        <w:rPr>
          <w:rFonts w:ascii="Arial" w:hAnsi="Arial" w:cs="Arial"/>
          <w:i/>
        </w:rPr>
        <w:t xml:space="preserve"> </w:t>
      </w:r>
      <w:r w:rsidRPr="0098572B">
        <w:rPr>
          <w:rFonts w:ascii="Arial" w:hAnsi="Arial" w:cs="Arial"/>
          <w:i/>
        </w:rPr>
        <w:t xml:space="preserve">mobile satellite services and may not claim protection from harmful interference </w:t>
      </w:r>
      <w:r w:rsidRPr="0098572B">
        <w:rPr>
          <w:rFonts w:ascii="Arial" w:hAnsi="Arial" w:cs="Arial"/>
          <w:i/>
        </w:rPr>
        <w:tab/>
        <w:t>caused by systems providing mobile satellite services.”</w:t>
      </w:r>
    </w:p>
    <w:p w:rsidR="0081742A" w:rsidRPr="0098572B" w:rsidRDefault="0081742A" w:rsidP="0081742A">
      <w:pPr>
        <w:jc w:val="both"/>
        <w:rPr>
          <w:rFonts w:ascii="Arial" w:hAnsi="Arial" w:cs="Arial"/>
        </w:rPr>
      </w:pPr>
      <w:r w:rsidRPr="0098572B">
        <w:rPr>
          <w:rFonts w:ascii="Arial" w:hAnsi="Arial" w:cs="Arial"/>
        </w:rPr>
        <w:t xml:space="preserve">Furthermore, the attention of WG FM is drawn to ECC Decision </w:t>
      </w:r>
      <w:hyperlink r:id="rId9" w:history="1">
        <w:r w:rsidRPr="0098572B">
          <w:rPr>
            <w:rStyle w:val="a7"/>
            <w:rFonts w:ascii="Arial" w:hAnsi="Arial" w:cs="Arial"/>
          </w:rPr>
          <w:t>ECC/DEC</w:t>
        </w:r>
        <w:proofErr w:type="gramStart"/>
        <w:r w:rsidRPr="0098572B">
          <w:rPr>
            <w:rStyle w:val="a7"/>
            <w:rFonts w:ascii="Arial" w:hAnsi="Arial" w:cs="Arial"/>
          </w:rPr>
          <w:t>/(</w:t>
        </w:r>
        <w:proofErr w:type="gramEnd"/>
        <w:r w:rsidRPr="0098572B">
          <w:rPr>
            <w:rStyle w:val="a7"/>
            <w:rFonts w:ascii="Arial" w:hAnsi="Arial" w:cs="Arial"/>
          </w:rPr>
          <w:t>06)09</w:t>
        </w:r>
      </w:hyperlink>
      <w:r w:rsidRPr="0098572B">
        <w:rPr>
          <w:rFonts w:ascii="Arial" w:hAnsi="Arial" w:cs="Arial"/>
        </w:rPr>
        <w:t xml:space="preserve">, in particular </w:t>
      </w:r>
      <w:r w:rsidRPr="0098572B">
        <w:rPr>
          <w:rFonts w:ascii="Arial" w:hAnsi="Arial" w:cs="Arial"/>
          <w:i/>
        </w:rPr>
        <w:t>considering l</w:t>
      </w:r>
      <w:r w:rsidRPr="0098572B">
        <w:rPr>
          <w:rFonts w:ascii="Arial" w:hAnsi="Arial" w:cs="Arial"/>
        </w:rPr>
        <w:t xml:space="preserve"> which states, </w:t>
      </w:r>
    </w:p>
    <w:p w:rsidR="0081742A" w:rsidRPr="0098572B" w:rsidRDefault="0081742A" w:rsidP="0081742A">
      <w:pPr>
        <w:ind w:left="709"/>
        <w:jc w:val="both"/>
        <w:rPr>
          <w:rFonts w:ascii="Arial" w:hAnsi="Arial" w:cs="Arial"/>
          <w:i/>
        </w:rPr>
      </w:pPr>
      <w:r w:rsidRPr="0098572B">
        <w:rPr>
          <w:rFonts w:ascii="Arial" w:hAnsi="Arial" w:cs="Arial"/>
          <w:i/>
        </w:rPr>
        <w:t xml:space="preserve">“that the co-frequency operation of mobile satellite systems with respect to terrestrial mobile systems has been studied in similar frequency bands within the ECC and has proven to be unfeasible (see ECC Report 45) unless there are separation distances, in the order of several hundreds of </w:t>
      </w:r>
      <w:proofErr w:type="spellStart"/>
      <w:r w:rsidRPr="0098572B">
        <w:rPr>
          <w:rFonts w:ascii="Arial" w:hAnsi="Arial" w:cs="Arial"/>
          <w:i/>
        </w:rPr>
        <w:t>kilometres</w:t>
      </w:r>
      <w:proofErr w:type="spellEnd"/>
      <w:r w:rsidRPr="0098572B">
        <w:rPr>
          <w:rFonts w:ascii="Arial" w:hAnsi="Arial" w:cs="Arial"/>
          <w:i/>
        </w:rPr>
        <w:t xml:space="preserve">, between the respective service areas.“  </w:t>
      </w:r>
    </w:p>
    <w:p w:rsidR="00762FBD" w:rsidRPr="0098572B" w:rsidRDefault="00762FBD" w:rsidP="0081742A">
      <w:pPr>
        <w:jc w:val="both"/>
        <w:rPr>
          <w:rFonts w:ascii="Arial" w:hAnsi="Arial" w:cs="Arial"/>
          <w:b/>
          <w:sz w:val="28"/>
          <w:szCs w:val="28"/>
        </w:rPr>
      </w:pPr>
    </w:p>
    <w:p w:rsidR="00762FBD" w:rsidRPr="0098572B" w:rsidRDefault="00762FBD">
      <w:pPr>
        <w:rPr>
          <w:rFonts w:ascii="Arial" w:hAnsi="Arial" w:cs="Arial"/>
          <w:b/>
          <w:sz w:val="28"/>
          <w:szCs w:val="28"/>
        </w:rPr>
      </w:pPr>
      <w:r w:rsidRPr="0098572B">
        <w:rPr>
          <w:rFonts w:ascii="Arial" w:hAnsi="Arial" w:cs="Arial"/>
          <w:b/>
          <w:sz w:val="28"/>
          <w:szCs w:val="28"/>
        </w:rPr>
        <w:br w:type="page"/>
      </w:r>
    </w:p>
    <w:p w:rsidR="00762FBD" w:rsidRPr="0098572B" w:rsidRDefault="00762FBD" w:rsidP="0081742A">
      <w:pPr>
        <w:jc w:val="both"/>
        <w:rPr>
          <w:rFonts w:ascii="Arial" w:hAnsi="Arial" w:cs="Arial"/>
          <w:b/>
          <w:sz w:val="28"/>
          <w:szCs w:val="28"/>
        </w:rPr>
      </w:pPr>
    </w:p>
    <w:p w:rsidR="0081742A" w:rsidRPr="0098572B" w:rsidRDefault="0081742A" w:rsidP="0081742A">
      <w:pPr>
        <w:jc w:val="both"/>
        <w:rPr>
          <w:rFonts w:ascii="Arial" w:hAnsi="Arial" w:cs="Arial"/>
          <w:b/>
        </w:rPr>
      </w:pPr>
      <w:r w:rsidRPr="0098572B">
        <w:rPr>
          <w:rFonts w:ascii="Arial" w:hAnsi="Arial" w:cs="Arial"/>
          <w:b/>
          <w:sz w:val="28"/>
          <w:szCs w:val="28"/>
        </w:rPr>
        <w:t>3</w:t>
      </w:r>
      <w:r w:rsidRPr="0098572B">
        <w:rPr>
          <w:rFonts w:ascii="Arial" w:hAnsi="Arial" w:cs="Arial"/>
          <w:b/>
          <w:sz w:val="28"/>
          <w:szCs w:val="28"/>
        </w:rPr>
        <w:tab/>
        <w:t>Proposal</w:t>
      </w:r>
    </w:p>
    <w:p w:rsidR="0081742A" w:rsidRPr="0098572B" w:rsidRDefault="0081742A" w:rsidP="0081742A">
      <w:pPr>
        <w:jc w:val="both"/>
        <w:rPr>
          <w:rFonts w:ascii="Arial" w:hAnsi="Arial" w:cs="Arial"/>
        </w:rPr>
      </w:pPr>
      <w:r w:rsidRPr="0098572B">
        <w:rPr>
          <w:rFonts w:ascii="Arial" w:hAnsi="Arial" w:cs="Arial"/>
        </w:rPr>
        <w:t xml:space="preserve">Ireland proposes that: </w:t>
      </w:r>
    </w:p>
    <w:p w:rsidR="0081742A" w:rsidRPr="0098572B" w:rsidRDefault="0081742A" w:rsidP="00762FBD">
      <w:pPr>
        <w:pStyle w:val="a6"/>
        <w:numPr>
          <w:ilvl w:val="0"/>
          <w:numId w:val="2"/>
        </w:numPr>
        <w:ind w:left="1134" w:hanging="425"/>
        <w:jc w:val="both"/>
        <w:rPr>
          <w:rFonts w:ascii="Arial" w:hAnsi="Arial" w:cs="Arial"/>
          <w:b/>
        </w:rPr>
      </w:pPr>
      <w:r w:rsidRPr="0098572B">
        <w:rPr>
          <w:rFonts w:ascii="Arial" w:hAnsi="Arial" w:cs="Arial"/>
          <w:b/>
        </w:rPr>
        <w:t xml:space="preserve">CEPT should be very cautious and guarded about considering the potential of the 2 GHz band for uses other than the Mobile Satellite Service (MSS) at present as it risks </w:t>
      </w:r>
      <w:proofErr w:type="spellStart"/>
      <w:r w:rsidRPr="0098572B">
        <w:rPr>
          <w:rFonts w:ascii="Arial" w:hAnsi="Arial" w:cs="Arial"/>
          <w:b/>
        </w:rPr>
        <w:t>destabilising</w:t>
      </w:r>
      <w:proofErr w:type="spellEnd"/>
      <w:r w:rsidRPr="0098572B">
        <w:rPr>
          <w:rFonts w:ascii="Arial" w:hAnsi="Arial" w:cs="Arial"/>
          <w:b/>
        </w:rPr>
        <w:t xml:space="preserve"> the development of the EC-supported MSS in the band.</w:t>
      </w:r>
      <w:r w:rsidR="00762FBD" w:rsidRPr="0098572B">
        <w:rPr>
          <w:rFonts w:ascii="Arial" w:hAnsi="Arial" w:cs="Arial"/>
          <w:b/>
        </w:rPr>
        <w:t xml:space="preserve"> </w:t>
      </w:r>
      <w:r w:rsidRPr="0098572B">
        <w:rPr>
          <w:rFonts w:ascii="Arial" w:hAnsi="Arial" w:cs="Arial"/>
          <w:b/>
        </w:rPr>
        <w:t xml:space="preserve"> It is premature to make judgements about the level of take-up of the MSS in Europe at the present time.</w:t>
      </w:r>
    </w:p>
    <w:p w:rsidR="0081742A" w:rsidRPr="0098572B" w:rsidRDefault="00762FBD" w:rsidP="0081742A">
      <w:pPr>
        <w:jc w:val="both"/>
        <w:rPr>
          <w:rFonts w:ascii="Arial" w:hAnsi="Arial" w:cs="Arial"/>
        </w:rPr>
      </w:pPr>
      <w:r w:rsidRPr="0098572B">
        <w:rPr>
          <w:rFonts w:ascii="Arial" w:hAnsi="Arial" w:cs="Arial"/>
        </w:rPr>
        <w:t>Ireland considers that i</w:t>
      </w:r>
      <w:r w:rsidR="0081742A" w:rsidRPr="0098572B">
        <w:rPr>
          <w:rFonts w:ascii="Arial" w:hAnsi="Arial" w:cs="Arial"/>
        </w:rPr>
        <w:t xml:space="preserve">f WG FM decides to include the 2 GHz MSS bands in the list of candidate bands for Broadband DA2GC this should be followed by complete and thorough compatibility studies to examine the feasibility of sharing between DA2GC and MSS. </w:t>
      </w:r>
    </w:p>
    <w:p w:rsidR="0081742A" w:rsidRPr="0098572B" w:rsidRDefault="0081742A" w:rsidP="00762FBD">
      <w:pPr>
        <w:pStyle w:val="a6"/>
        <w:numPr>
          <w:ilvl w:val="0"/>
          <w:numId w:val="2"/>
        </w:numPr>
        <w:ind w:left="1134" w:hanging="425"/>
        <w:jc w:val="both"/>
        <w:rPr>
          <w:rFonts w:ascii="Arial" w:hAnsi="Arial" w:cs="Arial"/>
          <w:b/>
        </w:rPr>
      </w:pPr>
      <w:r w:rsidRPr="0098572B">
        <w:rPr>
          <w:rFonts w:ascii="Arial" w:hAnsi="Arial" w:cs="Arial"/>
          <w:b/>
        </w:rPr>
        <w:t xml:space="preserve">If the results of such compatibility studies indicate that MSS/DA2GC sharing is not feasible, the 2 GHz band (1980 - 2010 / 2170 - 2200 MHz) must then be removed as a candidate band for Broadband DA2GC. </w:t>
      </w:r>
    </w:p>
    <w:p w:rsidR="0081742A" w:rsidRPr="0098572B" w:rsidRDefault="0081742A" w:rsidP="0081742A">
      <w:pPr>
        <w:jc w:val="both"/>
        <w:rPr>
          <w:rFonts w:ascii="Arial" w:hAnsi="Arial" w:cs="Arial"/>
        </w:rPr>
      </w:pPr>
    </w:p>
    <w:p w:rsidR="0081742A" w:rsidRPr="0098572B" w:rsidRDefault="0081742A" w:rsidP="0081742A">
      <w:pPr>
        <w:jc w:val="both"/>
        <w:rPr>
          <w:rFonts w:ascii="Arial" w:hAnsi="Arial" w:cs="Arial"/>
          <w:b/>
          <w:sz w:val="28"/>
          <w:szCs w:val="28"/>
        </w:rPr>
      </w:pPr>
      <w:r w:rsidRPr="0098572B">
        <w:rPr>
          <w:rFonts w:ascii="Arial" w:hAnsi="Arial" w:cs="Arial"/>
          <w:b/>
          <w:sz w:val="28"/>
          <w:szCs w:val="28"/>
        </w:rPr>
        <w:t>4</w:t>
      </w:r>
      <w:r w:rsidRPr="0098572B">
        <w:rPr>
          <w:rFonts w:ascii="Arial" w:hAnsi="Arial" w:cs="Arial"/>
          <w:b/>
          <w:sz w:val="28"/>
          <w:szCs w:val="28"/>
        </w:rPr>
        <w:tab/>
        <w:t>Conclusion</w:t>
      </w:r>
    </w:p>
    <w:p w:rsidR="00762FBD" w:rsidRPr="0098572B" w:rsidRDefault="0081742A" w:rsidP="0081742A">
      <w:pPr>
        <w:jc w:val="both"/>
        <w:rPr>
          <w:rFonts w:ascii="Arial" w:hAnsi="Arial" w:cs="Arial"/>
        </w:rPr>
      </w:pPr>
      <w:r w:rsidRPr="0098572B">
        <w:rPr>
          <w:rFonts w:ascii="Arial" w:hAnsi="Arial" w:cs="Arial"/>
        </w:rPr>
        <w:t xml:space="preserve">It is premature to make judgements about the level of take-up of the MSS in Europe at the present time. A decision to include the 2 GHz MSS bands in the list of candidate bands for Broadband DA2GC risks </w:t>
      </w:r>
      <w:proofErr w:type="spellStart"/>
      <w:r w:rsidRPr="0098572B">
        <w:rPr>
          <w:rFonts w:ascii="Arial" w:hAnsi="Arial" w:cs="Arial"/>
        </w:rPr>
        <w:t>destabilising</w:t>
      </w:r>
      <w:proofErr w:type="spellEnd"/>
      <w:r w:rsidRPr="0098572B">
        <w:rPr>
          <w:rFonts w:ascii="Arial" w:hAnsi="Arial" w:cs="Arial"/>
        </w:rPr>
        <w:t xml:space="preserve"> the development of the EC-supported MSS in the band. </w:t>
      </w:r>
    </w:p>
    <w:p w:rsidR="0081742A" w:rsidRPr="0098572B" w:rsidRDefault="0081742A" w:rsidP="0081742A">
      <w:pPr>
        <w:jc w:val="both"/>
        <w:rPr>
          <w:rFonts w:ascii="Arial" w:hAnsi="Arial" w:cs="Arial"/>
        </w:rPr>
      </w:pPr>
      <w:r w:rsidRPr="0098572B">
        <w:rPr>
          <w:rFonts w:ascii="Arial" w:hAnsi="Arial" w:cs="Arial"/>
        </w:rPr>
        <w:t>Ireland recommends that CEPT should be very cautious and guarded about considering the potential of the 2 GHz band for uses other than the Mobile Satellite Service (MSS) at present and considers that if WG FM does decide to include the 2 GHz MSS bands in the list of candidate bands for Broadband DA2GC, this should be followed by complete and thorough compatibility studies to examine the feasibility of sharing between DA2GC and MSS.  If the results of such compatibility studies indicate that MSS/DA2GC sharing is not feasible, Ireland is of the view that the 2 GHz band (1980</w:t>
      </w:r>
      <w:r w:rsidR="00762FBD" w:rsidRPr="0098572B">
        <w:rPr>
          <w:rFonts w:ascii="Arial" w:hAnsi="Arial" w:cs="Arial"/>
        </w:rPr>
        <w:t> </w:t>
      </w:r>
      <w:r w:rsidR="00762FBD" w:rsidRPr="0098572B">
        <w:rPr>
          <w:rFonts w:ascii="Arial" w:hAnsi="Arial" w:cs="Arial"/>
        </w:rPr>
        <w:noBreakHyphen/>
        <w:t> 2010 / 2170 </w:t>
      </w:r>
      <w:r w:rsidR="00762FBD" w:rsidRPr="0098572B">
        <w:rPr>
          <w:rFonts w:ascii="Arial" w:hAnsi="Arial" w:cs="Arial"/>
        </w:rPr>
        <w:noBreakHyphen/>
        <w:t> 2200 </w:t>
      </w:r>
      <w:r w:rsidRPr="0098572B">
        <w:rPr>
          <w:rFonts w:ascii="Arial" w:hAnsi="Arial" w:cs="Arial"/>
        </w:rPr>
        <w:t xml:space="preserve">MHz) must then be removed as a candidate band for Broadband DA2GC.    </w:t>
      </w:r>
    </w:p>
    <w:p w:rsidR="0081742A" w:rsidRPr="0098572B" w:rsidRDefault="0081742A" w:rsidP="0081742A">
      <w:pPr>
        <w:rPr>
          <w:rFonts w:ascii="Arial" w:hAnsi="Arial" w:cs="Arial"/>
        </w:rPr>
      </w:pPr>
    </w:p>
    <w:sectPr w:rsidR="0081742A" w:rsidRPr="0098572B" w:rsidSect="0081742A">
      <w:pgSz w:w="12240" w:h="15840"/>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01BBD"/>
    <w:multiLevelType w:val="hybridMultilevel"/>
    <w:tmpl w:val="D0B410E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73D62CE2"/>
    <w:multiLevelType w:val="hybridMultilevel"/>
    <w:tmpl w:val="0DD06322"/>
    <w:lvl w:ilvl="0" w:tplc="04090001">
      <w:start w:val="1"/>
      <w:numFmt w:val="bullet"/>
      <w:lvlText w:val=""/>
      <w:lvlJc w:val="left"/>
      <w:pPr>
        <w:ind w:left="1076" w:hanging="360"/>
      </w:pPr>
      <w:rPr>
        <w:rFonts w:ascii="Symbol" w:hAnsi="Symbol" w:hint="default"/>
      </w:rPr>
    </w:lvl>
    <w:lvl w:ilvl="1" w:tplc="08090005">
      <w:start w:val="1"/>
      <w:numFmt w:val="bullet"/>
      <w:lvlText w:val=""/>
      <w:lvlJc w:val="left"/>
      <w:pPr>
        <w:tabs>
          <w:tab w:val="num" w:pos="1796"/>
        </w:tabs>
        <w:ind w:left="1796" w:hanging="360"/>
      </w:pPr>
      <w:rPr>
        <w:rFonts w:ascii="Wingdings" w:hAnsi="Wingdings"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742A"/>
    <w:rsid w:val="00011E7A"/>
    <w:rsid w:val="00013760"/>
    <w:rsid w:val="00020BC7"/>
    <w:rsid w:val="00020D9D"/>
    <w:rsid w:val="00035925"/>
    <w:rsid w:val="0003624C"/>
    <w:rsid w:val="00037D7B"/>
    <w:rsid w:val="00044011"/>
    <w:rsid w:val="000452BB"/>
    <w:rsid w:val="00047F4B"/>
    <w:rsid w:val="00053049"/>
    <w:rsid w:val="00057CAB"/>
    <w:rsid w:val="00061A24"/>
    <w:rsid w:val="00062A26"/>
    <w:rsid w:val="00062A5E"/>
    <w:rsid w:val="00066A55"/>
    <w:rsid w:val="00066AAD"/>
    <w:rsid w:val="000712DC"/>
    <w:rsid w:val="00074AD7"/>
    <w:rsid w:val="000877B2"/>
    <w:rsid w:val="00091B13"/>
    <w:rsid w:val="00093386"/>
    <w:rsid w:val="000A7F64"/>
    <w:rsid w:val="000B00D7"/>
    <w:rsid w:val="000B1FC5"/>
    <w:rsid w:val="000C243F"/>
    <w:rsid w:val="000C6C30"/>
    <w:rsid w:val="000E2985"/>
    <w:rsid w:val="000F22FC"/>
    <w:rsid w:val="000F2E88"/>
    <w:rsid w:val="000F699E"/>
    <w:rsid w:val="00103927"/>
    <w:rsid w:val="00103A61"/>
    <w:rsid w:val="001062AC"/>
    <w:rsid w:val="0010755D"/>
    <w:rsid w:val="001148B7"/>
    <w:rsid w:val="0011698E"/>
    <w:rsid w:val="00121070"/>
    <w:rsid w:val="00121539"/>
    <w:rsid w:val="0012189E"/>
    <w:rsid w:val="00134D62"/>
    <w:rsid w:val="00136D84"/>
    <w:rsid w:val="00140D6D"/>
    <w:rsid w:val="001452B5"/>
    <w:rsid w:val="00147567"/>
    <w:rsid w:val="00153500"/>
    <w:rsid w:val="00155E58"/>
    <w:rsid w:val="0015659B"/>
    <w:rsid w:val="00162D7A"/>
    <w:rsid w:val="001655CD"/>
    <w:rsid w:val="001717C8"/>
    <w:rsid w:val="00171D0D"/>
    <w:rsid w:val="00172BBB"/>
    <w:rsid w:val="00177922"/>
    <w:rsid w:val="00177C7E"/>
    <w:rsid w:val="0018219C"/>
    <w:rsid w:val="0019065A"/>
    <w:rsid w:val="001945F0"/>
    <w:rsid w:val="001A7628"/>
    <w:rsid w:val="001A7A1A"/>
    <w:rsid w:val="001B04D3"/>
    <w:rsid w:val="001B4AE2"/>
    <w:rsid w:val="001B705B"/>
    <w:rsid w:val="001C48E0"/>
    <w:rsid w:val="001D0DAA"/>
    <w:rsid w:val="001D21CD"/>
    <w:rsid w:val="001E0495"/>
    <w:rsid w:val="001E79C0"/>
    <w:rsid w:val="001F279B"/>
    <w:rsid w:val="0020325B"/>
    <w:rsid w:val="00204E61"/>
    <w:rsid w:val="0020586A"/>
    <w:rsid w:val="0021559E"/>
    <w:rsid w:val="00223BD9"/>
    <w:rsid w:val="00226D19"/>
    <w:rsid w:val="0022735B"/>
    <w:rsid w:val="00233A67"/>
    <w:rsid w:val="0023686A"/>
    <w:rsid w:val="00243774"/>
    <w:rsid w:val="00245B3B"/>
    <w:rsid w:val="00260261"/>
    <w:rsid w:val="0026374E"/>
    <w:rsid w:val="00265E72"/>
    <w:rsid w:val="002807C0"/>
    <w:rsid w:val="00280E38"/>
    <w:rsid w:val="00281E2B"/>
    <w:rsid w:val="002828BC"/>
    <w:rsid w:val="002914F9"/>
    <w:rsid w:val="00292FC4"/>
    <w:rsid w:val="002A3B57"/>
    <w:rsid w:val="002A3DBB"/>
    <w:rsid w:val="002B3CA0"/>
    <w:rsid w:val="002C08F6"/>
    <w:rsid w:val="002C463E"/>
    <w:rsid w:val="002D1F27"/>
    <w:rsid w:val="002D1F48"/>
    <w:rsid w:val="002D2E8B"/>
    <w:rsid w:val="002D5B7F"/>
    <w:rsid w:val="002D68A9"/>
    <w:rsid w:val="002E458B"/>
    <w:rsid w:val="002E4BBE"/>
    <w:rsid w:val="003042B2"/>
    <w:rsid w:val="00313AB1"/>
    <w:rsid w:val="00314CA4"/>
    <w:rsid w:val="00316163"/>
    <w:rsid w:val="0031756D"/>
    <w:rsid w:val="00326273"/>
    <w:rsid w:val="0033104D"/>
    <w:rsid w:val="003375A6"/>
    <w:rsid w:val="00342718"/>
    <w:rsid w:val="00342734"/>
    <w:rsid w:val="0034329A"/>
    <w:rsid w:val="00343839"/>
    <w:rsid w:val="00343A94"/>
    <w:rsid w:val="003452B3"/>
    <w:rsid w:val="0035043A"/>
    <w:rsid w:val="003621A6"/>
    <w:rsid w:val="00375412"/>
    <w:rsid w:val="0038149B"/>
    <w:rsid w:val="00382449"/>
    <w:rsid w:val="0038376E"/>
    <w:rsid w:val="00384B86"/>
    <w:rsid w:val="003879C5"/>
    <w:rsid w:val="00392A6E"/>
    <w:rsid w:val="003939F6"/>
    <w:rsid w:val="0039699D"/>
    <w:rsid w:val="003972F4"/>
    <w:rsid w:val="003A40FA"/>
    <w:rsid w:val="003A45FF"/>
    <w:rsid w:val="003A59E2"/>
    <w:rsid w:val="003B0377"/>
    <w:rsid w:val="003B128C"/>
    <w:rsid w:val="003B1B59"/>
    <w:rsid w:val="003B2A7E"/>
    <w:rsid w:val="003B7034"/>
    <w:rsid w:val="003E0EB4"/>
    <w:rsid w:val="003E2A00"/>
    <w:rsid w:val="003E32E9"/>
    <w:rsid w:val="003E33CF"/>
    <w:rsid w:val="003E5709"/>
    <w:rsid w:val="003E5E33"/>
    <w:rsid w:val="003E693D"/>
    <w:rsid w:val="003F0B0E"/>
    <w:rsid w:val="003F2F67"/>
    <w:rsid w:val="003F45A2"/>
    <w:rsid w:val="003F5F12"/>
    <w:rsid w:val="00402062"/>
    <w:rsid w:val="0041334A"/>
    <w:rsid w:val="00417260"/>
    <w:rsid w:val="00427368"/>
    <w:rsid w:val="0043197C"/>
    <w:rsid w:val="004352FB"/>
    <w:rsid w:val="0044103B"/>
    <w:rsid w:val="00441AF1"/>
    <w:rsid w:val="004422E3"/>
    <w:rsid w:val="004459A3"/>
    <w:rsid w:val="004479A0"/>
    <w:rsid w:val="00454408"/>
    <w:rsid w:val="00464190"/>
    <w:rsid w:val="00476392"/>
    <w:rsid w:val="004809AC"/>
    <w:rsid w:val="00483836"/>
    <w:rsid w:val="00484493"/>
    <w:rsid w:val="00485FB4"/>
    <w:rsid w:val="0049047C"/>
    <w:rsid w:val="004936C2"/>
    <w:rsid w:val="00496C49"/>
    <w:rsid w:val="004A1680"/>
    <w:rsid w:val="004A3AAE"/>
    <w:rsid w:val="004A5E4E"/>
    <w:rsid w:val="004B2596"/>
    <w:rsid w:val="004B4153"/>
    <w:rsid w:val="004B5B35"/>
    <w:rsid w:val="004C257C"/>
    <w:rsid w:val="004C5406"/>
    <w:rsid w:val="004C6A54"/>
    <w:rsid w:val="004D6B9E"/>
    <w:rsid w:val="004E2309"/>
    <w:rsid w:val="004E323A"/>
    <w:rsid w:val="004E71A5"/>
    <w:rsid w:val="004E72DC"/>
    <w:rsid w:val="004F0A9E"/>
    <w:rsid w:val="004F0ADF"/>
    <w:rsid w:val="004F0B1E"/>
    <w:rsid w:val="00504735"/>
    <w:rsid w:val="00505928"/>
    <w:rsid w:val="0050724B"/>
    <w:rsid w:val="00510E2B"/>
    <w:rsid w:val="005128F1"/>
    <w:rsid w:val="00522586"/>
    <w:rsid w:val="005246FA"/>
    <w:rsid w:val="005251A6"/>
    <w:rsid w:val="00525DA5"/>
    <w:rsid w:val="0052662D"/>
    <w:rsid w:val="00531250"/>
    <w:rsid w:val="00534F07"/>
    <w:rsid w:val="00535B0E"/>
    <w:rsid w:val="0053649E"/>
    <w:rsid w:val="005365F8"/>
    <w:rsid w:val="00537843"/>
    <w:rsid w:val="00546918"/>
    <w:rsid w:val="00550C09"/>
    <w:rsid w:val="00552871"/>
    <w:rsid w:val="00555C67"/>
    <w:rsid w:val="00557A5D"/>
    <w:rsid w:val="00557CF3"/>
    <w:rsid w:val="00562B8C"/>
    <w:rsid w:val="00563065"/>
    <w:rsid w:val="00571116"/>
    <w:rsid w:val="00581B9B"/>
    <w:rsid w:val="00587DB7"/>
    <w:rsid w:val="00596985"/>
    <w:rsid w:val="00596F58"/>
    <w:rsid w:val="00597193"/>
    <w:rsid w:val="005A0192"/>
    <w:rsid w:val="005A2C39"/>
    <w:rsid w:val="005A52CA"/>
    <w:rsid w:val="005B01A4"/>
    <w:rsid w:val="005B4CC1"/>
    <w:rsid w:val="005B6475"/>
    <w:rsid w:val="005C05CF"/>
    <w:rsid w:val="005C087E"/>
    <w:rsid w:val="005C0AE5"/>
    <w:rsid w:val="005C1C81"/>
    <w:rsid w:val="005C2D69"/>
    <w:rsid w:val="005C33B7"/>
    <w:rsid w:val="005C3877"/>
    <w:rsid w:val="005D14E9"/>
    <w:rsid w:val="005D3684"/>
    <w:rsid w:val="005D5C8A"/>
    <w:rsid w:val="005D6935"/>
    <w:rsid w:val="005E3A37"/>
    <w:rsid w:val="005F4445"/>
    <w:rsid w:val="006037F3"/>
    <w:rsid w:val="00603C1E"/>
    <w:rsid w:val="00605AD8"/>
    <w:rsid w:val="00612470"/>
    <w:rsid w:val="00613ED8"/>
    <w:rsid w:val="00623125"/>
    <w:rsid w:val="00623477"/>
    <w:rsid w:val="00625298"/>
    <w:rsid w:val="00632589"/>
    <w:rsid w:val="006332E6"/>
    <w:rsid w:val="00635E90"/>
    <w:rsid w:val="006658FD"/>
    <w:rsid w:val="006663B0"/>
    <w:rsid w:val="006668A7"/>
    <w:rsid w:val="00667637"/>
    <w:rsid w:val="00677DF7"/>
    <w:rsid w:val="006818BD"/>
    <w:rsid w:val="00682CC0"/>
    <w:rsid w:val="0068363A"/>
    <w:rsid w:val="00685818"/>
    <w:rsid w:val="00692D5A"/>
    <w:rsid w:val="00694C50"/>
    <w:rsid w:val="0069629B"/>
    <w:rsid w:val="006A64EA"/>
    <w:rsid w:val="006B285D"/>
    <w:rsid w:val="006B2D23"/>
    <w:rsid w:val="006B76F6"/>
    <w:rsid w:val="006C1725"/>
    <w:rsid w:val="006C3A30"/>
    <w:rsid w:val="006C5AE8"/>
    <w:rsid w:val="006D0CFF"/>
    <w:rsid w:val="006D2348"/>
    <w:rsid w:val="006D2A62"/>
    <w:rsid w:val="006D4CAC"/>
    <w:rsid w:val="006D7336"/>
    <w:rsid w:val="006E0716"/>
    <w:rsid w:val="006E62B7"/>
    <w:rsid w:val="006F7B32"/>
    <w:rsid w:val="00700FFF"/>
    <w:rsid w:val="00702416"/>
    <w:rsid w:val="00710489"/>
    <w:rsid w:val="00710FCF"/>
    <w:rsid w:val="00713116"/>
    <w:rsid w:val="00713471"/>
    <w:rsid w:val="007171F2"/>
    <w:rsid w:val="00717829"/>
    <w:rsid w:val="007223C6"/>
    <w:rsid w:val="007273C5"/>
    <w:rsid w:val="007277AC"/>
    <w:rsid w:val="00731123"/>
    <w:rsid w:val="00745C27"/>
    <w:rsid w:val="007478FB"/>
    <w:rsid w:val="00755263"/>
    <w:rsid w:val="00755454"/>
    <w:rsid w:val="00762FBD"/>
    <w:rsid w:val="00763A46"/>
    <w:rsid w:val="00763E70"/>
    <w:rsid w:val="00764437"/>
    <w:rsid w:val="00764A11"/>
    <w:rsid w:val="00767492"/>
    <w:rsid w:val="00772E67"/>
    <w:rsid w:val="007803EB"/>
    <w:rsid w:val="00780B75"/>
    <w:rsid w:val="00782736"/>
    <w:rsid w:val="007A24FB"/>
    <w:rsid w:val="007B1EAA"/>
    <w:rsid w:val="007B24FD"/>
    <w:rsid w:val="007B3BAA"/>
    <w:rsid w:val="007B6346"/>
    <w:rsid w:val="007C15B9"/>
    <w:rsid w:val="007C5BED"/>
    <w:rsid w:val="007D7094"/>
    <w:rsid w:val="007E1C60"/>
    <w:rsid w:val="007E386D"/>
    <w:rsid w:val="007F319A"/>
    <w:rsid w:val="007F513B"/>
    <w:rsid w:val="007F5FFC"/>
    <w:rsid w:val="0080061E"/>
    <w:rsid w:val="0080445C"/>
    <w:rsid w:val="00805717"/>
    <w:rsid w:val="00810856"/>
    <w:rsid w:val="008109C4"/>
    <w:rsid w:val="0081742A"/>
    <w:rsid w:val="008237AF"/>
    <w:rsid w:val="008242AC"/>
    <w:rsid w:val="00825024"/>
    <w:rsid w:val="00830926"/>
    <w:rsid w:val="00831F8A"/>
    <w:rsid w:val="00834D35"/>
    <w:rsid w:val="00836E47"/>
    <w:rsid w:val="00837BD0"/>
    <w:rsid w:val="0084262D"/>
    <w:rsid w:val="00842F1E"/>
    <w:rsid w:val="008547E0"/>
    <w:rsid w:val="00863E67"/>
    <w:rsid w:val="0087738A"/>
    <w:rsid w:val="00880E3C"/>
    <w:rsid w:val="00881D6D"/>
    <w:rsid w:val="008A1E59"/>
    <w:rsid w:val="008A66A9"/>
    <w:rsid w:val="008B16B4"/>
    <w:rsid w:val="008B39AC"/>
    <w:rsid w:val="008B6CDD"/>
    <w:rsid w:val="008C2BD0"/>
    <w:rsid w:val="008C772D"/>
    <w:rsid w:val="008D1638"/>
    <w:rsid w:val="008D36A4"/>
    <w:rsid w:val="008D5406"/>
    <w:rsid w:val="008E1B84"/>
    <w:rsid w:val="009043E8"/>
    <w:rsid w:val="009067ED"/>
    <w:rsid w:val="00910530"/>
    <w:rsid w:val="0091615D"/>
    <w:rsid w:val="00920840"/>
    <w:rsid w:val="0093255F"/>
    <w:rsid w:val="00933423"/>
    <w:rsid w:val="00943755"/>
    <w:rsid w:val="009473AE"/>
    <w:rsid w:val="009540B0"/>
    <w:rsid w:val="0098572B"/>
    <w:rsid w:val="00991983"/>
    <w:rsid w:val="0099281A"/>
    <w:rsid w:val="009937E4"/>
    <w:rsid w:val="00994C10"/>
    <w:rsid w:val="009A2EA6"/>
    <w:rsid w:val="009A3F62"/>
    <w:rsid w:val="009C2D51"/>
    <w:rsid w:val="009C3053"/>
    <w:rsid w:val="009D6418"/>
    <w:rsid w:val="009E00C0"/>
    <w:rsid w:val="009E01D0"/>
    <w:rsid w:val="009E0C67"/>
    <w:rsid w:val="009E52A6"/>
    <w:rsid w:val="009E5362"/>
    <w:rsid w:val="009E5F84"/>
    <w:rsid w:val="009F003C"/>
    <w:rsid w:val="009F08C9"/>
    <w:rsid w:val="009F35C4"/>
    <w:rsid w:val="00A03E3F"/>
    <w:rsid w:val="00A0414F"/>
    <w:rsid w:val="00A051C9"/>
    <w:rsid w:val="00A05C8B"/>
    <w:rsid w:val="00A13065"/>
    <w:rsid w:val="00A240F1"/>
    <w:rsid w:val="00A32159"/>
    <w:rsid w:val="00A40908"/>
    <w:rsid w:val="00A409A1"/>
    <w:rsid w:val="00A43FF7"/>
    <w:rsid w:val="00A544ED"/>
    <w:rsid w:val="00A54585"/>
    <w:rsid w:val="00A56DF4"/>
    <w:rsid w:val="00A66217"/>
    <w:rsid w:val="00A66894"/>
    <w:rsid w:val="00A70118"/>
    <w:rsid w:val="00A7113D"/>
    <w:rsid w:val="00A749AD"/>
    <w:rsid w:val="00A80282"/>
    <w:rsid w:val="00A846CF"/>
    <w:rsid w:val="00A854E2"/>
    <w:rsid w:val="00A85D7C"/>
    <w:rsid w:val="00A87474"/>
    <w:rsid w:val="00A87625"/>
    <w:rsid w:val="00A87D6A"/>
    <w:rsid w:val="00A9006C"/>
    <w:rsid w:val="00A92782"/>
    <w:rsid w:val="00A95C0B"/>
    <w:rsid w:val="00A967B4"/>
    <w:rsid w:val="00AA7BD5"/>
    <w:rsid w:val="00AB1A41"/>
    <w:rsid w:val="00AB3BDE"/>
    <w:rsid w:val="00AC1FF9"/>
    <w:rsid w:val="00AD0BAB"/>
    <w:rsid w:val="00AD2331"/>
    <w:rsid w:val="00AD2EAA"/>
    <w:rsid w:val="00AD3E84"/>
    <w:rsid w:val="00AD637B"/>
    <w:rsid w:val="00AD73BE"/>
    <w:rsid w:val="00AE0538"/>
    <w:rsid w:val="00AE73D9"/>
    <w:rsid w:val="00AF2A35"/>
    <w:rsid w:val="00AF54B2"/>
    <w:rsid w:val="00B00608"/>
    <w:rsid w:val="00B0199C"/>
    <w:rsid w:val="00B23DD0"/>
    <w:rsid w:val="00B269B3"/>
    <w:rsid w:val="00B33BDF"/>
    <w:rsid w:val="00B370F8"/>
    <w:rsid w:val="00B40EF4"/>
    <w:rsid w:val="00B441F6"/>
    <w:rsid w:val="00B47265"/>
    <w:rsid w:val="00B47C89"/>
    <w:rsid w:val="00B50AEC"/>
    <w:rsid w:val="00B50F17"/>
    <w:rsid w:val="00B52630"/>
    <w:rsid w:val="00B56481"/>
    <w:rsid w:val="00B60C2B"/>
    <w:rsid w:val="00B61E56"/>
    <w:rsid w:val="00B61FD0"/>
    <w:rsid w:val="00B632CF"/>
    <w:rsid w:val="00B77CD4"/>
    <w:rsid w:val="00B87804"/>
    <w:rsid w:val="00B90312"/>
    <w:rsid w:val="00B90B26"/>
    <w:rsid w:val="00B90C9C"/>
    <w:rsid w:val="00BA3FB2"/>
    <w:rsid w:val="00BA425E"/>
    <w:rsid w:val="00BA452C"/>
    <w:rsid w:val="00BA665C"/>
    <w:rsid w:val="00BB01A2"/>
    <w:rsid w:val="00BB1A70"/>
    <w:rsid w:val="00BC0791"/>
    <w:rsid w:val="00BC0BF3"/>
    <w:rsid w:val="00BC22F9"/>
    <w:rsid w:val="00BC77B6"/>
    <w:rsid w:val="00BD1BDB"/>
    <w:rsid w:val="00BD2C45"/>
    <w:rsid w:val="00BD4AA5"/>
    <w:rsid w:val="00BD76CC"/>
    <w:rsid w:val="00BD7B1F"/>
    <w:rsid w:val="00BE0C29"/>
    <w:rsid w:val="00BE252A"/>
    <w:rsid w:val="00BE711E"/>
    <w:rsid w:val="00BF0887"/>
    <w:rsid w:val="00BF1953"/>
    <w:rsid w:val="00BF1E87"/>
    <w:rsid w:val="00BF2522"/>
    <w:rsid w:val="00BF31CB"/>
    <w:rsid w:val="00BF657E"/>
    <w:rsid w:val="00C0273C"/>
    <w:rsid w:val="00C040D3"/>
    <w:rsid w:val="00C07BEF"/>
    <w:rsid w:val="00C07DBE"/>
    <w:rsid w:val="00C10864"/>
    <w:rsid w:val="00C10C5A"/>
    <w:rsid w:val="00C22CC5"/>
    <w:rsid w:val="00C41CD6"/>
    <w:rsid w:val="00C429B9"/>
    <w:rsid w:val="00C51322"/>
    <w:rsid w:val="00C5365C"/>
    <w:rsid w:val="00C57201"/>
    <w:rsid w:val="00C62939"/>
    <w:rsid w:val="00C67872"/>
    <w:rsid w:val="00C6795D"/>
    <w:rsid w:val="00C7116C"/>
    <w:rsid w:val="00C744EE"/>
    <w:rsid w:val="00C748A8"/>
    <w:rsid w:val="00C82060"/>
    <w:rsid w:val="00C8465A"/>
    <w:rsid w:val="00C91DE3"/>
    <w:rsid w:val="00C91EEA"/>
    <w:rsid w:val="00C943CA"/>
    <w:rsid w:val="00CA3BE3"/>
    <w:rsid w:val="00CA65FA"/>
    <w:rsid w:val="00CA7B5B"/>
    <w:rsid w:val="00CB1B65"/>
    <w:rsid w:val="00CC0288"/>
    <w:rsid w:val="00CC052C"/>
    <w:rsid w:val="00CC1A68"/>
    <w:rsid w:val="00CD36DE"/>
    <w:rsid w:val="00CD376C"/>
    <w:rsid w:val="00CD6CAF"/>
    <w:rsid w:val="00CF052B"/>
    <w:rsid w:val="00CF3339"/>
    <w:rsid w:val="00CF6E44"/>
    <w:rsid w:val="00D006AF"/>
    <w:rsid w:val="00D1553C"/>
    <w:rsid w:val="00D17F3B"/>
    <w:rsid w:val="00D346BC"/>
    <w:rsid w:val="00D348A2"/>
    <w:rsid w:val="00D36412"/>
    <w:rsid w:val="00D37234"/>
    <w:rsid w:val="00D3794A"/>
    <w:rsid w:val="00D54B06"/>
    <w:rsid w:val="00D633FF"/>
    <w:rsid w:val="00D63C54"/>
    <w:rsid w:val="00D67C88"/>
    <w:rsid w:val="00D7004B"/>
    <w:rsid w:val="00D729A2"/>
    <w:rsid w:val="00D74C1A"/>
    <w:rsid w:val="00D810A9"/>
    <w:rsid w:val="00D85A87"/>
    <w:rsid w:val="00D869CE"/>
    <w:rsid w:val="00D923A2"/>
    <w:rsid w:val="00D94C23"/>
    <w:rsid w:val="00D96E5F"/>
    <w:rsid w:val="00DA6269"/>
    <w:rsid w:val="00DB1416"/>
    <w:rsid w:val="00DB1600"/>
    <w:rsid w:val="00DB2711"/>
    <w:rsid w:val="00DB6862"/>
    <w:rsid w:val="00DB72D7"/>
    <w:rsid w:val="00DD03CB"/>
    <w:rsid w:val="00DD513E"/>
    <w:rsid w:val="00DE0AE4"/>
    <w:rsid w:val="00DE3677"/>
    <w:rsid w:val="00DE76BB"/>
    <w:rsid w:val="00E004A0"/>
    <w:rsid w:val="00E03FCB"/>
    <w:rsid w:val="00E0612E"/>
    <w:rsid w:val="00E063F8"/>
    <w:rsid w:val="00E12B18"/>
    <w:rsid w:val="00E13C9D"/>
    <w:rsid w:val="00E1540F"/>
    <w:rsid w:val="00E16E06"/>
    <w:rsid w:val="00E20D18"/>
    <w:rsid w:val="00E21025"/>
    <w:rsid w:val="00E21804"/>
    <w:rsid w:val="00E326BD"/>
    <w:rsid w:val="00E32C8C"/>
    <w:rsid w:val="00E350FC"/>
    <w:rsid w:val="00E3703D"/>
    <w:rsid w:val="00E40FEF"/>
    <w:rsid w:val="00E410D2"/>
    <w:rsid w:val="00E41A1C"/>
    <w:rsid w:val="00E4437B"/>
    <w:rsid w:val="00E47907"/>
    <w:rsid w:val="00E47B1B"/>
    <w:rsid w:val="00E55889"/>
    <w:rsid w:val="00E65800"/>
    <w:rsid w:val="00E67650"/>
    <w:rsid w:val="00E71484"/>
    <w:rsid w:val="00E86264"/>
    <w:rsid w:val="00E90C54"/>
    <w:rsid w:val="00E9452F"/>
    <w:rsid w:val="00E956F0"/>
    <w:rsid w:val="00EA1490"/>
    <w:rsid w:val="00EA660B"/>
    <w:rsid w:val="00EA75B4"/>
    <w:rsid w:val="00EA7DC6"/>
    <w:rsid w:val="00EB396B"/>
    <w:rsid w:val="00EC12F4"/>
    <w:rsid w:val="00EC2D82"/>
    <w:rsid w:val="00ED2204"/>
    <w:rsid w:val="00EE2413"/>
    <w:rsid w:val="00EF31C6"/>
    <w:rsid w:val="00EF42F9"/>
    <w:rsid w:val="00EF6120"/>
    <w:rsid w:val="00F01501"/>
    <w:rsid w:val="00F1357B"/>
    <w:rsid w:val="00F144C2"/>
    <w:rsid w:val="00F16336"/>
    <w:rsid w:val="00F17DDA"/>
    <w:rsid w:val="00F24A69"/>
    <w:rsid w:val="00F34B58"/>
    <w:rsid w:val="00F3775E"/>
    <w:rsid w:val="00F37986"/>
    <w:rsid w:val="00F426D9"/>
    <w:rsid w:val="00F45069"/>
    <w:rsid w:val="00F53870"/>
    <w:rsid w:val="00F63C0F"/>
    <w:rsid w:val="00F70542"/>
    <w:rsid w:val="00F71044"/>
    <w:rsid w:val="00F72C5D"/>
    <w:rsid w:val="00F72FF1"/>
    <w:rsid w:val="00F75DAD"/>
    <w:rsid w:val="00F82A41"/>
    <w:rsid w:val="00F83607"/>
    <w:rsid w:val="00F83D89"/>
    <w:rsid w:val="00F86624"/>
    <w:rsid w:val="00F90435"/>
    <w:rsid w:val="00F90697"/>
    <w:rsid w:val="00F92D7F"/>
    <w:rsid w:val="00F95E61"/>
    <w:rsid w:val="00F9689F"/>
    <w:rsid w:val="00FA0C81"/>
    <w:rsid w:val="00FA16AE"/>
    <w:rsid w:val="00FA3789"/>
    <w:rsid w:val="00FA41DD"/>
    <w:rsid w:val="00FA60CC"/>
    <w:rsid w:val="00FB4D6B"/>
    <w:rsid w:val="00FC6AA4"/>
    <w:rsid w:val="00FD10F8"/>
    <w:rsid w:val="00FD3B69"/>
    <w:rsid w:val="00FD3D54"/>
    <w:rsid w:val="00FD452C"/>
    <w:rsid w:val="00FD67BF"/>
    <w:rsid w:val="00FE0910"/>
    <w:rsid w:val="00FE39EE"/>
    <w:rsid w:val="00FE4C65"/>
    <w:rsid w:val="00FF0A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4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174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42A"/>
    <w:rPr>
      <w:rFonts w:ascii="Tahoma" w:hAnsi="Tahoma" w:cs="Tahoma"/>
      <w:sz w:val="16"/>
      <w:szCs w:val="16"/>
    </w:rPr>
  </w:style>
  <w:style w:type="paragraph" w:styleId="a6">
    <w:name w:val="List Paragraph"/>
    <w:basedOn w:val="a"/>
    <w:uiPriority w:val="34"/>
    <w:qFormat/>
    <w:rsid w:val="0081742A"/>
    <w:pPr>
      <w:ind w:left="720"/>
      <w:contextualSpacing/>
    </w:pPr>
  </w:style>
  <w:style w:type="character" w:styleId="a7">
    <w:name w:val="Hyperlink"/>
    <w:basedOn w:val="a0"/>
    <w:uiPriority w:val="99"/>
    <w:unhideWhenUsed/>
    <w:rsid w:val="00762FBD"/>
    <w:rPr>
      <w:color w:val="0000FF" w:themeColor="hyperlink"/>
      <w:u w:val="single"/>
    </w:rPr>
  </w:style>
  <w:style w:type="paragraph" w:customStyle="1" w:styleId="Header">
    <w:name w:val="Header"/>
    <w:basedOn w:val="a8"/>
    <w:rsid w:val="00F83D89"/>
  </w:style>
  <w:style w:type="paragraph" w:styleId="a8">
    <w:name w:val="header"/>
    <w:basedOn w:val="a"/>
    <w:link w:val="a9"/>
    <w:uiPriority w:val="99"/>
    <w:semiHidden/>
    <w:unhideWhenUsed/>
    <w:rsid w:val="00F83D8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83D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OJ:L:2009:149:0065:0068:EN:PDF" TargetMode="External"/><Relationship Id="rId3" Type="http://schemas.openxmlformats.org/officeDocument/2006/relationships/settings" Target="settings.xml"/><Relationship Id="rId7" Type="http://schemas.openxmlformats.org/officeDocument/2006/relationships/hyperlink" Target="http://eur-lex.europa.eu/LexUriServ/LexUriServ.do?uri=OJ:L:2008:172:0015:0024: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xUriServ/LexUriServ.do?uri=OJ:L:2007:043:0032:0034:EN:PDF"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rodocdb.dk/docs/doc98/official/pdf/ECCDEC06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Comreg</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kdunne</dc:creator>
  <cp:keywords/>
  <dc:description/>
  <cp:lastModifiedBy>shurakhov</cp:lastModifiedBy>
  <cp:revision>16</cp:revision>
  <cp:lastPrinted>2011-09-30T11:45:00Z</cp:lastPrinted>
  <dcterms:created xsi:type="dcterms:W3CDTF">2011-09-30T10:28:00Z</dcterms:created>
  <dcterms:modified xsi:type="dcterms:W3CDTF">2011-09-30T12:07:00Z</dcterms:modified>
</cp:coreProperties>
</file>