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40" w:type="dxa"/>
        <w:tblInd w:w="-72" w:type="dxa"/>
        <w:tblLayout w:type="fixed"/>
        <w:tblCellMar>
          <w:left w:w="70" w:type="dxa"/>
          <w:right w:w="70" w:type="dxa"/>
        </w:tblCellMar>
        <w:tblLook w:val="0000"/>
      </w:tblPr>
      <w:tblGrid>
        <w:gridCol w:w="1843"/>
        <w:gridCol w:w="2497"/>
        <w:gridCol w:w="1731"/>
        <w:gridCol w:w="3569"/>
      </w:tblGrid>
      <w:tr w:rsidR="00346C62" w:rsidRPr="00C1651E">
        <w:trPr>
          <w:cantSplit/>
        </w:trPr>
        <w:tc>
          <w:tcPr>
            <w:tcW w:w="6071" w:type="dxa"/>
            <w:gridSpan w:val="3"/>
            <w:tcBorders>
              <w:top w:val="nil"/>
              <w:left w:val="nil"/>
              <w:bottom w:val="nil"/>
              <w:right w:val="nil"/>
            </w:tcBorders>
          </w:tcPr>
          <w:p w:rsidR="00346C62" w:rsidRPr="00C1651E" w:rsidRDefault="009C162D" w:rsidP="00215746">
            <w:pPr>
              <w:pStyle w:val="Header2"/>
              <w:rPr>
                <w:lang w:val="en-GB"/>
              </w:rPr>
            </w:pPr>
            <w:r>
              <w:rPr>
                <w:noProof/>
                <w:lang w:val="ru-RU" w:eastAsia="ru-RU"/>
              </w:rPr>
              <w:drawing>
                <wp:inline distT="0" distB="0" distL="0" distR="0">
                  <wp:extent cx="1624965" cy="831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24965" cy="831215"/>
                          </a:xfrm>
                          <a:prstGeom prst="rect">
                            <a:avLst/>
                          </a:prstGeom>
                          <a:noFill/>
                          <a:ln w="9525">
                            <a:noFill/>
                            <a:miter lim="800000"/>
                            <a:headEnd/>
                            <a:tailEnd/>
                          </a:ln>
                        </pic:spPr>
                      </pic:pic>
                    </a:graphicData>
                  </a:graphic>
                </wp:inline>
              </w:drawing>
            </w:r>
            <w:r w:rsidR="00356C52" w:rsidRPr="00C1651E">
              <w:rPr>
                <w:lang w:val="en-GB"/>
              </w:rPr>
              <w:t>Working Group FM</w:t>
            </w:r>
          </w:p>
          <w:p w:rsidR="00346C62" w:rsidRPr="00C1651E" w:rsidRDefault="00346C62" w:rsidP="00215746">
            <w:pPr>
              <w:pStyle w:val="Header2"/>
              <w:rPr>
                <w:rFonts w:cs="Arial"/>
                <w:color w:val="000000"/>
                <w:lang w:val="en-GB"/>
              </w:rPr>
            </w:pPr>
          </w:p>
        </w:tc>
        <w:tc>
          <w:tcPr>
            <w:tcW w:w="3569" w:type="dxa"/>
            <w:tcBorders>
              <w:top w:val="nil"/>
              <w:left w:val="nil"/>
              <w:bottom w:val="nil"/>
              <w:right w:val="nil"/>
            </w:tcBorders>
          </w:tcPr>
          <w:p w:rsidR="00346C62" w:rsidRPr="00C1651E" w:rsidRDefault="0098621D" w:rsidP="00E9697A">
            <w:pPr>
              <w:pStyle w:val="Header2"/>
              <w:tabs>
                <w:tab w:val="clear" w:pos="4536"/>
                <w:tab w:val="right" w:pos="3357"/>
              </w:tabs>
              <w:rPr>
                <w:lang w:val="en-GB"/>
              </w:rPr>
            </w:pPr>
            <w:r w:rsidRPr="00C1651E">
              <w:rPr>
                <w:lang w:val="en-GB"/>
              </w:rPr>
              <w:tab/>
            </w:r>
            <w:r w:rsidR="00E9697A" w:rsidRPr="00C1651E">
              <w:rPr>
                <w:lang w:val="en-GB"/>
              </w:rPr>
              <w:t>FM(11)</w:t>
            </w:r>
            <w:r w:rsidR="006035FE">
              <w:rPr>
                <w:lang w:val="en-GB"/>
              </w:rPr>
              <w:t>162</w:t>
            </w:r>
          </w:p>
        </w:tc>
      </w:tr>
      <w:tr w:rsidR="00346C62" w:rsidRPr="00C1651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C1651E" w:rsidRDefault="00E9697A" w:rsidP="00215746">
            <w:pPr>
              <w:pStyle w:val="Header2"/>
              <w:rPr>
                <w:lang w:val="en-GB"/>
              </w:rPr>
            </w:pPr>
            <w:r w:rsidRPr="00C1651E">
              <w:rPr>
                <w:rFonts w:cs="Arial"/>
                <w:sz w:val="24"/>
                <w:szCs w:val="24"/>
                <w:lang w:val="en-GB"/>
              </w:rPr>
              <w:t>73</w:t>
            </w:r>
            <w:r w:rsidRPr="00C1651E">
              <w:rPr>
                <w:rFonts w:cs="Arial"/>
                <w:sz w:val="24"/>
                <w:szCs w:val="24"/>
                <w:vertAlign w:val="superscript"/>
                <w:lang w:val="en-GB"/>
              </w:rPr>
              <w:t xml:space="preserve">rd  </w:t>
            </w:r>
            <w:r w:rsidRPr="00C1651E">
              <w:rPr>
                <w:rFonts w:cs="Arial"/>
                <w:sz w:val="24"/>
                <w:szCs w:val="24"/>
                <w:lang w:val="en-GB"/>
              </w:rPr>
              <w:t>Meeting</w:t>
            </w:r>
          </w:p>
        </w:tc>
        <w:tc>
          <w:tcPr>
            <w:tcW w:w="5300" w:type="dxa"/>
            <w:gridSpan w:val="2"/>
            <w:tcBorders>
              <w:top w:val="nil"/>
              <w:left w:val="nil"/>
              <w:bottom w:val="nil"/>
              <w:right w:val="nil"/>
            </w:tcBorders>
            <w:vAlign w:val="center"/>
          </w:tcPr>
          <w:p w:rsidR="00346C62" w:rsidRPr="00C1651E" w:rsidRDefault="00346C62" w:rsidP="00215746">
            <w:pPr>
              <w:pStyle w:val="Header2"/>
              <w:rPr>
                <w:lang w:val="en-GB"/>
              </w:rPr>
            </w:pPr>
          </w:p>
        </w:tc>
      </w:tr>
      <w:tr w:rsidR="00346C62" w:rsidRPr="00C1651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C1651E" w:rsidRDefault="00E9697A" w:rsidP="00215746">
            <w:pPr>
              <w:pStyle w:val="Header2"/>
              <w:rPr>
                <w:lang w:val="en-GB"/>
              </w:rPr>
            </w:pPr>
            <w:r w:rsidRPr="00C1651E">
              <w:rPr>
                <w:rFonts w:cs="Arial"/>
                <w:sz w:val="24"/>
                <w:szCs w:val="24"/>
                <w:lang w:val="en-GB"/>
              </w:rPr>
              <w:t>Lille, 17 – 21 October 2011</w:t>
            </w:r>
          </w:p>
        </w:tc>
        <w:tc>
          <w:tcPr>
            <w:tcW w:w="5300" w:type="dxa"/>
            <w:gridSpan w:val="2"/>
            <w:tcBorders>
              <w:top w:val="nil"/>
              <w:left w:val="nil"/>
              <w:bottom w:val="nil"/>
              <w:right w:val="nil"/>
            </w:tcBorders>
            <w:vAlign w:val="center"/>
          </w:tcPr>
          <w:p w:rsidR="00346C62" w:rsidRPr="00C1651E" w:rsidRDefault="00346C62" w:rsidP="00215746">
            <w:pPr>
              <w:pStyle w:val="Header2"/>
              <w:rPr>
                <w:lang w:val="en-GB"/>
              </w:rPr>
            </w:pPr>
          </w:p>
        </w:tc>
      </w:tr>
      <w:tr w:rsidR="00F05B26" w:rsidRPr="00C1651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C1651E" w:rsidRDefault="00F05B26" w:rsidP="00215746">
            <w:pPr>
              <w:pStyle w:val="Header2"/>
              <w:rPr>
                <w:sz w:val="8"/>
                <w:lang w:val="en-GB"/>
              </w:rPr>
            </w:pPr>
          </w:p>
        </w:tc>
        <w:tc>
          <w:tcPr>
            <w:tcW w:w="5300" w:type="dxa"/>
            <w:gridSpan w:val="2"/>
            <w:tcBorders>
              <w:top w:val="nil"/>
              <w:left w:val="nil"/>
              <w:bottom w:val="nil"/>
              <w:right w:val="nil"/>
            </w:tcBorders>
            <w:vAlign w:val="center"/>
          </w:tcPr>
          <w:p w:rsidR="00F05B26" w:rsidRPr="00C1651E" w:rsidRDefault="00F05B26" w:rsidP="00215746">
            <w:pPr>
              <w:pStyle w:val="Header2"/>
              <w:rPr>
                <w:sz w:val="8"/>
                <w:lang w:val="en-GB"/>
              </w:rPr>
            </w:pPr>
          </w:p>
        </w:tc>
      </w:tr>
      <w:tr w:rsidR="00F05B26" w:rsidRPr="00C1651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C1651E" w:rsidRDefault="00F05B26" w:rsidP="00215746">
            <w:pPr>
              <w:pStyle w:val="Header2"/>
              <w:rPr>
                <w:lang w:val="en-GB"/>
              </w:rPr>
            </w:pPr>
            <w:r w:rsidRPr="00C1651E">
              <w:rPr>
                <w:lang w:val="en-GB"/>
              </w:rPr>
              <w:t>Date issued:</w:t>
            </w:r>
            <w:r w:rsidR="005269EA" w:rsidRPr="00C1651E">
              <w:rPr>
                <w:lang w:val="en-GB"/>
              </w:rPr>
              <w:t xml:space="preserve"> </w:t>
            </w:r>
          </w:p>
        </w:tc>
        <w:tc>
          <w:tcPr>
            <w:tcW w:w="7797" w:type="dxa"/>
            <w:gridSpan w:val="3"/>
            <w:tcBorders>
              <w:top w:val="nil"/>
              <w:left w:val="nil"/>
              <w:bottom w:val="nil"/>
              <w:right w:val="nil"/>
            </w:tcBorders>
            <w:vAlign w:val="center"/>
          </w:tcPr>
          <w:p w:rsidR="00F05B26" w:rsidRPr="00C1651E" w:rsidRDefault="009C162D" w:rsidP="00215746">
            <w:pPr>
              <w:pStyle w:val="Header2"/>
              <w:rPr>
                <w:lang w:val="en-GB"/>
              </w:rPr>
            </w:pPr>
            <w:r>
              <w:rPr>
                <w:lang w:val="en-GB"/>
              </w:rPr>
              <w:t>29</w:t>
            </w:r>
            <w:r w:rsidR="00B72C04" w:rsidRPr="00C1651E">
              <w:rPr>
                <w:vertAlign w:val="superscript"/>
                <w:lang w:val="en-GB"/>
              </w:rPr>
              <w:t>th</w:t>
            </w:r>
            <w:r w:rsidR="00B72C04" w:rsidRPr="00C1651E">
              <w:rPr>
                <w:lang w:val="en-GB"/>
              </w:rPr>
              <w:t xml:space="preserve"> September 2011</w:t>
            </w:r>
          </w:p>
        </w:tc>
      </w:tr>
      <w:tr w:rsidR="00F05B26" w:rsidRPr="00C1651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C1651E" w:rsidRDefault="00F05B26" w:rsidP="00215746">
            <w:pPr>
              <w:pStyle w:val="Header2"/>
              <w:rPr>
                <w:lang w:val="en-GB"/>
              </w:rPr>
            </w:pPr>
            <w:r w:rsidRPr="00C1651E">
              <w:rPr>
                <w:lang w:val="en-GB"/>
              </w:rPr>
              <w:t>Source:</w:t>
            </w:r>
          </w:p>
        </w:tc>
        <w:tc>
          <w:tcPr>
            <w:tcW w:w="7797" w:type="dxa"/>
            <w:gridSpan w:val="3"/>
            <w:tcBorders>
              <w:top w:val="nil"/>
              <w:left w:val="nil"/>
              <w:bottom w:val="nil"/>
              <w:right w:val="nil"/>
            </w:tcBorders>
            <w:vAlign w:val="center"/>
          </w:tcPr>
          <w:p w:rsidR="00F05B26" w:rsidRPr="00C1651E" w:rsidRDefault="00B72C04" w:rsidP="00B72C04">
            <w:pPr>
              <w:pStyle w:val="Header2"/>
              <w:rPr>
                <w:lang w:val="en-GB"/>
              </w:rPr>
            </w:pPr>
            <w:r w:rsidRPr="00C1651E">
              <w:rPr>
                <w:lang w:val="en-GB"/>
              </w:rPr>
              <w:t>United Kingdom</w:t>
            </w:r>
          </w:p>
        </w:tc>
      </w:tr>
      <w:tr w:rsidR="00F05B26" w:rsidRPr="00C1651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C1651E" w:rsidRDefault="00F05B26" w:rsidP="00215746">
            <w:pPr>
              <w:pStyle w:val="Header2"/>
              <w:rPr>
                <w:lang w:val="en-GB"/>
              </w:rPr>
            </w:pPr>
            <w:r w:rsidRPr="00C1651E">
              <w:rPr>
                <w:lang w:val="en-GB"/>
              </w:rPr>
              <w:t>Subject:</w:t>
            </w:r>
            <w:r w:rsidR="005269EA" w:rsidRPr="00C1651E">
              <w:rPr>
                <w:lang w:val="en-GB"/>
              </w:rPr>
              <w:t xml:space="preserve">   </w:t>
            </w:r>
          </w:p>
        </w:tc>
        <w:tc>
          <w:tcPr>
            <w:tcW w:w="7797" w:type="dxa"/>
            <w:gridSpan w:val="3"/>
            <w:tcBorders>
              <w:top w:val="nil"/>
              <w:left w:val="nil"/>
              <w:bottom w:val="nil"/>
              <w:right w:val="nil"/>
            </w:tcBorders>
            <w:vAlign w:val="center"/>
          </w:tcPr>
          <w:p w:rsidR="00F05B26" w:rsidRPr="00C1651E" w:rsidRDefault="00B72C04" w:rsidP="001E0E49">
            <w:pPr>
              <w:pStyle w:val="Header2"/>
              <w:rPr>
                <w:lang w:val="en-GB"/>
              </w:rPr>
            </w:pPr>
            <w:r w:rsidRPr="00C1651E">
              <w:rPr>
                <w:lang w:val="en-GB"/>
              </w:rPr>
              <w:t xml:space="preserve">Direct Air to Ground </w:t>
            </w:r>
            <w:r w:rsidR="003D1BB3" w:rsidRPr="00C1651E">
              <w:rPr>
                <w:lang w:val="en-GB"/>
              </w:rPr>
              <w:t xml:space="preserve">Communication </w:t>
            </w:r>
            <w:r w:rsidRPr="00C1651E">
              <w:rPr>
                <w:lang w:val="en-GB"/>
              </w:rPr>
              <w:t>(DA2GC) FM48</w:t>
            </w:r>
          </w:p>
        </w:tc>
      </w:tr>
      <w:tr w:rsidR="00493F86" w:rsidRPr="00C1651E"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C1651E" w:rsidRDefault="00AE7CDF" w:rsidP="00FF320E">
            <w:pPr>
              <w:rPr>
                <w:lang w:val="en-GB"/>
              </w:rPr>
            </w:pPr>
            <w:r w:rsidRPr="00AE7CDF">
              <w:rPr>
                <w:lang w:val="en-GB"/>
              </w:rPr>
              <w:pict>
                <v:shapetype id="_x0000_t202" coordsize="21600,21600" o:spt="202" path="m,l,21600r21600,l21600,xe">
                  <v:stroke joinstyle="miter"/>
                  <v:path gradientshapeok="t" o:connecttype="rect"/>
                </v:shapetype>
                <v:shape id="_x0000_s1026" type="#_x0000_t202" style="position:absolute;left:0;text-align:left;margin-left:193.3pt;margin-top:15.15pt;width:36pt;height:21.35pt;z-index:-251658752;mso-wrap-edited:f;mso-position-horizontal-relative:text;mso-position-vertical-relative:text" wrapcoords="-450 0 -450 21600 22050 21600 22050 0 -450 0">
                  <v:textbox style="mso-next-textbox:#_x0000_s1026">
                    <w:txbxContent>
                      <w:p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w:r>
            <w:r w:rsidR="00493F86" w:rsidRPr="00C1651E">
              <w:rPr>
                <w:lang w:val="en-GB"/>
              </w:rPr>
              <w:t xml:space="preserve">Password protection required? (Y/N) </w:t>
            </w:r>
          </w:p>
          <w:p w:rsidR="00493F86" w:rsidRPr="00C1651E" w:rsidRDefault="00493F86" w:rsidP="00FF320E">
            <w:pPr>
              <w:pStyle w:val="Header1"/>
              <w:rPr>
                <w:lang w:val="en-GB"/>
              </w:rPr>
            </w:pPr>
          </w:p>
        </w:tc>
      </w:tr>
      <w:tr w:rsidR="00493F86" w:rsidRPr="00C1651E"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C1651E" w:rsidRDefault="00493F86" w:rsidP="00FF320E">
            <w:pPr>
              <w:pStyle w:val="Header1"/>
              <w:rPr>
                <w:lang w:val="en-GB"/>
              </w:rPr>
            </w:pPr>
          </w:p>
          <w:p w:rsidR="00493F86" w:rsidRPr="00C1651E" w:rsidRDefault="00493F86" w:rsidP="00FF320E">
            <w:pPr>
              <w:pStyle w:val="Header1"/>
              <w:rPr>
                <w:sz w:val="8"/>
                <w:lang w:val="en-GB"/>
              </w:rPr>
            </w:pPr>
          </w:p>
        </w:tc>
      </w:tr>
      <w:tr w:rsidR="001E0E49" w:rsidRPr="00C1651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Pr="00C1651E" w:rsidRDefault="001E0E49" w:rsidP="00B72C04">
            <w:pPr>
              <w:pStyle w:val="Header2"/>
              <w:rPr>
                <w:color w:val="000000"/>
                <w:lang w:val="en-GB"/>
              </w:rPr>
            </w:pPr>
            <w:r w:rsidRPr="00C1651E">
              <w:rPr>
                <w:lang w:val="en-GB"/>
              </w:rPr>
              <w:t>Summary:</w:t>
            </w:r>
            <w:r w:rsidRPr="00C1651E">
              <w:rPr>
                <w:color w:val="000000"/>
                <w:lang w:val="en-GB"/>
              </w:rPr>
              <w:t xml:space="preserve"> </w:t>
            </w:r>
          </w:p>
        </w:tc>
      </w:tr>
      <w:tr w:rsidR="001E0E49" w:rsidRPr="00C1651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B72C04" w:rsidRPr="00C1651E" w:rsidRDefault="00B72C04" w:rsidP="00B72C04">
            <w:pPr>
              <w:autoSpaceDE w:val="0"/>
              <w:autoSpaceDN w:val="0"/>
              <w:adjustRightInd w:val="0"/>
              <w:spacing w:after="0"/>
              <w:jc w:val="left"/>
              <w:rPr>
                <w:color w:val="000000"/>
                <w:lang w:val="en-GB"/>
              </w:rPr>
            </w:pPr>
            <w:r w:rsidRPr="00C1651E">
              <w:rPr>
                <w:color w:val="000000"/>
                <w:lang w:val="en-GB"/>
              </w:rPr>
              <w:t xml:space="preserve">Candidate bands for Broadband DA2GC were revised during the 3rd meeting of FM PT 48. However, in its table of </w:t>
            </w:r>
            <w:r w:rsidR="00815259" w:rsidRPr="00C1651E">
              <w:rPr>
                <w:color w:val="000000"/>
                <w:lang w:val="en-GB"/>
              </w:rPr>
              <w:t>DA2GC identif</w:t>
            </w:r>
            <w:r w:rsidR="00C1651E" w:rsidRPr="00C1651E">
              <w:rPr>
                <w:color w:val="000000"/>
                <w:lang w:val="en-GB"/>
              </w:rPr>
              <w:t>i</w:t>
            </w:r>
            <w:r w:rsidR="00815259" w:rsidRPr="00C1651E">
              <w:rPr>
                <w:color w:val="000000"/>
                <w:lang w:val="en-GB"/>
              </w:rPr>
              <w:t xml:space="preserve">ed </w:t>
            </w:r>
            <w:r w:rsidRPr="00C1651E">
              <w:rPr>
                <w:color w:val="000000"/>
                <w:lang w:val="en-GB"/>
              </w:rPr>
              <w:t>frequency bands</w:t>
            </w:r>
            <w:r w:rsidR="00815259" w:rsidRPr="00C1651E">
              <w:rPr>
                <w:color w:val="000000"/>
                <w:lang w:val="en-GB"/>
              </w:rPr>
              <w:t xml:space="preserve">, in </w:t>
            </w:r>
            <w:r w:rsidRPr="00C1651E">
              <w:rPr>
                <w:color w:val="000000"/>
                <w:lang w:val="en-GB"/>
              </w:rPr>
              <w:t xml:space="preserve">category 4, </w:t>
            </w:r>
            <w:r w:rsidR="0061022D">
              <w:rPr>
                <w:color w:val="000000"/>
                <w:lang w:val="en-GB"/>
              </w:rPr>
              <w:t xml:space="preserve">PT </w:t>
            </w:r>
            <w:r w:rsidRPr="00C1651E">
              <w:rPr>
                <w:color w:val="000000"/>
                <w:lang w:val="en-GB"/>
              </w:rPr>
              <w:t>FM48 has failed to identify that the frequency bands 1980-2010 and 2170-220</w:t>
            </w:r>
            <w:r w:rsidR="008975A8">
              <w:rPr>
                <w:color w:val="000000"/>
                <w:lang w:val="en-GB"/>
              </w:rPr>
              <w:t>0</w:t>
            </w:r>
            <w:r w:rsidRPr="00C1651E">
              <w:rPr>
                <w:color w:val="000000"/>
                <w:lang w:val="en-GB"/>
              </w:rPr>
              <w:t xml:space="preserve">, have </w:t>
            </w:r>
            <w:r w:rsidR="0061022D">
              <w:rPr>
                <w:color w:val="000000"/>
                <w:lang w:val="en-GB"/>
              </w:rPr>
              <w:t xml:space="preserve">difficult </w:t>
            </w:r>
            <w:r w:rsidRPr="00C1651E">
              <w:rPr>
                <w:color w:val="000000"/>
                <w:lang w:val="en-GB"/>
              </w:rPr>
              <w:t xml:space="preserve">regulatory obstacles </w:t>
            </w:r>
            <w:r w:rsidR="0061022D">
              <w:rPr>
                <w:color w:val="000000"/>
                <w:lang w:val="en-GB"/>
              </w:rPr>
              <w:t xml:space="preserve">to overcome before </w:t>
            </w:r>
            <w:r w:rsidRPr="00C1651E">
              <w:rPr>
                <w:color w:val="000000"/>
                <w:lang w:val="en-GB"/>
              </w:rPr>
              <w:t>any introduction of Broadband DA2GC systems</w:t>
            </w:r>
            <w:r w:rsidR="0061022D">
              <w:rPr>
                <w:color w:val="000000"/>
                <w:lang w:val="en-GB"/>
              </w:rPr>
              <w:t xml:space="preserve"> can be considered</w:t>
            </w:r>
            <w:r w:rsidRPr="00C1651E">
              <w:rPr>
                <w:color w:val="000000"/>
                <w:lang w:val="en-GB"/>
              </w:rPr>
              <w:t>. These bands are subjec</w:t>
            </w:r>
            <w:r w:rsidR="003D1BB3" w:rsidRPr="00C1651E">
              <w:rPr>
                <w:color w:val="000000"/>
                <w:lang w:val="en-GB"/>
              </w:rPr>
              <w:t>t</w:t>
            </w:r>
            <w:r w:rsidRPr="00C1651E">
              <w:rPr>
                <w:color w:val="000000"/>
                <w:lang w:val="en-GB"/>
              </w:rPr>
              <w:t xml:space="preserve"> to </w:t>
            </w:r>
            <w:r w:rsidR="0061022D">
              <w:rPr>
                <w:color w:val="000000"/>
                <w:lang w:val="en-GB"/>
              </w:rPr>
              <w:t xml:space="preserve">EC Decision </w:t>
            </w:r>
            <w:r w:rsidR="0061022D" w:rsidRPr="00C1651E">
              <w:rPr>
                <w:color w:val="000000"/>
                <w:lang w:val="en-GB"/>
              </w:rPr>
              <w:t xml:space="preserve">(2007/98/EC) </w:t>
            </w:r>
            <w:r w:rsidR="0061022D">
              <w:rPr>
                <w:color w:val="000000"/>
                <w:lang w:val="en-GB"/>
              </w:rPr>
              <w:t>which allocates these bands to the</w:t>
            </w:r>
            <w:r w:rsidRPr="00C1651E">
              <w:rPr>
                <w:color w:val="000000"/>
                <w:lang w:val="en-GB"/>
              </w:rPr>
              <w:t xml:space="preserve"> mobile satellite service. </w:t>
            </w:r>
          </w:p>
          <w:p w:rsidR="001E0E49" w:rsidRPr="00C1651E" w:rsidRDefault="001E0E49" w:rsidP="00B72C04">
            <w:pPr>
              <w:autoSpaceDE w:val="0"/>
              <w:autoSpaceDN w:val="0"/>
              <w:adjustRightInd w:val="0"/>
              <w:spacing w:after="0"/>
              <w:jc w:val="left"/>
              <w:rPr>
                <w:color w:val="000000"/>
                <w:lang w:val="en-GB"/>
              </w:rPr>
            </w:pPr>
          </w:p>
        </w:tc>
      </w:tr>
      <w:tr w:rsidR="001E0E49" w:rsidRPr="00C1651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Pr="00C1651E" w:rsidRDefault="001E0E49" w:rsidP="001E0E49">
            <w:pPr>
              <w:pStyle w:val="Header2"/>
              <w:rPr>
                <w:lang w:val="en-GB"/>
              </w:rPr>
            </w:pPr>
            <w:r w:rsidRPr="00C1651E">
              <w:rPr>
                <w:lang w:val="en-GB"/>
              </w:rPr>
              <w:t xml:space="preserve">Proposal: </w:t>
            </w:r>
          </w:p>
        </w:tc>
      </w:tr>
      <w:tr w:rsidR="001E0E49" w:rsidRPr="00C1651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1E0E49" w:rsidRPr="00C1651E" w:rsidRDefault="00B72C04" w:rsidP="00B72C04">
            <w:pPr>
              <w:autoSpaceDE w:val="0"/>
              <w:autoSpaceDN w:val="0"/>
              <w:adjustRightInd w:val="0"/>
              <w:spacing w:after="0"/>
              <w:jc w:val="left"/>
              <w:rPr>
                <w:color w:val="000000"/>
                <w:lang w:val="en-GB"/>
              </w:rPr>
            </w:pPr>
            <w:r w:rsidRPr="00C1651E">
              <w:rPr>
                <w:color w:val="000000"/>
                <w:lang w:val="en-GB"/>
              </w:rPr>
              <w:t xml:space="preserve">Within the EC Decision (2007/98/EC) it is explicit that any sharing technology must not cause </w:t>
            </w:r>
            <w:r w:rsidR="0061022D">
              <w:rPr>
                <w:color w:val="000000"/>
                <w:lang w:val="en-GB"/>
              </w:rPr>
              <w:t xml:space="preserve">harmful </w:t>
            </w:r>
            <w:r w:rsidRPr="00C1651E">
              <w:rPr>
                <w:color w:val="000000"/>
                <w:lang w:val="en-GB"/>
              </w:rPr>
              <w:t>interference and may not claim protection from harmful interference caused by systems providing mobile satellite services</w:t>
            </w:r>
            <w:r w:rsidR="003D1BB3" w:rsidRPr="00C1651E">
              <w:rPr>
                <w:color w:val="000000"/>
                <w:lang w:val="en-GB"/>
              </w:rPr>
              <w:t xml:space="preserve"> (inc</w:t>
            </w:r>
            <w:r w:rsidR="00C1651E">
              <w:rPr>
                <w:color w:val="000000"/>
                <w:lang w:val="en-GB"/>
              </w:rPr>
              <w:t>luding the possible use of inte</w:t>
            </w:r>
            <w:r w:rsidR="003D1BB3" w:rsidRPr="00C1651E">
              <w:rPr>
                <w:color w:val="000000"/>
                <w:lang w:val="en-GB"/>
              </w:rPr>
              <w:t xml:space="preserve">grated complementary ground component </w:t>
            </w:r>
            <w:r w:rsidR="0061022D">
              <w:rPr>
                <w:color w:val="000000"/>
                <w:lang w:val="en-GB"/>
              </w:rPr>
              <w:t xml:space="preserve">(CGC) </w:t>
            </w:r>
            <w:r w:rsidR="003D1BB3" w:rsidRPr="00C1651E">
              <w:rPr>
                <w:color w:val="000000"/>
                <w:lang w:val="en-GB"/>
              </w:rPr>
              <w:t>base stations)</w:t>
            </w:r>
            <w:r w:rsidRPr="00C1651E">
              <w:rPr>
                <w:color w:val="000000"/>
                <w:lang w:val="en-GB"/>
              </w:rPr>
              <w:t xml:space="preserve">. </w:t>
            </w:r>
            <w:r w:rsidR="0061022D">
              <w:rPr>
                <w:color w:val="000000"/>
                <w:lang w:val="en-GB"/>
              </w:rPr>
              <w:t>After careful consideration t</w:t>
            </w:r>
            <w:r w:rsidR="0061022D" w:rsidRPr="00C1651E">
              <w:rPr>
                <w:color w:val="000000"/>
                <w:lang w:val="en-GB"/>
              </w:rPr>
              <w:t xml:space="preserve">he </w:t>
            </w:r>
            <w:r w:rsidRPr="00C1651E">
              <w:rPr>
                <w:color w:val="000000"/>
                <w:lang w:val="en-GB"/>
              </w:rPr>
              <w:t xml:space="preserve">UK </w:t>
            </w:r>
            <w:r w:rsidR="0061022D">
              <w:rPr>
                <w:color w:val="000000"/>
                <w:lang w:val="en-GB"/>
              </w:rPr>
              <w:t xml:space="preserve">are extremely doubtful about the possibility to introduce new </w:t>
            </w:r>
            <w:r w:rsidRPr="00C1651E">
              <w:rPr>
                <w:color w:val="000000"/>
                <w:lang w:val="en-GB"/>
              </w:rPr>
              <w:t xml:space="preserve">DA2GC </w:t>
            </w:r>
            <w:r w:rsidR="0061022D">
              <w:rPr>
                <w:color w:val="000000"/>
                <w:lang w:val="en-GB"/>
              </w:rPr>
              <w:t xml:space="preserve">which could meet this </w:t>
            </w:r>
            <w:r w:rsidRPr="00C1651E">
              <w:rPr>
                <w:color w:val="000000"/>
                <w:lang w:val="en-GB"/>
              </w:rPr>
              <w:t>condition. </w:t>
            </w:r>
            <w:r w:rsidR="0061022D">
              <w:rPr>
                <w:color w:val="000000"/>
                <w:lang w:val="en-GB"/>
              </w:rPr>
              <w:t>At this stage the</w:t>
            </w:r>
            <w:r w:rsidRPr="00C1651E">
              <w:rPr>
                <w:color w:val="000000"/>
                <w:lang w:val="en-GB"/>
              </w:rPr>
              <w:t xml:space="preserve"> UK </w:t>
            </w:r>
            <w:r w:rsidR="008975A8">
              <w:rPr>
                <w:color w:val="000000"/>
                <w:lang w:val="en-GB"/>
              </w:rPr>
              <w:t>believe</w:t>
            </w:r>
            <w:r w:rsidR="0061022D">
              <w:rPr>
                <w:color w:val="000000"/>
                <w:lang w:val="en-GB"/>
              </w:rPr>
              <w:t xml:space="preserve"> that it would be more prudent to concentrate</w:t>
            </w:r>
            <w:r w:rsidRPr="00C1651E">
              <w:rPr>
                <w:color w:val="000000"/>
                <w:lang w:val="en-GB"/>
              </w:rPr>
              <w:t xml:space="preserve"> the </w:t>
            </w:r>
            <w:r w:rsidR="009C162D" w:rsidRPr="00C1651E">
              <w:rPr>
                <w:color w:val="000000"/>
                <w:lang w:val="en-GB"/>
              </w:rPr>
              <w:t>limited resources</w:t>
            </w:r>
            <w:r w:rsidRPr="00C1651E">
              <w:rPr>
                <w:color w:val="000000"/>
                <w:lang w:val="en-GB"/>
              </w:rPr>
              <w:t xml:space="preserve"> </w:t>
            </w:r>
            <w:r w:rsidR="0061022D">
              <w:rPr>
                <w:color w:val="000000"/>
                <w:lang w:val="en-GB"/>
              </w:rPr>
              <w:t xml:space="preserve">of </w:t>
            </w:r>
            <w:r w:rsidR="0061022D" w:rsidRPr="00C1651E">
              <w:rPr>
                <w:color w:val="000000"/>
                <w:lang w:val="en-GB"/>
              </w:rPr>
              <w:t>FM and SE</w:t>
            </w:r>
            <w:r w:rsidR="0061022D">
              <w:rPr>
                <w:color w:val="000000"/>
                <w:lang w:val="en-GB"/>
              </w:rPr>
              <w:t xml:space="preserve"> on other proposed bands that new DA2GC would be more likely</w:t>
            </w:r>
            <w:r w:rsidRPr="00C1651E">
              <w:rPr>
                <w:color w:val="000000"/>
                <w:lang w:val="en-GB"/>
              </w:rPr>
              <w:t xml:space="preserve"> to find compatibility</w:t>
            </w:r>
            <w:r w:rsidR="0061022D">
              <w:rPr>
                <w:color w:val="000000"/>
                <w:lang w:val="en-GB"/>
              </w:rPr>
              <w:t xml:space="preserve"> with</w:t>
            </w:r>
            <w:r w:rsidRPr="00C1651E">
              <w:rPr>
                <w:color w:val="000000"/>
                <w:lang w:val="en-GB"/>
              </w:rPr>
              <w:t>. Therefore, we propose to remove these bands from further consideration for DA2GC</w:t>
            </w:r>
            <w:r w:rsidR="00C1651E">
              <w:rPr>
                <w:color w:val="000000"/>
                <w:lang w:val="en-GB"/>
              </w:rPr>
              <w:t xml:space="preserve">. The UK </w:t>
            </w:r>
            <w:r w:rsidR="0061022D">
              <w:rPr>
                <w:color w:val="000000"/>
                <w:lang w:val="en-GB"/>
              </w:rPr>
              <w:t xml:space="preserve">would also propose </w:t>
            </w:r>
            <w:r w:rsidRPr="00C1651E">
              <w:rPr>
                <w:color w:val="000000"/>
                <w:lang w:val="en-GB"/>
              </w:rPr>
              <w:t>WG</w:t>
            </w:r>
            <w:r w:rsidR="00C1651E">
              <w:rPr>
                <w:color w:val="000000"/>
                <w:lang w:val="en-GB"/>
              </w:rPr>
              <w:t>FM inform</w:t>
            </w:r>
            <w:r w:rsidR="003D1BB3" w:rsidRPr="00C1651E">
              <w:rPr>
                <w:color w:val="000000"/>
                <w:lang w:val="en-GB"/>
              </w:rPr>
              <w:t xml:space="preserve"> WGSE of </w:t>
            </w:r>
            <w:r w:rsidR="0061022D">
              <w:rPr>
                <w:color w:val="000000"/>
                <w:lang w:val="en-GB"/>
              </w:rPr>
              <w:t xml:space="preserve">the </w:t>
            </w:r>
            <w:r w:rsidR="003D1BB3" w:rsidRPr="00C1651E">
              <w:rPr>
                <w:color w:val="000000"/>
                <w:lang w:val="en-GB"/>
              </w:rPr>
              <w:t>decision</w:t>
            </w:r>
            <w:r w:rsidR="0061022D">
              <w:rPr>
                <w:color w:val="000000"/>
                <w:lang w:val="en-GB"/>
              </w:rPr>
              <w:t xml:space="preserve"> (if agreed) to remove these bands from</w:t>
            </w:r>
            <w:r w:rsidR="003D1BB3" w:rsidRPr="00C1651E">
              <w:rPr>
                <w:color w:val="000000"/>
                <w:lang w:val="en-GB"/>
              </w:rPr>
              <w:t xml:space="preserve"> the </w:t>
            </w:r>
            <w:r w:rsidR="00A3053F">
              <w:rPr>
                <w:color w:val="000000"/>
                <w:lang w:val="en-GB"/>
              </w:rPr>
              <w:t xml:space="preserve">parallel </w:t>
            </w:r>
            <w:r w:rsidR="0061022D">
              <w:rPr>
                <w:color w:val="000000"/>
                <w:lang w:val="en-GB"/>
              </w:rPr>
              <w:t>WGSE (</w:t>
            </w:r>
            <w:r w:rsidR="00C1651E">
              <w:rPr>
                <w:color w:val="000000"/>
                <w:lang w:val="en-GB"/>
              </w:rPr>
              <w:t>SE44</w:t>
            </w:r>
            <w:r w:rsidR="0061022D">
              <w:rPr>
                <w:color w:val="000000"/>
                <w:lang w:val="en-GB"/>
              </w:rPr>
              <w:t>)</w:t>
            </w:r>
            <w:r w:rsidR="00C1651E">
              <w:rPr>
                <w:color w:val="000000"/>
                <w:lang w:val="en-GB"/>
              </w:rPr>
              <w:t xml:space="preserve"> work item</w:t>
            </w:r>
            <w:r w:rsidR="0061022D">
              <w:rPr>
                <w:color w:val="000000"/>
                <w:lang w:val="en-GB"/>
              </w:rPr>
              <w:t xml:space="preserve">. </w:t>
            </w:r>
          </w:p>
          <w:p w:rsidR="00815259" w:rsidRPr="00C1651E" w:rsidRDefault="00815259" w:rsidP="001E0E49">
            <w:pPr>
              <w:rPr>
                <w:lang w:val="en-GB"/>
              </w:rPr>
            </w:pPr>
          </w:p>
        </w:tc>
      </w:tr>
      <w:tr w:rsidR="001E0E49" w:rsidRPr="00C1651E" w:rsidTr="00815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61"/>
        </w:trPr>
        <w:tc>
          <w:tcPr>
            <w:tcW w:w="9640" w:type="dxa"/>
            <w:gridSpan w:val="4"/>
            <w:tcBorders>
              <w:bottom w:val="nil"/>
            </w:tcBorders>
          </w:tcPr>
          <w:p w:rsidR="00815259" w:rsidRPr="00C1651E" w:rsidRDefault="001E0E49" w:rsidP="001E0E49">
            <w:pPr>
              <w:pStyle w:val="Header2"/>
              <w:rPr>
                <w:lang w:val="en-GB"/>
              </w:rPr>
            </w:pPr>
            <w:r w:rsidRPr="00C1651E">
              <w:rPr>
                <w:lang w:val="en-GB"/>
              </w:rPr>
              <w:lastRenderedPageBreak/>
              <w:t>Background:</w:t>
            </w:r>
          </w:p>
          <w:p w:rsidR="00815259" w:rsidRPr="00A3053F" w:rsidRDefault="00815259" w:rsidP="00815259">
            <w:pPr>
              <w:autoSpaceDE w:val="0"/>
              <w:autoSpaceDN w:val="0"/>
              <w:adjustRightInd w:val="0"/>
              <w:spacing w:after="0"/>
              <w:jc w:val="center"/>
              <w:rPr>
                <w:rFonts w:cs="Arial"/>
                <w:b/>
                <w:bCs/>
                <w:szCs w:val="22"/>
                <w:lang w:val="en-GB" w:eastAsia="en-GB"/>
              </w:rPr>
            </w:pPr>
            <w:r w:rsidRPr="00A3053F">
              <w:rPr>
                <w:rFonts w:cs="Arial"/>
                <w:b/>
                <w:bCs/>
                <w:szCs w:val="22"/>
                <w:lang w:val="en-GB" w:eastAsia="en-GB"/>
              </w:rPr>
              <w:t>COMMISSION DECISION</w:t>
            </w:r>
          </w:p>
          <w:p w:rsidR="00815259" w:rsidRPr="00A3053F" w:rsidRDefault="00815259" w:rsidP="00815259">
            <w:pPr>
              <w:autoSpaceDE w:val="0"/>
              <w:autoSpaceDN w:val="0"/>
              <w:adjustRightInd w:val="0"/>
              <w:spacing w:after="0"/>
              <w:jc w:val="center"/>
              <w:rPr>
                <w:rFonts w:cs="Arial"/>
                <w:b/>
                <w:bCs/>
                <w:szCs w:val="22"/>
                <w:lang w:val="en-GB" w:eastAsia="en-GB"/>
              </w:rPr>
            </w:pPr>
            <w:r w:rsidRPr="00A3053F">
              <w:rPr>
                <w:rFonts w:cs="Arial"/>
                <w:b/>
                <w:bCs/>
                <w:szCs w:val="22"/>
                <w:lang w:val="en-GB" w:eastAsia="en-GB"/>
              </w:rPr>
              <w:t>of 14 February 2007</w:t>
            </w:r>
          </w:p>
          <w:p w:rsidR="00815259" w:rsidRPr="00A3053F" w:rsidRDefault="00815259" w:rsidP="00815259">
            <w:pPr>
              <w:autoSpaceDE w:val="0"/>
              <w:autoSpaceDN w:val="0"/>
              <w:adjustRightInd w:val="0"/>
              <w:spacing w:after="0"/>
              <w:jc w:val="center"/>
              <w:rPr>
                <w:rFonts w:cs="Arial"/>
                <w:b/>
                <w:bCs/>
                <w:szCs w:val="22"/>
                <w:lang w:val="en-GB" w:eastAsia="en-GB"/>
              </w:rPr>
            </w:pPr>
            <w:r w:rsidRPr="00A3053F">
              <w:rPr>
                <w:rFonts w:cs="Arial"/>
                <w:b/>
                <w:bCs/>
                <w:szCs w:val="22"/>
                <w:lang w:val="en-GB" w:eastAsia="en-GB"/>
              </w:rPr>
              <w:t>on the harmonised use of radio spectrum in the 2 GHz frequency bands for the implementation of</w:t>
            </w:r>
          </w:p>
          <w:p w:rsidR="00815259" w:rsidRPr="00A3053F" w:rsidRDefault="00815259" w:rsidP="00815259">
            <w:pPr>
              <w:autoSpaceDE w:val="0"/>
              <w:autoSpaceDN w:val="0"/>
              <w:adjustRightInd w:val="0"/>
              <w:spacing w:after="0"/>
              <w:jc w:val="center"/>
              <w:rPr>
                <w:rFonts w:cs="Arial"/>
                <w:b/>
                <w:bCs/>
                <w:szCs w:val="22"/>
                <w:lang w:val="en-GB" w:eastAsia="en-GB"/>
              </w:rPr>
            </w:pPr>
            <w:r w:rsidRPr="00A3053F">
              <w:rPr>
                <w:rFonts w:cs="Arial"/>
                <w:b/>
                <w:bCs/>
                <w:szCs w:val="22"/>
                <w:lang w:val="en-GB" w:eastAsia="en-GB"/>
              </w:rPr>
              <w:t>systems providing mobile satellite services</w:t>
            </w:r>
          </w:p>
          <w:p w:rsidR="00815259" w:rsidRPr="00A3053F" w:rsidRDefault="00815259" w:rsidP="00815259">
            <w:pPr>
              <w:autoSpaceDE w:val="0"/>
              <w:autoSpaceDN w:val="0"/>
              <w:adjustRightInd w:val="0"/>
              <w:spacing w:after="0"/>
              <w:jc w:val="center"/>
              <w:rPr>
                <w:rFonts w:cs="Arial"/>
                <w:i/>
                <w:iCs/>
                <w:szCs w:val="22"/>
                <w:lang w:val="en-GB" w:eastAsia="en-GB"/>
              </w:rPr>
            </w:pPr>
            <w:r w:rsidRPr="00A3053F">
              <w:rPr>
                <w:rFonts w:cs="Arial"/>
                <w:i/>
                <w:iCs/>
                <w:szCs w:val="22"/>
                <w:lang w:val="en-GB" w:eastAsia="en-GB"/>
              </w:rPr>
              <w:t>(notified under document number C(2007) 409)</w:t>
            </w:r>
          </w:p>
          <w:p w:rsidR="00815259" w:rsidRPr="00A3053F" w:rsidRDefault="00815259" w:rsidP="00815259">
            <w:pPr>
              <w:autoSpaceDE w:val="0"/>
              <w:autoSpaceDN w:val="0"/>
              <w:adjustRightInd w:val="0"/>
              <w:spacing w:after="0"/>
              <w:jc w:val="center"/>
              <w:rPr>
                <w:rFonts w:cs="Arial"/>
                <w:b/>
                <w:bCs/>
                <w:szCs w:val="22"/>
                <w:lang w:val="en-GB" w:eastAsia="en-GB"/>
              </w:rPr>
            </w:pPr>
            <w:r w:rsidRPr="00A3053F">
              <w:rPr>
                <w:rFonts w:cs="Arial"/>
                <w:b/>
                <w:bCs/>
                <w:szCs w:val="22"/>
                <w:lang w:val="en-GB" w:eastAsia="en-GB"/>
              </w:rPr>
              <w:t>(Text with EEA relevance)</w:t>
            </w:r>
          </w:p>
          <w:p w:rsidR="00815259" w:rsidRPr="00A3053F" w:rsidRDefault="00815259" w:rsidP="00815259">
            <w:pPr>
              <w:autoSpaceDE w:val="0"/>
              <w:autoSpaceDN w:val="0"/>
              <w:adjustRightInd w:val="0"/>
              <w:spacing w:after="0"/>
              <w:jc w:val="center"/>
              <w:rPr>
                <w:rFonts w:cs="Arial"/>
                <w:b/>
                <w:bCs/>
                <w:sz w:val="17"/>
                <w:szCs w:val="17"/>
                <w:lang w:val="en-GB" w:eastAsia="en-GB"/>
              </w:rPr>
            </w:pPr>
            <w:r w:rsidRPr="00A3053F">
              <w:rPr>
                <w:rFonts w:cs="Arial"/>
                <w:sz w:val="19"/>
                <w:szCs w:val="19"/>
                <w:lang w:val="en-GB" w:eastAsia="en-GB"/>
              </w:rPr>
              <w:t>(2007/98/EC)</w:t>
            </w:r>
          </w:p>
          <w:p w:rsidR="00815259" w:rsidRPr="00C1651E" w:rsidRDefault="00815259" w:rsidP="00815259">
            <w:pPr>
              <w:autoSpaceDE w:val="0"/>
              <w:autoSpaceDN w:val="0"/>
              <w:adjustRightInd w:val="0"/>
              <w:spacing w:after="0"/>
              <w:jc w:val="left"/>
              <w:rPr>
                <w:rFonts w:ascii="EUAlbertina_Bold" w:hAnsi="EUAlbertina_Bold" w:cs="EUAlbertina_Bold"/>
                <w:b/>
                <w:bCs/>
                <w:szCs w:val="22"/>
                <w:lang w:val="en-GB" w:eastAsia="en-GB"/>
              </w:rPr>
            </w:pPr>
            <w:r w:rsidRPr="00C1651E">
              <w:rPr>
                <w:rFonts w:ascii="EUAlbertina_Bold" w:hAnsi="EUAlbertina_Bold" w:cs="EUAlbertina_Bold"/>
                <w:b/>
                <w:bCs/>
                <w:szCs w:val="22"/>
                <w:lang w:val="en-GB" w:eastAsia="en-GB"/>
              </w:rPr>
              <w:t>Article 3</w:t>
            </w:r>
          </w:p>
          <w:p w:rsidR="00815259" w:rsidRPr="00C1651E" w:rsidRDefault="00815259" w:rsidP="00815259">
            <w:pPr>
              <w:autoSpaceDE w:val="0"/>
              <w:autoSpaceDN w:val="0"/>
              <w:adjustRightInd w:val="0"/>
              <w:spacing w:after="0"/>
              <w:jc w:val="left"/>
              <w:rPr>
                <w:color w:val="000000"/>
                <w:lang w:val="en-GB"/>
              </w:rPr>
            </w:pPr>
            <w:r w:rsidRPr="00C1651E">
              <w:rPr>
                <w:color w:val="000000"/>
                <w:lang w:val="en-GB"/>
              </w:rPr>
              <w:t xml:space="preserve">1. Member States shall designate and make available as from1 July 2007 the frequency bands 1 980 to 2 010 MHz and 2 170 to 2 200 MHz for systems providing mobile </w:t>
            </w:r>
            <w:r w:rsidR="009C162D" w:rsidRPr="00C1651E">
              <w:rPr>
                <w:color w:val="000000"/>
                <w:lang w:val="en-GB"/>
              </w:rPr>
              <w:t>satellite services</w:t>
            </w:r>
            <w:r w:rsidRPr="00C1651E">
              <w:rPr>
                <w:color w:val="000000"/>
                <w:lang w:val="en-GB"/>
              </w:rPr>
              <w:t>.</w:t>
            </w:r>
          </w:p>
          <w:p w:rsidR="00815259" w:rsidRPr="00C1651E" w:rsidRDefault="00815259" w:rsidP="00815259">
            <w:pPr>
              <w:autoSpaceDE w:val="0"/>
              <w:autoSpaceDN w:val="0"/>
              <w:adjustRightInd w:val="0"/>
              <w:spacing w:after="0"/>
              <w:jc w:val="left"/>
              <w:rPr>
                <w:rFonts w:ascii="EUAlbertina" w:hAnsi="EUAlbertina" w:cs="EUAlbertina"/>
                <w:sz w:val="19"/>
                <w:szCs w:val="19"/>
                <w:lang w:val="en-GB" w:eastAsia="en-GB"/>
              </w:rPr>
            </w:pPr>
          </w:p>
          <w:p w:rsidR="00815259" w:rsidRPr="00C1651E" w:rsidRDefault="00815259" w:rsidP="00815259">
            <w:pPr>
              <w:autoSpaceDE w:val="0"/>
              <w:autoSpaceDN w:val="0"/>
              <w:adjustRightInd w:val="0"/>
              <w:spacing w:after="0"/>
              <w:jc w:val="left"/>
              <w:rPr>
                <w:color w:val="000000"/>
                <w:lang w:val="en-GB"/>
              </w:rPr>
            </w:pPr>
            <w:r w:rsidRPr="00C1651E">
              <w:rPr>
                <w:color w:val="000000"/>
                <w:lang w:val="en-GB"/>
              </w:rPr>
              <w:t>Any other use of these bands shall not cause harmful interference to systems providing mobile satellite services and may not claim protection from harmful interference caused by systems providing mobile satellite services.</w:t>
            </w:r>
          </w:p>
          <w:p w:rsidR="00815259" w:rsidRPr="00C1651E" w:rsidRDefault="00815259" w:rsidP="00815259">
            <w:pPr>
              <w:autoSpaceDE w:val="0"/>
              <w:autoSpaceDN w:val="0"/>
              <w:adjustRightInd w:val="0"/>
              <w:spacing w:after="0"/>
              <w:jc w:val="left"/>
              <w:rPr>
                <w:color w:val="000000"/>
                <w:lang w:val="en-GB"/>
              </w:rPr>
            </w:pPr>
          </w:p>
          <w:p w:rsidR="00A3053F" w:rsidRDefault="00A3053F" w:rsidP="00A3053F">
            <w:pPr>
              <w:autoSpaceDE w:val="0"/>
              <w:autoSpaceDN w:val="0"/>
              <w:adjustRightInd w:val="0"/>
              <w:spacing w:after="0"/>
              <w:jc w:val="left"/>
              <w:rPr>
                <w:b/>
                <w:color w:val="000000"/>
                <w:u w:val="single"/>
                <w:lang w:val="en-GB"/>
              </w:rPr>
            </w:pPr>
            <w:r w:rsidRPr="00A3053F">
              <w:rPr>
                <w:b/>
                <w:color w:val="000000"/>
                <w:u w:val="single"/>
                <w:lang w:val="en-GB"/>
              </w:rPr>
              <w:t xml:space="preserve">FM48 papers </w:t>
            </w:r>
          </w:p>
          <w:p w:rsidR="00A3053F" w:rsidRPr="00A3053F" w:rsidRDefault="00A3053F" w:rsidP="00A3053F">
            <w:pPr>
              <w:autoSpaceDE w:val="0"/>
              <w:autoSpaceDN w:val="0"/>
              <w:adjustRightInd w:val="0"/>
              <w:spacing w:after="0"/>
              <w:jc w:val="left"/>
              <w:rPr>
                <w:b/>
                <w:color w:val="000000"/>
                <w:u w:val="single"/>
                <w:lang w:val="en-GB"/>
              </w:rPr>
            </w:pPr>
          </w:p>
          <w:p w:rsidR="001E0E49" w:rsidRPr="00C1651E" w:rsidRDefault="00815259" w:rsidP="00A3053F">
            <w:pPr>
              <w:autoSpaceDE w:val="0"/>
              <w:autoSpaceDN w:val="0"/>
              <w:adjustRightInd w:val="0"/>
              <w:spacing w:after="0"/>
              <w:jc w:val="left"/>
              <w:rPr>
                <w:lang w:val="en-GB"/>
              </w:rPr>
            </w:pPr>
            <w:r w:rsidRPr="00C1651E">
              <w:rPr>
                <w:color w:val="000000"/>
                <w:lang w:val="en-GB"/>
              </w:rPr>
              <w:t xml:space="preserve">Both </w:t>
            </w:r>
            <w:proofErr w:type="spellStart"/>
            <w:r w:rsidRPr="00C1651E">
              <w:rPr>
                <w:color w:val="000000"/>
                <w:lang w:val="en-GB"/>
              </w:rPr>
              <w:t>Inmarsat</w:t>
            </w:r>
            <w:proofErr w:type="spellEnd"/>
            <w:r w:rsidRPr="00C1651E">
              <w:rPr>
                <w:color w:val="000000"/>
                <w:lang w:val="en-GB"/>
              </w:rPr>
              <w:t xml:space="preserve"> and Solaris in documents </w:t>
            </w:r>
            <w:proofErr w:type="gramStart"/>
            <w:r w:rsidRPr="00C1651E">
              <w:rPr>
                <w:color w:val="000000"/>
                <w:lang w:val="en-GB"/>
              </w:rPr>
              <w:t>FM48(</w:t>
            </w:r>
            <w:proofErr w:type="gramEnd"/>
            <w:r w:rsidRPr="00C1651E">
              <w:rPr>
                <w:color w:val="000000"/>
                <w:lang w:val="en-GB"/>
              </w:rPr>
              <w:t xml:space="preserve">41) and FM48(36), identified the regulatory issues surrounding these bands. </w:t>
            </w:r>
            <w:proofErr w:type="spellStart"/>
            <w:r w:rsidRPr="00C1651E">
              <w:rPr>
                <w:color w:val="000000"/>
                <w:lang w:val="en-GB"/>
              </w:rPr>
              <w:t>Inmarsat</w:t>
            </w:r>
            <w:proofErr w:type="spellEnd"/>
            <w:r w:rsidRPr="00C1651E">
              <w:rPr>
                <w:color w:val="000000"/>
                <w:lang w:val="en-GB"/>
              </w:rPr>
              <w:t xml:space="preserve"> and Solaris are the satellite providers selected through the EC process, based on Decisions (2007/98/EC), 626/2008/EC and 2009/449/EC.</w:t>
            </w:r>
            <w:r w:rsidR="001E0E49" w:rsidRPr="00C1651E">
              <w:rPr>
                <w:lang w:val="en-GB"/>
              </w:rPr>
              <w:tab/>
            </w:r>
          </w:p>
        </w:tc>
      </w:tr>
      <w:tr w:rsidR="001E0E49" w:rsidRPr="00C1651E" w:rsidTr="00815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9640" w:type="dxa"/>
            <w:gridSpan w:val="4"/>
            <w:tcBorders>
              <w:top w:val="nil"/>
              <w:bottom w:val="single" w:sz="4" w:space="0" w:color="auto"/>
            </w:tcBorders>
          </w:tcPr>
          <w:p w:rsidR="003B0C7B" w:rsidRPr="00C1651E" w:rsidRDefault="003B0C7B" w:rsidP="003B0C7B">
            <w:pPr>
              <w:autoSpaceDE w:val="0"/>
              <w:autoSpaceDN w:val="0"/>
              <w:adjustRightInd w:val="0"/>
              <w:spacing w:after="0"/>
              <w:jc w:val="left"/>
              <w:rPr>
                <w:bCs/>
                <w:szCs w:val="24"/>
                <w:lang w:val="en-GB"/>
              </w:rPr>
            </w:pPr>
          </w:p>
        </w:tc>
      </w:tr>
    </w:tbl>
    <w:p w:rsidR="00DE5E01" w:rsidRPr="00C1651E" w:rsidRDefault="00DE5E01" w:rsidP="00DE5E01">
      <w:pPr>
        <w:rPr>
          <w:lang w:val="en-GB"/>
        </w:rPr>
      </w:pPr>
    </w:p>
    <w:sectPr w:rsidR="00DE5E01" w:rsidRPr="00C1651E" w:rsidSect="00815259">
      <w:footerReference w:type="even" r:id="rId8"/>
      <w:footerReference w:type="default" r:id="rId9"/>
      <w:pgSz w:w="11907" w:h="16840" w:code="9"/>
      <w:pgMar w:top="1440" w:right="1440" w:bottom="1440" w:left="1440" w:header="720" w:footer="720" w:gutter="0"/>
      <w:paperSrc w:first="1" w:other="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F70" w:rsidRDefault="00D42F70">
      <w:r>
        <w:separator/>
      </w:r>
    </w:p>
  </w:endnote>
  <w:endnote w:type="continuationSeparator" w:id="0">
    <w:p w:rsidR="00D42F70" w:rsidRDefault="00D42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UAlbertina_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EA" w:rsidRDefault="00AE7CDF">
    <w:pPr>
      <w:framePr w:wrap="around" w:vAnchor="text" w:hAnchor="margin" w:xAlign="center" w:y="1"/>
      <w:rPr>
        <w:rStyle w:val="a7"/>
      </w:rPr>
    </w:pPr>
    <w:r>
      <w:rPr>
        <w:rStyle w:val="a7"/>
      </w:rPr>
      <w:fldChar w:fldCharType="begin"/>
    </w:r>
    <w:r w:rsidR="005269EA">
      <w:rPr>
        <w:rStyle w:val="a7"/>
      </w:rPr>
      <w:instrText xml:space="preserve">PAGE  </w:instrText>
    </w:r>
    <w:r>
      <w:rPr>
        <w:rStyle w:val="a7"/>
      </w:rPr>
      <w:fldChar w:fldCharType="end"/>
    </w:r>
  </w:p>
  <w:p w:rsidR="005269EA" w:rsidRDefault="005269E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EA" w:rsidRDefault="00AE7CDF">
    <w:pPr>
      <w:framePr w:wrap="around" w:vAnchor="text" w:hAnchor="margin" w:xAlign="center" w:y="1"/>
      <w:rPr>
        <w:rStyle w:val="a7"/>
        <w:sz w:val="20"/>
      </w:rPr>
    </w:pPr>
    <w:r>
      <w:rPr>
        <w:rStyle w:val="a7"/>
        <w:sz w:val="20"/>
      </w:rPr>
      <w:fldChar w:fldCharType="begin"/>
    </w:r>
    <w:r w:rsidR="005269EA">
      <w:rPr>
        <w:rStyle w:val="a7"/>
        <w:sz w:val="20"/>
      </w:rPr>
      <w:instrText xml:space="preserve">PAGE  </w:instrText>
    </w:r>
    <w:r>
      <w:rPr>
        <w:rStyle w:val="a7"/>
        <w:sz w:val="20"/>
      </w:rPr>
      <w:fldChar w:fldCharType="separate"/>
    </w:r>
    <w:r w:rsidR="006035FE">
      <w:rPr>
        <w:rStyle w:val="a7"/>
        <w:noProof/>
        <w:sz w:val="20"/>
      </w:rPr>
      <w:t>2</w:t>
    </w:r>
    <w:r>
      <w:rPr>
        <w:rStyle w:val="a7"/>
        <w:sz w:val="20"/>
      </w:rPr>
      <w:fldChar w:fldCharType="end"/>
    </w:r>
  </w:p>
  <w:p w:rsidR="005269EA" w:rsidRDefault="005269E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F70" w:rsidRDefault="00D42F70">
      <w:r>
        <w:separator/>
      </w:r>
    </w:p>
  </w:footnote>
  <w:footnote w:type="continuationSeparator" w:id="0">
    <w:p w:rsidR="00D42F70" w:rsidRDefault="00D42F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CAE508D"/>
    <w:multiLevelType w:val="hybridMultilevel"/>
    <w:tmpl w:val="F558E58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4">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nsid w:val="36F3420A"/>
    <w:multiLevelType w:val="hybridMultilevel"/>
    <w:tmpl w:val="7412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8">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707767BF"/>
    <w:multiLevelType w:val="multilevel"/>
    <w:tmpl w:val="7060B39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9"/>
  </w:num>
  <w:num w:numId="2">
    <w:abstractNumId w:val="0"/>
  </w:num>
  <w:num w:numId="3">
    <w:abstractNumId w:val="11"/>
  </w:num>
  <w:num w:numId="4">
    <w:abstractNumId w:val="11"/>
  </w:num>
  <w:num w:numId="5">
    <w:abstractNumId w:val="11"/>
  </w:num>
  <w:num w:numId="6">
    <w:abstractNumId w:val="10"/>
  </w:num>
  <w:num w:numId="7">
    <w:abstractNumId w:val="11"/>
  </w:num>
  <w:num w:numId="8">
    <w:abstractNumId w:val="11"/>
  </w:num>
  <w:num w:numId="9">
    <w:abstractNumId w:val="3"/>
  </w:num>
  <w:num w:numId="10">
    <w:abstractNumId w:val="7"/>
  </w:num>
  <w:num w:numId="11">
    <w:abstractNumId w:val="5"/>
  </w:num>
  <w:num w:numId="12">
    <w:abstractNumId w:val="8"/>
  </w:num>
  <w:num w:numId="13">
    <w:abstractNumId w:val="4"/>
  </w:num>
  <w:num w:numId="14">
    <w:abstractNumId w:val="2"/>
  </w:num>
  <w:num w:numId="15">
    <w:abstractNumId w:val="1"/>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attachedTemplate r:id="rId1"/>
  <w:stylePaneFormatFilter w:val="3F01"/>
  <w:defaultTabStop w:val="567"/>
  <w:hyphenationZone w:val="425"/>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530DAD"/>
    <w:rsid w:val="000233C6"/>
    <w:rsid w:val="00033112"/>
    <w:rsid w:val="000364E2"/>
    <w:rsid w:val="00042E6D"/>
    <w:rsid w:val="00046FB4"/>
    <w:rsid w:val="000641A7"/>
    <w:rsid w:val="00086867"/>
    <w:rsid w:val="00095D52"/>
    <w:rsid w:val="00097E34"/>
    <w:rsid w:val="000B0905"/>
    <w:rsid w:val="000D0F3C"/>
    <w:rsid w:val="000E346F"/>
    <w:rsid w:val="000E79AF"/>
    <w:rsid w:val="000F1373"/>
    <w:rsid w:val="00106047"/>
    <w:rsid w:val="00113B49"/>
    <w:rsid w:val="00135FE7"/>
    <w:rsid w:val="00161D26"/>
    <w:rsid w:val="00162CBB"/>
    <w:rsid w:val="0016435A"/>
    <w:rsid w:val="0018148C"/>
    <w:rsid w:val="001E0E49"/>
    <w:rsid w:val="001F2614"/>
    <w:rsid w:val="00213F1B"/>
    <w:rsid w:val="00215746"/>
    <w:rsid w:val="00222F7B"/>
    <w:rsid w:val="002357C6"/>
    <w:rsid w:val="00260D98"/>
    <w:rsid w:val="0026766F"/>
    <w:rsid w:val="00277BC1"/>
    <w:rsid w:val="0028051D"/>
    <w:rsid w:val="00294331"/>
    <w:rsid w:val="002A02A3"/>
    <w:rsid w:val="002B169D"/>
    <w:rsid w:val="002B47FC"/>
    <w:rsid w:val="002B683F"/>
    <w:rsid w:val="00314E5E"/>
    <w:rsid w:val="00346C62"/>
    <w:rsid w:val="00356C52"/>
    <w:rsid w:val="00357A5F"/>
    <w:rsid w:val="0039030E"/>
    <w:rsid w:val="003A57CC"/>
    <w:rsid w:val="003B0C7B"/>
    <w:rsid w:val="003B1654"/>
    <w:rsid w:val="003C2268"/>
    <w:rsid w:val="003C4848"/>
    <w:rsid w:val="003C53D0"/>
    <w:rsid w:val="003D1BB3"/>
    <w:rsid w:val="003E76E9"/>
    <w:rsid w:val="003F47B3"/>
    <w:rsid w:val="003F73E2"/>
    <w:rsid w:val="004002F7"/>
    <w:rsid w:val="00427D34"/>
    <w:rsid w:val="00430369"/>
    <w:rsid w:val="00431D12"/>
    <w:rsid w:val="004369DC"/>
    <w:rsid w:val="00441CB3"/>
    <w:rsid w:val="00443C40"/>
    <w:rsid w:val="004648A4"/>
    <w:rsid w:val="004662F9"/>
    <w:rsid w:val="00486369"/>
    <w:rsid w:val="00493F86"/>
    <w:rsid w:val="004A099D"/>
    <w:rsid w:val="004A47FF"/>
    <w:rsid w:val="004B23D3"/>
    <w:rsid w:val="004D5D1F"/>
    <w:rsid w:val="004F061E"/>
    <w:rsid w:val="004F2824"/>
    <w:rsid w:val="004F2E89"/>
    <w:rsid w:val="005269EA"/>
    <w:rsid w:val="0053015C"/>
    <w:rsid w:val="00530DAD"/>
    <w:rsid w:val="00533846"/>
    <w:rsid w:val="005348B2"/>
    <w:rsid w:val="005434C4"/>
    <w:rsid w:val="00554550"/>
    <w:rsid w:val="005549FF"/>
    <w:rsid w:val="00562E1E"/>
    <w:rsid w:val="005761BB"/>
    <w:rsid w:val="005E0CC2"/>
    <w:rsid w:val="005F1C1F"/>
    <w:rsid w:val="0060356E"/>
    <w:rsid w:val="006035FE"/>
    <w:rsid w:val="0061022D"/>
    <w:rsid w:val="00616265"/>
    <w:rsid w:val="0063524D"/>
    <w:rsid w:val="006542C3"/>
    <w:rsid w:val="0065588F"/>
    <w:rsid w:val="00664805"/>
    <w:rsid w:val="00684589"/>
    <w:rsid w:val="006845C9"/>
    <w:rsid w:val="006902F9"/>
    <w:rsid w:val="00690B4B"/>
    <w:rsid w:val="0069180A"/>
    <w:rsid w:val="006C4BCC"/>
    <w:rsid w:val="006D1EAC"/>
    <w:rsid w:val="006D3DB0"/>
    <w:rsid w:val="006E1FA9"/>
    <w:rsid w:val="0070740D"/>
    <w:rsid w:val="007538DB"/>
    <w:rsid w:val="0075560F"/>
    <w:rsid w:val="00782F34"/>
    <w:rsid w:val="007925CA"/>
    <w:rsid w:val="00793843"/>
    <w:rsid w:val="007A1831"/>
    <w:rsid w:val="007A49AD"/>
    <w:rsid w:val="00802521"/>
    <w:rsid w:val="00807AA2"/>
    <w:rsid w:val="00807F54"/>
    <w:rsid w:val="00815259"/>
    <w:rsid w:val="00820168"/>
    <w:rsid w:val="00884205"/>
    <w:rsid w:val="008975A8"/>
    <w:rsid w:val="008A37BA"/>
    <w:rsid w:val="008D2718"/>
    <w:rsid w:val="008D763E"/>
    <w:rsid w:val="008F33D5"/>
    <w:rsid w:val="008F5596"/>
    <w:rsid w:val="008F5ECB"/>
    <w:rsid w:val="008F677F"/>
    <w:rsid w:val="009852E6"/>
    <w:rsid w:val="0098621D"/>
    <w:rsid w:val="00997A4D"/>
    <w:rsid w:val="009B3CB6"/>
    <w:rsid w:val="009C162D"/>
    <w:rsid w:val="009C2F3B"/>
    <w:rsid w:val="009D242F"/>
    <w:rsid w:val="00A024A8"/>
    <w:rsid w:val="00A3053F"/>
    <w:rsid w:val="00A477F3"/>
    <w:rsid w:val="00A77E89"/>
    <w:rsid w:val="00A81538"/>
    <w:rsid w:val="00A87C8C"/>
    <w:rsid w:val="00A95309"/>
    <w:rsid w:val="00AA26E7"/>
    <w:rsid w:val="00AA3CFD"/>
    <w:rsid w:val="00AA59E8"/>
    <w:rsid w:val="00AC0304"/>
    <w:rsid w:val="00AC345D"/>
    <w:rsid w:val="00AD241F"/>
    <w:rsid w:val="00AD612D"/>
    <w:rsid w:val="00AD7159"/>
    <w:rsid w:val="00AE7906"/>
    <w:rsid w:val="00AE7CDF"/>
    <w:rsid w:val="00AF6291"/>
    <w:rsid w:val="00B0161E"/>
    <w:rsid w:val="00B01997"/>
    <w:rsid w:val="00B1073A"/>
    <w:rsid w:val="00B1660B"/>
    <w:rsid w:val="00B6512A"/>
    <w:rsid w:val="00B70CD3"/>
    <w:rsid w:val="00B72C04"/>
    <w:rsid w:val="00B90507"/>
    <w:rsid w:val="00BC2918"/>
    <w:rsid w:val="00BE4CC9"/>
    <w:rsid w:val="00BF2999"/>
    <w:rsid w:val="00C154C2"/>
    <w:rsid w:val="00C1651E"/>
    <w:rsid w:val="00C309B1"/>
    <w:rsid w:val="00C43796"/>
    <w:rsid w:val="00C47BE9"/>
    <w:rsid w:val="00C5418E"/>
    <w:rsid w:val="00C60D46"/>
    <w:rsid w:val="00C62218"/>
    <w:rsid w:val="00C75E0E"/>
    <w:rsid w:val="00C82BC5"/>
    <w:rsid w:val="00CB0BBB"/>
    <w:rsid w:val="00CD4FA2"/>
    <w:rsid w:val="00CD51FD"/>
    <w:rsid w:val="00CE40EE"/>
    <w:rsid w:val="00CE6591"/>
    <w:rsid w:val="00D004D0"/>
    <w:rsid w:val="00D00B4F"/>
    <w:rsid w:val="00D14191"/>
    <w:rsid w:val="00D14C74"/>
    <w:rsid w:val="00D34708"/>
    <w:rsid w:val="00D42F70"/>
    <w:rsid w:val="00D53B5D"/>
    <w:rsid w:val="00D671A5"/>
    <w:rsid w:val="00DD08BA"/>
    <w:rsid w:val="00DE5E01"/>
    <w:rsid w:val="00DF2A80"/>
    <w:rsid w:val="00E232D3"/>
    <w:rsid w:val="00E2796D"/>
    <w:rsid w:val="00E27C6A"/>
    <w:rsid w:val="00E40873"/>
    <w:rsid w:val="00E561B8"/>
    <w:rsid w:val="00E577A4"/>
    <w:rsid w:val="00E879F4"/>
    <w:rsid w:val="00E87AEF"/>
    <w:rsid w:val="00E93323"/>
    <w:rsid w:val="00E95CFE"/>
    <w:rsid w:val="00E9697A"/>
    <w:rsid w:val="00EB4BBE"/>
    <w:rsid w:val="00EE07DC"/>
    <w:rsid w:val="00EE6D93"/>
    <w:rsid w:val="00EF1568"/>
    <w:rsid w:val="00F05B26"/>
    <w:rsid w:val="00F22950"/>
    <w:rsid w:val="00F311FB"/>
    <w:rsid w:val="00F37A73"/>
    <w:rsid w:val="00F43BE8"/>
    <w:rsid w:val="00F53012"/>
    <w:rsid w:val="00F7447D"/>
    <w:rsid w:val="00FA15BA"/>
    <w:rsid w:val="00FA6EBF"/>
    <w:rsid w:val="00FA7FC5"/>
    <w:rsid w:val="00FD0B6D"/>
    <w:rsid w:val="00FD7E46"/>
    <w:rsid w:val="00FE1DCB"/>
    <w:rsid w:val="00FE61C8"/>
    <w:rsid w:val="00FF320E"/>
    <w:rsid w:val="00FF3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33D5"/>
    <w:pPr>
      <w:spacing w:after="120"/>
      <w:jc w:val="both"/>
    </w:pPr>
    <w:rPr>
      <w:rFonts w:ascii="Arial" w:hAnsi="Arial"/>
      <w:sz w:val="22"/>
      <w:lang w:val="nb-NO" w:eastAsia="de-DE"/>
    </w:rPr>
  </w:style>
  <w:style w:type="paragraph" w:styleId="1">
    <w:name w:val="heading 1"/>
    <w:basedOn w:val="a"/>
    <w:next w:val="a"/>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2">
    <w:name w:val="heading 2"/>
    <w:basedOn w:val="1"/>
    <w:next w:val="a"/>
    <w:qFormat/>
    <w:rsid w:val="00D004D0"/>
    <w:pPr>
      <w:numPr>
        <w:ilvl w:val="1"/>
      </w:numPr>
      <w:tabs>
        <w:tab w:val="clear" w:pos="576"/>
      </w:tabs>
      <w:spacing w:before="120"/>
      <w:ind w:left="851" w:hanging="851"/>
      <w:outlineLvl w:val="1"/>
    </w:pPr>
    <w:rPr>
      <w:sz w:val="24"/>
    </w:rPr>
  </w:style>
  <w:style w:type="paragraph" w:styleId="3">
    <w:name w:val="heading 3"/>
    <w:basedOn w:val="2"/>
    <w:next w:val="a"/>
    <w:qFormat/>
    <w:rsid w:val="00D004D0"/>
    <w:pPr>
      <w:numPr>
        <w:ilvl w:val="2"/>
      </w:numPr>
      <w:tabs>
        <w:tab w:val="clear" w:pos="720"/>
      </w:tabs>
      <w:ind w:left="851" w:hanging="851"/>
      <w:outlineLvl w:val="2"/>
    </w:pPr>
    <w:rPr>
      <w:i/>
      <w:sz w:val="22"/>
    </w:rPr>
  </w:style>
  <w:style w:type="paragraph" w:styleId="4">
    <w:name w:val="heading 4"/>
    <w:basedOn w:val="a"/>
    <w:next w:val="a"/>
    <w:qFormat/>
    <w:rsid w:val="00D004D0"/>
    <w:pPr>
      <w:numPr>
        <w:ilvl w:val="3"/>
        <w:numId w:val="3"/>
      </w:numPr>
      <w:outlineLvl w:val="3"/>
    </w:pPr>
    <w:rPr>
      <w:u w:val="single"/>
    </w:rPr>
  </w:style>
  <w:style w:type="paragraph" w:styleId="5">
    <w:name w:val="heading 5"/>
    <w:basedOn w:val="a"/>
    <w:next w:val="a"/>
    <w:qFormat/>
    <w:rsid w:val="00D004D0"/>
    <w:pPr>
      <w:numPr>
        <w:ilvl w:val="4"/>
        <w:numId w:val="3"/>
      </w:numPr>
      <w:outlineLvl w:val="4"/>
    </w:pPr>
    <w:rPr>
      <w:b/>
      <w:sz w:val="20"/>
    </w:rPr>
  </w:style>
  <w:style w:type="paragraph" w:styleId="6">
    <w:name w:val="heading 6"/>
    <w:basedOn w:val="a"/>
    <w:next w:val="a"/>
    <w:qFormat/>
    <w:rsid w:val="00D004D0"/>
    <w:pPr>
      <w:numPr>
        <w:ilvl w:val="5"/>
        <w:numId w:val="3"/>
      </w:numPr>
      <w:outlineLvl w:val="5"/>
    </w:pPr>
    <w:rPr>
      <w:sz w:val="20"/>
      <w:u w:val="single"/>
    </w:rPr>
  </w:style>
  <w:style w:type="paragraph" w:styleId="7">
    <w:name w:val="heading 7"/>
    <w:basedOn w:val="a"/>
    <w:next w:val="a"/>
    <w:qFormat/>
    <w:rsid w:val="00D004D0"/>
    <w:pPr>
      <w:numPr>
        <w:ilvl w:val="6"/>
        <w:numId w:val="3"/>
      </w:numPr>
      <w:outlineLvl w:val="6"/>
    </w:pPr>
    <w:rPr>
      <w:i/>
      <w:sz w:val="20"/>
    </w:rPr>
  </w:style>
  <w:style w:type="paragraph" w:styleId="8">
    <w:name w:val="heading 8"/>
    <w:basedOn w:val="a"/>
    <w:next w:val="a"/>
    <w:qFormat/>
    <w:rsid w:val="00D004D0"/>
    <w:pPr>
      <w:numPr>
        <w:ilvl w:val="7"/>
        <w:numId w:val="3"/>
      </w:numPr>
      <w:outlineLvl w:val="7"/>
    </w:pPr>
    <w:rPr>
      <w:i/>
      <w:sz w:val="20"/>
    </w:rPr>
  </w:style>
  <w:style w:type="paragraph" w:styleId="9">
    <w:name w:val="heading 9"/>
    <w:basedOn w:val="a"/>
    <w:next w:val="a"/>
    <w:qFormat/>
    <w:rsid w:val="00D004D0"/>
    <w:pPr>
      <w:numPr>
        <w:ilvl w:val="8"/>
        <w:numId w:val="3"/>
      </w:numPr>
      <w:outlineLvl w:val="8"/>
    </w:pPr>
    <w:rPr>
      <w:i/>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8621D"/>
    <w:pPr>
      <w:tabs>
        <w:tab w:val="center" w:pos="4536"/>
        <w:tab w:val="right" w:pos="9072"/>
      </w:tabs>
      <w:spacing w:after="0"/>
      <w:jc w:val="left"/>
    </w:pPr>
    <w:rPr>
      <w:b/>
    </w:rPr>
  </w:style>
  <w:style w:type="paragraph" w:styleId="a4">
    <w:name w:val="List"/>
    <w:basedOn w:val="a"/>
    <w:rsid w:val="00135FE7"/>
    <w:pPr>
      <w:tabs>
        <w:tab w:val="left" w:pos="1418"/>
      </w:tabs>
      <w:ind w:left="1418" w:hanging="567"/>
    </w:pPr>
  </w:style>
  <w:style w:type="paragraph" w:customStyle="1" w:styleId="Header2">
    <w:name w:val="Header2"/>
    <w:basedOn w:val="a3"/>
    <w:rsid w:val="00215746"/>
  </w:style>
  <w:style w:type="character" w:styleId="a5">
    <w:name w:val="footnote reference"/>
    <w:semiHidden/>
    <w:rsid w:val="00AE7CDF"/>
    <w:rPr>
      <w:position w:val="6"/>
      <w:sz w:val="16"/>
    </w:rPr>
  </w:style>
  <w:style w:type="paragraph" w:styleId="a6">
    <w:name w:val="footnote text"/>
    <w:basedOn w:val="a"/>
    <w:semiHidden/>
    <w:rsid w:val="00AE7CDF"/>
    <w:rPr>
      <w:sz w:val="20"/>
    </w:rPr>
  </w:style>
  <w:style w:type="character" w:styleId="a7">
    <w:name w:val="page number"/>
    <w:basedOn w:val="a0"/>
    <w:rsid w:val="00AE7CDF"/>
  </w:style>
  <w:style w:type="paragraph" w:styleId="a8">
    <w:name w:val="Document Map"/>
    <w:basedOn w:val="a"/>
    <w:semiHidden/>
    <w:rsid w:val="00AE7CDF"/>
    <w:pPr>
      <w:shd w:val="clear" w:color="auto" w:fill="000080"/>
    </w:pPr>
    <w:rPr>
      <w:rFonts w:ascii="Tahoma" w:hAnsi="Tahoma"/>
    </w:rPr>
  </w:style>
  <w:style w:type="paragraph" w:styleId="a9">
    <w:name w:val="table of figures"/>
    <w:basedOn w:val="a"/>
    <w:next w:val="a"/>
    <w:semiHidden/>
    <w:rsid w:val="00AE7CDF"/>
    <w:pPr>
      <w:ind w:left="400" w:hanging="400"/>
    </w:pPr>
    <w:rPr>
      <w:sz w:val="20"/>
      <w:lang w:val="de-DE"/>
    </w:rPr>
  </w:style>
  <w:style w:type="paragraph" w:styleId="aa">
    <w:name w:val="Title"/>
    <w:basedOn w:val="a"/>
    <w:qFormat/>
    <w:rsid w:val="00B70CD3"/>
    <w:pPr>
      <w:jc w:val="center"/>
    </w:pPr>
    <w:rPr>
      <w:b/>
      <w:sz w:val="28"/>
      <w:lang w:val="de-DE"/>
    </w:rPr>
  </w:style>
  <w:style w:type="paragraph" w:customStyle="1" w:styleId="Kasten">
    <w:name w:val="Kasten"/>
    <w:basedOn w:val="a"/>
    <w:rsid w:val="000641A7"/>
    <w:pPr>
      <w:pBdr>
        <w:top w:val="single" w:sz="12" w:space="1" w:color="auto"/>
        <w:left w:val="single" w:sz="12" w:space="4" w:color="auto"/>
        <w:bottom w:val="single" w:sz="12" w:space="1" w:color="auto"/>
        <w:right w:val="single" w:sz="12" w:space="4" w:color="auto"/>
      </w:pBdr>
    </w:pPr>
  </w:style>
  <w:style w:type="character" w:styleId="ab">
    <w:name w:val="Hyperlink"/>
    <w:rsid w:val="003C53D0"/>
    <w:rPr>
      <w:color w:val="0000FF"/>
      <w:u w:val="single"/>
    </w:rPr>
  </w:style>
  <w:style w:type="paragraph" w:customStyle="1" w:styleId="Note">
    <w:name w:val="Note"/>
    <w:basedOn w:val="a"/>
    <w:next w:val="a"/>
    <w:rsid w:val="00DE5E01"/>
    <w:pPr>
      <w:tabs>
        <w:tab w:val="left" w:pos="851"/>
      </w:tabs>
      <w:ind w:left="851" w:hanging="851"/>
    </w:pPr>
    <w:rPr>
      <w:b/>
      <w:lang w:val="en-GB"/>
    </w:rPr>
  </w:style>
  <w:style w:type="paragraph" w:customStyle="1" w:styleId="Header1">
    <w:name w:val="Header1"/>
    <w:basedOn w:val="a3"/>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customStyle="1" w:styleId="Default">
    <w:name w:val="Default"/>
    <w:rsid w:val="003B0C7B"/>
    <w:pPr>
      <w:autoSpaceDE w:val="0"/>
      <w:autoSpaceDN w:val="0"/>
      <w:adjustRightInd w:val="0"/>
    </w:pPr>
    <w:rPr>
      <w:rFonts w:ascii="EUAlbertina" w:hAnsi="EUAlbertina" w:cs="EUAlbertina"/>
      <w:color w:val="000000"/>
      <w:sz w:val="24"/>
      <w:szCs w:val="24"/>
    </w:rPr>
  </w:style>
  <w:style w:type="paragraph" w:styleId="ac">
    <w:name w:val="Balloon Text"/>
    <w:basedOn w:val="a"/>
    <w:link w:val="ad"/>
    <w:rsid w:val="0061022D"/>
    <w:pPr>
      <w:spacing w:after="0"/>
    </w:pPr>
    <w:rPr>
      <w:rFonts w:ascii="Tahoma" w:hAnsi="Tahoma" w:cs="Tahoma"/>
      <w:sz w:val="16"/>
      <w:szCs w:val="16"/>
    </w:rPr>
  </w:style>
  <w:style w:type="character" w:customStyle="1" w:styleId="ad">
    <w:name w:val="Текст выноски Знак"/>
    <w:basedOn w:val="a0"/>
    <w:link w:val="ac"/>
    <w:rsid w:val="0061022D"/>
    <w:rPr>
      <w:rFonts w:ascii="Tahoma" w:hAnsi="Tahoma" w:cs="Tahoma"/>
      <w:sz w:val="16"/>
      <w:szCs w:val="16"/>
      <w:lang w:val="nb-NO"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2;&#1086;&#1080;%20&#1076;&#1086;&#1082;&#1091;&#1084;&#1077;&#1085;&#1090;&#1099;\WG%20FM\WGFM73_Lille_France_October_2011\Input%20Documents\&#1058;&#1086;&#1083;&#1100;&#1082;&#1086;%20&#1095;&#1090;&#1086;%20&#1087;&#1086;&#1083;&#1091;&#1095;&#1077;&#1085;&#1085;&#1099;&#1077;\19%20&#1089;&#1077;&#1085;&#1090;&#1103;&#1073;&#1088;&#1103;\ECC%20Template%20for%20WGFM%20Contribu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 for WGFM Contributions</Template>
  <TotalTime>10</TotalTime>
  <Pages>2</Pages>
  <Words>385</Words>
  <Characters>2201</Characters>
  <Application>Microsoft Office Word</Application>
  <DocSecurity>0</DocSecurity>
  <Lines>18</Lines>
  <Paragraphs>5</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shurakhov</dc:creator>
  <cp:keywords>ECC, CEPT, Template</cp:keywords>
  <cp:lastModifiedBy>shurakhov</cp:lastModifiedBy>
  <cp:revision>3</cp:revision>
  <cp:lastPrinted>1999-09-27T14:20:00Z</cp:lastPrinted>
  <dcterms:created xsi:type="dcterms:W3CDTF">2011-09-29T10:14:00Z</dcterms:created>
  <dcterms:modified xsi:type="dcterms:W3CDTF">2011-10-03T05:45:00Z</dcterms:modified>
</cp:coreProperties>
</file>