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72" w:type="dxa"/>
        <w:tblLayout w:type="fixed"/>
        <w:tblCellMar>
          <w:left w:w="70" w:type="dxa"/>
          <w:right w:w="70" w:type="dxa"/>
        </w:tblCellMar>
        <w:tblLook w:val="0000"/>
      </w:tblPr>
      <w:tblGrid>
        <w:gridCol w:w="1843"/>
        <w:gridCol w:w="2497"/>
        <w:gridCol w:w="1731"/>
        <w:gridCol w:w="3569"/>
      </w:tblGrid>
      <w:tr w:rsidR="00346C62" w:rsidRPr="00834B17">
        <w:trPr>
          <w:cantSplit/>
        </w:trPr>
        <w:tc>
          <w:tcPr>
            <w:tcW w:w="6071" w:type="dxa"/>
            <w:gridSpan w:val="3"/>
            <w:tcBorders>
              <w:top w:val="nil"/>
              <w:left w:val="nil"/>
              <w:bottom w:val="nil"/>
              <w:right w:val="nil"/>
            </w:tcBorders>
          </w:tcPr>
          <w:p w:rsidR="00346C62" w:rsidRPr="00834B17" w:rsidRDefault="00B33AFA" w:rsidP="00215746">
            <w:pPr>
              <w:pStyle w:val="Topptekst1"/>
              <w:rPr>
                <w:lang w:val="en-GB"/>
              </w:rPr>
            </w:pPr>
            <w:r w:rsidRPr="00834B17">
              <w:rPr>
                <w:noProof/>
                <w:lang w:val="ru-RU" w:eastAsia="ru-RU"/>
              </w:rPr>
              <w:drawing>
                <wp:inline distT="0" distB="0" distL="0" distR="0">
                  <wp:extent cx="1619250" cy="8286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19250" cy="828675"/>
                          </a:xfrm>
                          <a:prstGeom prst="rect">
                            <a:avLst/>
                          </a:prstGeom>
                          <a:noFill/>
                          <a:ln w="9525">
                            <a:noFill/>
                            <a:miter lim="800000"/>
                            <a:headEnd/>
                            <a:tailEnd/>
                          </a:ln>
                        </pic:spPr>
                      </pic:pic>
                    </a:graphicData>
                  </a:graphic>
                </wp:inline>
              </w:drawing>
            </w:r>
            <w:r w:rsidR="00356C52" w:rsidRPr="00834B17">
              <w:rPr>
                <w:lang w:val="en-GB"/>
              </w:rPr>
              <w:t>Working Group FM</w:t>
            </w:r>
          </w:p>
          <w:p w:rsidR="00346C62" w:rsidRPr="00834B17" w:rsidRDefault="00346C62" w:rsidP="00215746">
            <w:pPr>
              <w:pStyle w:val="Topptekst1"/>
              <w:rPr>
                <w:rFonts w:cs="Arial"/>
                <w:color w:val="000000"/>
                <w:lang w:val="en-GB"/>
              </w:rPr>
            </w:pPr>
          </w:p>
        </w:tc>
        <w:tc>
          <w:tcPr>
            <w:tcW w:w="3569" w:type="dxa"/>
            <w:tcBorders>
              <w:top w:val="nil"/>
              <w:left w:val="nil"/>
              <w:bottom w:val="nil"/>
              <w:right w:val="nil"/>
            </w:tcBorders>
          </w:tcPr>
          <w:p w:rsidR="00346C62" w:rsidRPr="00834B17" w:rsidRDefault="0098621D" w:rsidP="00A704B6">
            <w:pPr>
              <w:pStyle w:val="Topptekst1"/>
              <w:tabs>
                <w:tab w:val="clear" w:pos="4536"/>
                <w:tab w:val="right" w:pos="3357"/>
              </w:tabs>
              <w:rPr>
                <w:lang w:val="en-GB"/>
              </w:rPr>
            </w:pPr>
            <w:r w:rsidRPr="00834B17">
              <w:rPr>
                <w:lang w:val="en-GB"/>
              </w:rPr>
              <w:tab/>
            </w:r>
            <w:r w:rsidR="00E9697A" w:rsidRPr="00834B17">
              <w:rPr>
                <w:lang w:val="en-GB"/>
              </w:rPr>
              <w:t>FM(1</w:t>
            </w:r>
            <w:r w:rsidR="00A704B6" w:rsidRPr="00834B17">
              <w:rPr>
                <w:lang w:val="en-GB"/>
              </w:rPr>
              <w:t>2</w:t>
            </w:r>
            <w:r w:rsidR="00E9697A" w:rsidRPr="00834B17">
              <w:rPr>
                <w:lang w:val="en-GB"/>
              </w:rPr>
              <w:t>)</w:t>
            </w:r>
            <w:r w:rsidR="00416752">
              <w:rPr>
                <w:lang w:val="en-GB"/>
              </w:rPr>
              <w:t>061</w:t>
            </w:r>
            <w:r w:rsidR="000D297C">
              <w:rPr>
                <w:lang w:val="en-GB"/>
              </w:rPr>
              <w:t xml:space="preserve"> Rev</w:t>
            </w:r>
            <w:bookmarkStart w:id="0" w:name="_GoBack"/>
            <w:bookmarkEnd w:id="0"/>
            <w:r w:rsidR="000D297C">
              <w:rPr>
                <w:lang w:val="en-GB"/>
              </w:rPr>
              <w:t>1</w:t>
            </w:r>
          </w:p>
        </w:tc>
      </w:tr>
      <w:tr w:rsidR="00346C62" w:rsidRPr="00834B1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834B17" w:rsidRDefault="00E9697A" w:rsidP="00ED522B">
            <w:pPr>
              <w:pStyle w:val="Topptekst1"/>
              <w:rPr>
                <w:szCs w:val="22"/>
                <w:lang w:val="en-GB"/>
              </w:rPr>
            </w:pPr>
            <w:r w:rsidRPr="00834B17">
              <w:rPr>
                <w:rFonts w:cs="Arial"/>
                <w:szCs w:val="22"/>
                <w:lang w:val="en-GB"/>
              </w:rPr>
              <w:t>7</w:t>
            </w:r>
            <w:r w:rsidR="00ED522B" w:rsidRPr="00834B17">
              <w:rPr>
                <w:rFonts w:cs="Arial"/>
                <w:szCs w:val="22"/>
                <w:lang w:val="en-GB"/>
              </w:rPr>
              <w:t>4</w:t>
            </w:r>
            <w:r w:rsidR="00ED522B" w:rsidRPr="00834B17">
              <w:rPr>
                <w:rFonts w:cs="Arial"/>
                <w:szCs w:val="22"/>
                <w:vertAlign w:val="superscript"/>
                <w:lang w:val="en-GB"/>
              </w:rPr>
              <w:t xml:space="preserve">th </w:t>
            </w:r>
            <w:r w:rsidRPr="00834B17">
              <w:rPr>
                <w:rFonts w:cs="Arial"/>
                <w:szCs w:val="22"/>
                <w:vertAlign w:val="superscript"/>
                <w:lang w:val="en-GB"/>
              </w:rPr>
              <w:t xml:space="preserve"> </w:t>
            </w:r>
            <w:r w:rsidRPr="00834B17">
              <w:rPr>
                <w:rFonts w:cs="Arial"/>
                <w:szCs w:val="22"/>
                <w:lang w:val="en-GB"/>
              </w:rPr>
              <w:t>Meeting</w:t>
            </w:r>
          </w:p>
        </w:tc>
        <w:tc>
          <w:tcPr>
            <w:tcW w:w="5300" w:type="dxa"/>
            <w:gridSpan w:val="2"/>
            <w:tcBorders>
              <w:top w:val="nil"/>
              <w:left w:val="nil"/>
              <w:bottom w:val="nil"/>
              <w:right w:val="nil"/>
            </w:tcBorders>
            <w:vAlign w:val="center"/>
          </w:tcPr>
          <w:p w:rsidR="00346C62" w:rsidRPr="00834B17" w:rsidRDefault="00346C62" w:rsidP="00215746">
            <w:pPr>
              <w:pStyle w:val="Topptekst1"/>
              <w:rPr>
                <w:szCs w:val="22"/>
                <w:lang w:val="en-GB"/>
              </w:rPr>
            </w:pPr>
          </w:p>
        </w:tc>
      </w:tr>
      <w:tr w:rsidR="00346C62" w:rsidRPr="00834B1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834B17" w:rsidRDefault="00ED522B" w:rsidP="00ED522B">
            <w:pPr>
              <w:pStyle w:val="Topptekst1"/>
              <w:rPr>
                <w:szCs w:val="22"/>
                <w:lang w:val="en-GB"/>
              </w:rPr>
            </w:pPr>
            <w:r w:rsidRPr="00834B17">
              <w:rPr>
                <w:rFonts w:cs="Arial"/>
                <w:szCs w:val="22"/>
                <w:lang w:val="en-GB"/>
              </w:rPr>
              <w:t>Bern</w:t>
            </w:r>
            <w:r w:rsidR="00E9697A" w:rsidRPr="00834B17">
              <w:rPr>
                <w:rFonts w:cs="Arial"/>
                <w:szCs w:val="22"/>
                <w:lang w:val="en-GB"/>
              </w:rPr>
              <w:t xml:space="preserve">, </w:t>
            </w:r>
            <w:r w:rsidRPr="00834B17">
              <w:rPr>
                <w:rFonts w:cs="Arial"/>
                <w:szCs w:val="22"/>
                <w:lang w:val="en-GB"/>
              </w:rPr>
              <w:t>23</w:t>
            </w:r>
            <w:r w:rsidR="00E9697A" w:rsidRPr="00834B17">
              <w:rPr>
                <w:rFonts w:cs="Arial"/>
                <w:szCs w:val="22"/>
                <w:lang w:val="en-GB"/>
              </w:rPr>
              <w:t xml:space="preserve"> – 2</w:t>
            </w:r>
            <w:r w:rsidRPr="00834B17">
              <w:rPr>
                <w:rFonts w:cs="Arial"/>
                <w:szCs w:val="22"/>
                <w:lang w:val="en-GB"/>
              </w:rPr>
              <w:t>7</w:t>
            </w:r>
            <w:r w:rsidR="00E9697A" w:rsidRPr="00834B17">
              <w:rPr>
                <w:rFonts w:cs="Arial"/>
                <w:szCs w:val="22"/>
                <w:lang w:val="en-GB"/>
              </w:rPr>
              <w:t xml:space="preserve"> </w:t>
            </w:r>
            <w:r w:rsidRPr="00834B17">
              <w:rPr>
                <w:rFonts w:cs="Arial"/>
                <w:szCs w:val="22"/>
                <w:lang w:val="en-GB"/>
              </w:rPr>
              <w:t>April</w:t>
            </w:r>
            <w:r w:rsidR="00E9697A" w:rsidRPr="00834B17">
              <w:rPr>
                <w:rFonts w:cs="Arial"/>
                <w:szCs w:val="22"/>
                <w:lang w:val="en-GB"/>
              </w:rPr>
              <w:t xml:space="preserve"> 201</w:t>
            </w:r>
            <w:r w:rsidR="007E75C0" w:rsidRPr="00834B17">
              <w:rPr>
                <w:rFonts w:cs="Arial"/>
                <w:szCs w:val="22"/>
                <w:lang w:val="en-GB"/>
              </w:rPr>
              <w:t>2</w:t>
            </w:r>
          </w:p>
        </w:tc>
        <w:tc>
          <w:tcPr>
            <w:tcW w:w="5300" w:type="dxa"/>
            <w:gridSpan w:val="2"/>
            <w:tcBorders>
              <w:top w:val="nil"/>
              <w:left w:val="nil"/>
              <w:bottom w:val="nil"/>
              <w:right w:val="nil"/>
            </w:tcBorders>
            <w:vAlign w:val="center"/>
          </w:tcPr>
          <w:p w:rsidR="00346C62" w:rsidRPr="00834B17" w:rsidRDefault="00346C62" w:rsidP="00215746">
            <w:pPr>
              <w:pStyle w:val="Topptekst1"/>
              <w:rPr>
                <w:szCs w:val="22"/>
                <w:lang w:val="en-GB"/>
              </w:rPr>
            </w:pPr>
          </w:p>
        </w:tc>
      </w:tr>
      <w:tr w:rsidR="00F05B26" w:rsidRPr="00834B17">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834B17" w:rsidRDefault="00F05B26" w:rsidP="00215746">
            <w:pPr>
              <w:pStyle w:val="Topptekst1"/>
              <w:rPr>
                <w:sz w:val="8"/>
                <w:lang w:val="en-GB"/>
              </w:rPr>
            </w:pPr>
          </w:p>
        </w:tc>
        <w:tc>
          <w:tcPr>
            <w:tcW w:w="5300" w:type="dxa"/>
            <w:gridSpan w:val="2"/>
            <w:tcBorders>
              <w:top w:val="nil"/>
              <w:left w:val="nil"/>
              <w:bottom w:val="nil"/>
              <w:right w:val="nil"/>
            </w:tcBorders>
            <w:vAlign w:val="center"/>
          </w:tcPr>
          <w:p w:rsidR="00F05B26" w:rsidRPr="00834B17" w:rsidRDefault="00F05B26" w:rsidP="00215746">
            <w:pPr>
              <w:pStyle w:val="Topptekst1"/>
              <w:rPr>
                <w:sz w:val="8"/>
                <w:lang w:val="en-GB"/>
              </w:rPr>
            </w:pPr>
          </w:p>
        </w:tc>
      </w:tr>
      <w:tr w:rsidR="00F05B26" w:rsidRPr="00834B1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834B17" w:rsidRDefault="00F05B26" w:rsidP="00215746">
            <w:pPr>
              <w:pStyle w:val="Topptekst1"/>
              <w:rPr>
                <w:lang w:val="en-GB"/>
              </w:rPr>
            </w:pPr>
            <w:r w:rsidRPr="00834B17">
              <w:rPr>
                <w:lang w:val="en-GB"/>
              </w:rPr>
              <w:t>Date issued:</w:t>
            </w:r>
            <w:r w:rsidR="005269EA" w:rsidRPr="00834B17">
              <w:rPr>
                <w:lang w:val="en-GB"/>
              </w:rPr>
              <w:t xml:space="preserve"> </w:t>
            </w:r>
          </w:p>
        </w:tc>
        <w:tc>
          <w:tcPr>
            <w:tcW w:w="7797" w:type="dxa"/>
            <w:gridSpan w:val="3"/>
            <w:tcBorders>
              <w:top w:val="nil"/>
              <w:left w:val="nil"/>
              <w:bottom w:val="nil"/>
              <w:right w:val="nil"/>
            </w:tcBorders>
            <w:vAlign w:val="center"/>
          </w:tcPr>
          <w:p w:rsidR="00156514" w:rsidRDefault="000D297C">
            <w:pPr>
              <w:pStyle w:val="Topptekst1"/>
              <w:rPr>
                <w:lang w:val="en-GB"/>
              </w:rPr>
            </w:pPr>
            <w:r>
              <w:rPr>
                <w:lang w:val="en-GB"/>
              </w:rPr>
              <w:t>27</w:t>
            </w:r>
            <w:r w:rsidR="00235FA8" w:rsidRPr="00834B17">
              <w:rPr>
                <w:lang w:val="en-GB"/>
              </w:rPr>
              <w:t xml:space="preserve"> April 2012</w:t>
            </w:r>
          </w:p>
        </w:tc>
      </w:tr>
      <w:tr w:rsidR="00F05B26" w:rsidRPr="00834B1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834B17" w:rsidRDefault="00F05B26" w:rsidP="00215746">
            <w:pPr>
              <w:pStyle w:val="Topptekst1"/>
              <w:rPr>
                <w:lang w:val="en-GB"/>
              </w:rPr>
            </w:pPr>
            <w:r w:rsidRPr="00834B17">
              <w:rPr>
                <w:lang w:val="en-GB"/>
              </w:rPr>
              <w:t>Source:</w:t>
            </w:r>
          </w:p>
        </w:tc>
        <w:tc>
          <w:tcPr>
            <w:tcW w:w="7797" w:type="dxa"/>
            <w:gridSpan w:val="3"/>
            <w:tcBorders>
              <w:top w:val="nil"/>
              <w:left w:val="nil"/>
              <w:bottom w:val="nil"/>
              <w:right w:val="nil"/>
            </w:tcBorders>
            <w:vAlign w:val="center"/>
          </w:tcPr>
          <w:p w:rsidR="00F05B26" w:rsidRPr="00834B17" w:rsidRDefault="00235FA8" w:rsidP="00215746">
            <w:pPr>
              <w:pStyle w:val="Topptekst1"/>
              <w:rPr>
                <w:lang w:val="en-GB"/>
              </w:rPr>
            </w:pPr>
            <w:r w:rsidRPr="00834B17">
              <w:rPr>
                <w:lang w:val="en-GB"/>
              </w:rPr>
              <w:t>Norway</w:t>
            </w:r>
          </w:p>
        </w:tc>
      </w:tr>
      <w:tr w:rsidR="00F05B26" w:rsidRPr="000D297C">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834B17" w:rsidRDefault="00F05B26" w:rsidP="00215746">
            <w:pPr>
              <w:pStyle w:val="Topptekst1"/>
              <w:rPr>
                <w:lang w:val="en-GB"/>
              </w:rPr>
            </w:pPr>
            <w:r w:rsidRPr="00834B17">
              <w:rPr>
                <w:lang w:val="en-GB"/>
              </w:rPr>
              <w:t>Subject:</w:t>
            </w:r>
            <w:r w:rsidR="005269EA" w:rsidRPr="00834B17">
              <w:rPr>
                <w:lang w:val="en-GB"/>
              </w:rPr>
              <w:t xml:space="preserve">   </w:t>
            </w:r>
          </w:p>
        </w:tc>
        <w:tc>
          <w:tcPr>
            <w:tcW w:w="7797" w:type="dxa"/>
            <w:gridSpan w:val="3"/>
            <w:tcBorders>
              <w:top w:val="nil"/>
              <w:left w:val="nil"/>
              <w:bottom w:val="nil"/>
              <w:right w:val="nil"/>
            </w:tcBorders>
            <w:vAlign w:val="center"/>
          </w:tcPr>
          <w:p w:rsidR="00F05B26" w:rsidRPr="00834B17" w:rsidRDefault="00235FA8" w:rsidP="001E0E49">
            <w:pPr>
              <w:pStyle w:val="Topptekst1"/>
              <w:rPr>
                <w:lang w:val="en-GB"/>
              </w:rPr>
            </w:pPr>
            <w:r w:rsidRPr="00834B17">
              <w:rPr>
                <w:lang w:val="en-GB"/>
              </w:rPr>
              <w:t>Frequencies for maritime broad band link</w:t>
            </w:r>
          </w:p>
        </w:tc>
      </w:tr>
      <w:tr w:rsidR="00493F86" w:rsidRPr="00834B17"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834B17" w:rsidRDefault="00156514" w:rsidP="00FF320E">
            <w:pPr>
              <w:rPr>
                <w:rFonts w:cs="Arial"/>
                <w:szCs w:val="24"/>
                <w:lang w:val="en-GB"/>
              </w:rPr>
            </w:pPr>
            <w:r w:rsidRPr="00156514">
              <w:rPr>
                <w:noProof/>
                <w:lang w:eastAsia="nb-NO"/>
              </w:rPr>
              <w:pict>
                <v:shapetype id="_x0000_t202" coordsize="21600,21600" o:spt="202" path="m,l,21600r21600,l21600,xe">
                  <v:stroke joinstyle="miter"/>
                  <v:path gradientshapeok="t" o:connecttype="rect"/>
                </v:shapetype>
                <v:shape id="Text Box 2" o:spid="_x0000_s1026" type="#_x0000_t202" style="position:absolute;left:0;text-align:left;margin-left:233.85pt;margin-top:15.55pt;width:36pt;height:21.35pt;z-index:-251658752;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9h+vzOAAAAAJAQAADwAAAAAAAAAAAAAAAACBBAAAZHJz&#10;L2Rvd25yZXYueG1sUEsFBgAAAAAEAAQA8wAAAI4FAAAAAA==&#10;">
                  <v:textbox>
                    <w:txbxContent>
                      <w:p w:rsidR="005269EA" w:rsidRPr="008F6E57" w:rsidRDefault="00A6268B" w:rsidP="005348B2">
                        <w:pPr>
                          <w:spacing w:after="0"/>
                          <w:jc w:val="center"/>
                          <w:rPr>
                            <w:rFonts w:cs="Arial"/>
                            <w:szCs w:val="24"/>
                          </w:rPr>
                        </w:pPr>
                        <w:r>
                          <w:rPr>
                            <w:rFonts w:cs="Arial"/>
                            <w:szCs w:val="24"/>
                          </w:rPr>
                          <w:t>N</w:t>
                        </w:r>
                      </w:p>
                    </w:txbxContent>
                  </v:textbox>
                  <w10:wrap type="tight"/>
                </v:shape>
              </w:pict>
            </w:r>
          </w:p>
          <w:p w:rsidR="00493F86" w:rsidRPr="00834B17" w:rsidRDefault="00ED522B" w:rsidP="00FF320E">
            <w:pPr>
              <w:rPr>
                <w:lang w:val="en-GB"/>
              </w:rPr>
            </w:pPr>
            <w:r w:rsidRPr="00834B17">
              <w:rPr>
                <w:lang w:val="en-GB"/>
              </w:rPr>
              <w:t xml:space="preserve">Group membership required </w:t>
            </w:r>
            <w:proofErr w:type="gramStart"/>
            <w:r w:rsidRPr="00834B17">
              <w:rPr>
                <w:lang w:val="en-GB"/>
              </w:rPr>
              <w:t>to read</w:t>
            </w:r>
            <w:proofErr w:type="gramEnd"/>
            <w:r w:rsidRPr="00834B17">
              <w:rPr>
                <w:lang w:val="en-GB"/>
              </w:rPr>
              <w:t xml:space="preserve">? </w:t>
            </w:r>
            <w:r w:rsidR="00493F86" w:rsidRPr="00834B17">
              <w:rPr>
                <w:lang w:val="en-GB"/>
              </w:rPr>
              <w:t xml:space="preserve">(Y/N) </w:t>
            </w:r>
          </w:p>
          <w:p w:rsidR="00493F86" w:rsidRPr="00834B17" w:rsidRDefault="00493F86" w:rsidP="00FF320E">
            <w:pPr>
              <w:pStyle w:val="Header1"/>
              <w:rPr>
                <w:lang w:val="en-GB"/>
              </w:rPr>
            </w:pPr>
          </w:p>
        </w:tc>
      </w:tr>
      <w:tr w:rsidR="00493F86" w:rsidRPr="00834B17"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834B17" w:rsidRDefault="00493F86" w:rsidP="00FF320E">
            <w:pPr>
              <w:pStyle w:val="Header1"/>
              <w:rPr>
                <w:lang w:val="en-GB"/>
              </w:rPr>
            </w:pPr>
          </w:p>
          <w:p w:rsidR="00493F86" w:rsidRPr="00834B17" w:rsidRDefault="00493F86" w:rsidP="00FF320E">
            <w:pPr>
              <w:pStyle w:val="Header1"/>
              <w:rPr>
                <w:sz w:val="8"/>
                <w:lang w:val="en-GB"/>
              </w:rPr>
            </w:pPr>
          </w:p>
        </w:tc>
      </w:tr>
      <w:tr w:rsidR="001E0E49" w:rsidRPr="000D297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Pr="00834B17" w:rsidRDefault="001E0E49" w:rsidP="00834B17">
            <w:pPr>
              <w:pStyle w:val="Topptekst1"/>
              <w:rPr>
                <w:b w:val="0"/>
                <w:lang w:val="en-GB"/>
              </w:rPr>
            </w:pPr>
            <w:r w:rsidRPr="00834B17">
              <w:rPr>
                <w:lang w:val="en-GB"/>
              </w:rPr>
              <w:t xml:space="preserve">Summary: </w:t>
            </w:r>
            <w:r w:rsidR="00CE1BA4" w:rsidRPr="00834B17">
              <w:rPr>
                <w:b w:val="0"/>
                <w:lang w:val="en-GB"/>
              </w:rPr>
              <w:t>This document describes a</w:t>
            </w:r>
            <w:r w:rsidR="008F6E57" w:rsidRPr="00834B17">
              <w:rPr>
                <w:b w:val="0"/>
                <w:lang w:val="en-GB"/>
              </w:rPr>
              <w:t xml:space="preserve"> broadband communication link for ships engaged in coordinated off-shore activities</w:t>
            </w:r>
            <w:r w:rsidR="009C2186" w:rsidRPr="00834B17">
              <w:rPr>
                <w:b w:val="0"/>
                <w:lang w:val="en-GB"/>
              </w:rPr>
              <w:t xml:space="preserve">. The link is used </w:t>
            </w:r>
            <w:r w:rsidR="00CE1BA4" w:rsidRPr="00834B17">
              <w:rPr>
                <w:b w:val="0"/>
                <w:lang w:val="en-GB"/>
              </w:rPr>
              <w:t xml:space="preserve">between ships and </w:t>
            </w:r>
            <w:r w:rsidR="00834B17" w:rsidRPr="00834B17">
              <w:rPr>
                <w:b w:val="0"/>
                <w:lang w:val="en-GB"/>
              </w:rPr>
              <w:t xml:space="preserve">between ships and </w:t>
            </w:r>
            <w:r w:rsidR="00CE1BA4" w:rsidRPr="00834B17">
              <w:rPr>
                <w:b w:val="0"/>
                <w:lang w:val="en-GB"/>
              </w:rPr>
              <w:t>fixed off-shore installations</w:t>
            </w:r>
            <w:r w:rsidR="008F6E57" w:rsidRPr="00834B17">
              <w:rPr>
                <w:b w:val="0"/>
                <w:lang w:val="en-GB"/>
              </w:rPr>
              <w:t>.</w:t>
            </w:r>
            <w:r w:rsidR="00CE1BA4" w:rsidRPr="00834B17">
              <w:rPr>
                <w:b w:val="0"/>
                <w:lang w:val="en-GB"/>
              </w:rPr>
              <w:t xml:space="preserve"> For this communication link it is proposed to find t</w:t>
            </w:r>
            <w:r w:rsidR="00834B17" w:rsidRPr="00834B17">
              <w:rPr>
                <w:b w:val="0"/>
                <w:lang w:val="en-GB"/>
              </w:rPr>
              <w:t>w</w:t>
            </w:r>
            <w:r w:rsidR="00CE1BA4" w:rsidRPr="00834B17">
              <w:rPr>
                <w:b w:val="0"/>
                <w:lang w:val="en-GB"/>
              </w:rPr>
              <w:t>o harmonised frequencies in the 5</w:t>
            </w:r>
            <w:r w:rsidR="00834B17" w:rsidRPr="00834B17">
              <w:rPr>
                <w:b w:val="0"/>
                <w:lang w:val="en-GB"/>
              </w:rPr>
              <w:t> </w:t>
            </w:r>
            <w:r w:rsidR="00CE1BA4" w:rsidRPr="00834B17">
              <w:rPr>
                <w:b w:val="0"/>
                <w:lang w:val="en-GB"/>
              </w:rPr>
              <w:t>GHz range.</w:t>
            </w:r>
            <w:r w:rsidR="008F6E57" w:rsidRPr="00834B17">
              <w:rPr>
                <w:b w:val="0"/>
                <w:lang w:val="en-GB"/>
              </w:rPr>
              <w:t xml:space="preserve"> </w:t>
            </w:r>
          </w:p>
        </w:tc>
      </w:tr>
      <w:tr w:rsidR="001E0E49" w:rsidRPr="000D297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1E0E49" w:rsidRPr="00834B17" w:rsidRDefault="001E0E49" w:rsidP="001E0E49">
            <w:pPr>
              <w:rPr>
                <w:b/>
                <w:lang w:val="en-GB"/>
              </w:rPr>
            </w:pPr>
          </w:p>
        </w:tc>
      </w:tr>
      <w:tr w:rsidR="001E0E49" w:rsidRPr="000D297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Pr="00834B17" w:rsidRDefault="001E0E49" w:rsidP="00834B17">
            <w:pPr>
              <w:pStyle w:val="Topptekst1"/>
              <w:rPr>
                <w:lang w:val="en-GB"/>
              </w:rPr>
            </w:pPr>
            <w:r w:rsidRPr="00834B17">
              <w:rPr>
                <w:lang w:val="en-GB"/>
              </w:rPr>
              <w:t xml:space="preserve">Proposal: </w:t>
            </w:r>
            <w:r w:rsidR="004067F5" w:rsidRPr="00834B17">
              <w:rPr>
                <w:b w:val="0"/>
                <w:lang w:val="en-GB"/>
              </w:rPr>
              <w:t xml:space="preserve">It is proposed </w:t>
            </w:r>
            <w:r w:rsidR="009C2186" w:rsidRPr="00834B17">
              <w:rPr>
                <w:b w:val="0"/>
                <w:lang w:val="en-GB"/>
              </w:rPr>
              <w:t xml:space="preserve">that WG FM should consider identifying a small number of frequencies (say 2) </w:t>
            </w:r>
            <w:r w:rsidR="004067F5" w:rsidRPr="00834B17">
              <w:rPr>
                <w:b w:val="0"/>
                <w:lang w:val="en-GB"/>
              </w:rPr>
              <w:t>in the 5 GHz band for broadband links between ships engaged in coordinated off-shore activities.</w:t>
            </w:r>
            <w:r w:rsidR="009C2186" w:rsidRPr="00834B17">
              <w:rPr>
                <w:b w:val="0"/>
                <w:lang w:val="en-GB"/>
              </w:rPr>
              <w:t xml:space="preserve"> This would facilitate the development of a harmonised standard by ETSI for this type of systems.  </w:t>
            </w:r>
          </w:p>
        </w:tc>
      </w:tr>
      <w:tr w:rsidR="001E0E49" w:rsidRPr="000D297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1E0E49" w:rsidRPr="00834B17" w:rsidRDefault="001E0E49" w:rsidP="001E0E49">
            <w:pPr>
              <w:rPr>
                <w:lang w:val="en-GB"/>
              </w:rPr>
            </w:pPr>
          </w:p>
        </w:tc>
      </w:tr>
      <w:tr w:rsidR="001E0E49" w:rsidRPr="000D297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Pr="00834B17" w:rsidRDefault="00F53959" w:rsidP="00C57EA8">
            <w:pPr>
              <w:pStyle w:val="Topptekst1"/>
              <w:rPr>
                <w:b w:val="0"/>
                <w:lang w:val="en-GB"/>
              </w:rPr>
            </w:pPr>
            <w:r w:rsidRPr="00834B17">
              <w:rPr>
                <w:lang w:val="en-GB"/>
              </w:rPr>
              <w:t>Background:</w:t>
            </w:r>
            <w:r w:rsidR="008F6E57" w:rsidRPr="00834B17">
              <w:rPr>
                <w:b w:val="0"/>
                <w:lang w:val="en-GB"/>
              </w:rPr>
              <w:t xml:space="preserve"> Off-shore activities between vessels and between vessels and fixed structures, typically oil installations at sea, are benefitting from the development of new systems and applications that require a high degree of exchange of data to support coordinated simultaneous operations, such as dynamic positioning, non-routine operations within an installation's safety zone, seismic and survey activities,</w:t>
            </w:r>
            <w:r w:rsidR="00C57EA8" w:rsidRPr="00834B17">
              <w:rPr>
                <w:b w:val="0"/>
                <w:lang w:val="en-GB"/>
              </w:rPr>
              <w:t xml:space="preserve"> activities for heavy lift vessels.  These activities use communication </w:t>
            </w:r>
            <w:r w:rsidR="008F6E57" w:rsidRPr="00834B17">
              <w:rPr>
                <w:b w:val="0"/>
                <w:lang w:val="en-GB"/>
              </w:rPr>
              <w:t xml:space="preserve">systems </w:t>
            </w:r>
            <w:r w:rsidR="00C57EA8" w:rsidRPr="00834B17">
              <w:rPr>
                <w:b w:val="0"/>
                <w:lang w:val="en-GB"/>
              </w:rPr>
              <w:t xml:space="preserve">for increased efficiency as well as </w:t>
            </w:r>
            <w:r w:rsidR="008F6E57" w:rsidRPr="00834B17">
              <w:rPr>
                <w:b w:val="0"/>
                <w:lang w:val="en-GB"/>
              </w:rPr>
              <w:t>for maritime safety and security</w:t>
            </w:r>
            <w:r w:rsidR="00C57EA8" w:rsidRPr="00834B17">
              <w:rPr>
                <w:b w:val="0"/>
                <w:lang w:val="en-GB"/>
              </w:rPr>
              <w:t xml:space="preserve"> during the operations</w:t>
            </w:r>
            <w:r w:rsidR="008F6E57" w:rsidRPr="00834B17">
              <w:rPr>
                <w:b w:val="0"/>
                <w:lang w:val="en-GB"/>
              </w:rPr>
              <w:t>,</w:t>
            </w:r>
            <w:r w:rsidR="00C57EA8" w:rsidRPr="00834B17">
              <w:rPr>
                <w:b w:val="0"/>
                <w:lang w:val="en-GB"/>
              </w:rPr>
              <w:t xml:space="preserve"> and need </w:t>
            </w:r>
            <w:r w:rsidR="008F6E57" w:rsidRPr="00834B17">
              <w:rPr>
                <w:b w:val="0"/>
                <w:lang w:val="en-GB"/>
              </w:rPr>
              <w:t>high speed digital communication is increasing.</w:t>
            </w:r>
            <w:r w:rsidR="00C57EA8" w:rsidRPr="00834B17">
              <w:rPr>
                <w:b w:val="0"/>
                <w:lang w:val="en-GB"/>
              </w:rPr>
              <w:t xml:space="preserve"> Basic VHF communication services, satellite communication and WLAN systems do not support the high speed and data throughput needed in advanced and demanding operations like for example in simultaneous operations where several vessels and fixed structures are cooperating in complex operations at sea.</w:t>
            </w:r>
          </w:p>
          <w:p w:rsidR="003B5044" w:rsidRPr="00834B17" w:rsidRDefault="003B5044" w:rsidP="00C57EA8">
            <w:pPr>
              <w:pStyle w:val="Topptekst1"/>
              <w:rPr>
                <w:b w:val="0"/>
                <w:lang w:val="en-GB"/>
              </w:rPr>
            </w:pPr>
          </w:p>
          <w:p w:rsidR="003B5044" w:rsidRPr="00834B17" w:rsidRDefault="003B5044" w:rsidP="00CE1BA4">
            <w:pPr>
              <w:pStyle w:val="Topptekst1"/>
              <w:rPr>
                <w:lang w:val="en-GB"/>
              </w:rPr>
            </w:pPr>
            <w:r w:rsidRPr="00834B17">
              <w:rPr>
                <w:b w:val="0"/>
                <w:lang w:val="en-GB"/>
              </w:rPr>
              <w:t xml:space="preserve">Maritime off-shore activities have by nature an international </w:t>
            </w:r>
            <w:r w:rsidR="004067F5" w:rsidRPr="00834B17">
              <w:rPr>
                <w:b w:val="0"/>
                <w:lang w:val="en-GB"/>
              </w:rPr>
              <w:t xml:space="preserve">side </w:t>
            </w:r>
            <w:r w:rsidRPr="00834B17">
              <w:rPr>
                <w:b w:val="0"/>
                <w:lang w:val="en-GB"/>
              </w:rPr>
              <w:t xml:space="preserve">as will </w:t>
            </w:r>
            <w:r w:rsidR="004067F5" w:rsidRPr="00834B17">
              <w:rPr>
                <w:b w:val="0"/>
                <w:lang w:val="en-GB"/>
              </w:rPr>
              <w:t xml:space="preserve">such systems will </w:t>
            </w:r>
            <w:r w:rsidRPr="00834B17">
              <w:rPr>
                <w:b w:val="0"/>
                <w:lang w:val="en-GB"/>
              </w:rPr>
              <w:t>often o</w:t>
            </w:r>
            <w:r w:rsidR="00CE1BA4" w:rsidRPr="00834B17">
              <w:rPr>
                <w:b w:val="0"/>
                <w:lang w:val="en-GB"/>
              </w:rPr>
              <w:t xml:space="preserve">perate in national waters close </w:t>
            </w:r>
            <w:r w:rsidR="004067F5" w:rsidRPr="00834B17">
              <w:rPr>
                <w:b w:val="0"/>
                <w:lang w:val="en-GB"/>
              </w:rPr>
              <w:t>to other national waters, and may engage shipping of different nationalities.</w:t>
            </w:r>
          </w:p>
        </w:tc>
      </w:tr>
      <w:tr w:rsidR="001E0E49" w:rsidRPr="000D297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1E0E49" w:rsidRPr="00834B17" w:rsidRDefault="001E0E49" w:rsidP="004002F7">
            <w:pPr>
              <w:rPr>
                <w:bCs/>
                <w:szCs w:val="24"/>
                <w:lang w:val="en-GB"/>
              </w:rPr>
            </w:pPr>
          </w:p>
        </w:tc>
      </w:tr>
    </w:tbl>
    <w:p w:rsidR="008F6E57" w:rsidRPr="00834B17" w:rsidRDefault="008F6E57" w:rsidP="00DE5E01">
      <w:pPr>
        <w:rPr>
          <w:lang w:val="en-GB"/>
        </w:rPr>
      </w:pPr>
    </w:p>
    <w:p w:rsidR="008F6E57" w:rsidRPr="00834B17" w:rsidRDefault="008F6E57">
      <w:pPr>
        <w:spacing w:after="0"/>
        <w:jc w:val="left"/>
        <w:rPr>
          <w:lang w:val="en-GB"/>
        </w:rPr>
      </w:pPr>
      <w:r w:rsidRPr="00834B17">
        <w:rPr>
          <w:lang w:val="en-GB"/>
        </w:rPr>
        <w:br w:type="page"/>
      </w:r>
    </w:p>
    <w:p w:rsidR="006C1C8C" w:rsidRPr="00834B17" w:rsidRDefault="006C1C8C" w:rsidP="008F6E57">
      <w:pPr>
        <w:ind w:left="360"/>
        <w:rPr>
          <w:lang w:val="en-GB"/>
        </w:rPr>
      </w:pPr>
    </w:p>
    <w:p w:rsidR="006C1C8C" w:rsidRPr="00834B17" w:rsidRDefault="006C1C8C" w:rsidP="00803AAD">
      <w:pPr>
        <w:jc w:val="left"/>
        <w:rPr>
          <w:b/>
          <w:u w:val="single"/>
          <w:lang w:val="en-GB"/>
        </w:rPr>
      </w:pPr>
      <w:r w:rsidRPr="00834B17">
        <w:rPr>
          <w:b/>
          <w:u w:val="single"/>
          <w:lang w:val="en-GB"/>
        </w:rPr>
        <w:t>General</w:t>
      </w:r>
    </w:p>
    <w:p w:rsidR="008F6E57" w:rsidRPr="00834B17" w:rsidRDefault="008F6E57" w:rsidP="00803AAD">
      <w:pPr>
        <w:jc w:val="left"/>
        <w:rPr>
          <w:lang w:val="en-GB"/>
        </w:rPr>
      </w:pPr>
      <w:r w:rsidRPr="00834B17">
        <w:rPr>
          <w:lang w:val="en-GB"/>
        </w:rPr>
        <w:t xml:space="preserve">Due to the development of new systems and applications </w:t>
      </w:r>
      <w:r w:rsidR="00A6268B" w:rsidRPr="00834B17">
        <w:rPr>
          <w:lang w:val="en-GB"/>
        </w:rPr>
        <w:t xml:space="preserve">for </w:t>
      </w:r>
      <w:r w:rsidRPr="00834B17">
        <w:rPr>
          <w:lang w:val="en-GB"/>
        </w:rPr>
        <w:t xml:space="preserve">maritime </w:t>
      </w:r>
      <w:r w:rsidR="003B5044" w:rsidRPr="00834B17">
        <w:rPr>
          <w:lang w:val="en-GB"/>
        </w:rPr>
        <w:t xml:space="preserve">off-shore </w:t>
      </w:r>
      <w:r w:rsidRPr="00834B17">
        <w:rPr>
          <w:lang w:val="en-GB"/>
        </w:rPr>
        <w:t xml:space="preserve">operations and </w:t>
      </w:r>
      <w:r w:rsidR="00A6268B" w:rsidRPr="00834B17">
        <w:rPr>
          <w:lang w:val="en-GB"/>
        </w:rPr>
        <w:t xml:space="preserve">supporting </w:t>
      </w:r>
      <w:r w:rsidRPr="00834B17">
        <w:rPr>
          <w:lang w:val="en-GB"/>
        </w:rPr>
        <w:t>systems for maritime safety and security, the need for high speed digital maritime communication is increasing. Basic VHF communication services, satellite communication and state of the art WLAN systems does not support the high speed and data throughput needed in advanced and demanding operations like for example in simultaneous operations where several vessels and fixed structures are cooperating in complex operations at sea. There is therefore a need to develop new radio communication systems with higher capacity and link type characteristics to meet the new requirements for data capacity, speed and throughput.</w:t>
      </w:r>
    </w:p>
    <w:p w:rsidR="008F6E57" w:rsidRPr="00834B17" w:rsidRDefault="008F6E57" w:rsidP="00803AAD">
      <w:pPr>
        <w:jc w:val="left"/>
        <w:rPr>
          <w:lang w:val="en-GB"/>
        </w:rPr>
      </w:pPr>
      <w:r w:rsidRPr="00834B17">
        <w:rPr>
          <w:lang w:val="en-GB"/>
        </w:rPr>
        <w:t xml:space="preserve">A high speed maritime broadband radio system at high frequencies with adaptive antenna arrays will enable </w:t>
      </w:r>
      <w:proofErr w:type="spellStart"/>
      <w:r w:rsidRPr="00834B17">
        <w:rPr>
          <w:lang w:val="en-GB"/>
        </w:rPr>
        <w:t>beamforming</w:t>
      </w:r>
      <w:proofErr w:type="spellEnd"/>
      <w:r w:rsidRPr="00834B17">
        <w:rPr>
          <w:lang w:val="en-GB"/>
        </w:rPr>
        <w:t xml:space="preserve"> and high directivity. A radio communication system with advanced </w:t>
      </w:r>
      <w:proofErr w:type="spellStart"/>
      <w:r w:rsidRPr="00834B17">
        <w:rPr>
          <w:lang w:val="en-GB"/>
        </w:rPr>
        <w:t>beamforming</w:t>
      </w:r>
      <w:proofErr w:type="spellEnd"/>
      <w:r w:rsidRPr="00834B17">
        <w:rPr>
          <w:lang w:val="en-GB"/>
        </w:rPr>
        <w:t xml:space="preserve"> and digital processing may greatly increase the capability and capacity of the radio system compared to state of the art systems.</w:t>
      </w:r>
    </w:p>
    <w:p w:rsidR="008F6E57" w:rsidRPr="00834B17" w:rsidRDefault="008F6E57" w:rsidP="00803AAD">
      <w:pPr>
        <w:jc w:val="left"/>
        <w:rPr>
          <w:lang w:val="en-GB"/>
        </w:rPr>
      </w:pPr>
      <w:r w:rsidRPr="00834B17">
        <w:rPr>
          <w:lang w:val="en-GB"/>
        </w:rPr>
        <w:t>In order to achieve these benefits, however, it is necessary to operate typically in the 5 GHz band or higher in order to implement antenna arrays of practical size. Due to the high directivity used and thereby relatively high ERP, a suitable frequency allocation is necessary to avoid interference problems with current WLAN systems and similar kind of equipment.</w:t>
      </w:r>
    </w:p>
    <w:p w:rsidR="008F6E57" w:rsidRPr="00834B17" w:rsidRDefault="008F6E57" w:rsidP="00803AAD">
      <w:pPr>
        <w:jc w:val="left"/>
        <w:rPr>
          <w:lang w:val="en-GB"/>
        </w:rPr>
      </w:pPr>
      <w:r w:rsidRPr="00834B17">
        <w:rPr>
          <w:lang w:val="en-GB"/>
        </w:rPr>
        <w:t xml:space="preserve">The main use for a maritime broadband radio system is data communication between vessels and between vessels and fixed structures, typically oil installations at sea. As the system is totally </w:t>
      </w:r>
      <w:proofErr w:type="gramStart"/>
      <w:r w:rsidRPr="00834B17">
        <w:rPr>
          <w:lang w:val="en-GB"/>
        </w:rPr>
        <w:t>digital</w:t>
      </w:r>
      <w:proofErr w:type="gramEnd"/>
      <w:r w:rsidRPr="00834B17">
        <w:rPr>
          <w:lang w:val="en-GB"/>
        </w:rPr>
        <w:t xml:space="preserve">, it can be used for voice, video and data transmission. Data rates will typically be in the order of 10 Mb/s or more. The communication content will typically be different kind of operational data, navigational data, administration data, update of chart data, and messaging, live video from cameras , </w:t>
      </w:r>
      <w:r w:rsidR="00A6268B" w:rsidRPr="00834B17">
        <w:rPr>
          <w:lang w:val="en-GB"/>
        </w:rPr>
        <w:t xml:space="preserve">radar </w:t>
      </w:r>
      <w:r w:rsidRPr="00834B17">
        <w:rPr>
          <w:lang w:val="en-GB"/>
        </w:rPr>
        <w:t xml:space="preserve">data etc. </w:t>
      </w:r>
    </w:p>
    <w:p w:rsidR="008F6E57" w:rsidRPr="00834B17" w:rsidRDefault="008F6E57" w:rsidP="00803AAD">
      <w:pPr>
        <w:jc w:val="left"/>
        <w:rPr>
          <w:lang w:val="en-GB"/>
        </w:rPr>
      </w:pPr>
      <w:r w:rsidRPr="00834B17">
        <w:rPr>
          <w:lang w:val="en-GB"/>
        </w:rPr>
        <w:t>Transmission of data rates like</w:t>
      </w:r>
      <w:r w:rsidR="00A6268B" w:rsidRPr="00834B17">
        <w:rPr>
          <w:lang w:val="en-GB"/>
        </w:rPr>
        <w:t xml:space="preserve"> </w:t>
      </w:r>
      <w:proofErr w:type="gramStart"/>
      <w:r w:rsidR="00A6268B" w:rsidRPr="00834B17">
        <w:rPr>
          <w:lang w:val="en-GB"/>
        </w:rPr>
        <w:t>this</w:t>
      </w:r>
      <w:r w:rsidRPr="00834B17">
        <w:rPr>
          <w:lang w:val="en-GB"/>
        </w:rPr>
        <w:t>,</w:t>
      </w:r>
      <w:proofErr w:type="gramEnd"/>
      <w:r w:rsidRPr="00834B17">
        <w:rPr>
          <w:lang w:val="en-GB"/>
        </w:rPr>
        <w:t xml:space="preserve"> is by no means a trivial matter. Problems due to sea-reflections and reflections from structures may frequently occur and should be mitigated by suitable processes in the digital processing platform. Moreover, the high directivity obtained with phasing of antenna arrays makes it possible to establish a kind of dynamical link communication system between several entities. The antenna directivity and pointing angle can be dynamically adjusted both in azimuth and elevation thereby optimizing the link budget under different conditions. Moreover, phasing of antennas can be used to create antenna nulls in directions which should not be illuminated with high ERP, or to suppress interfering signals from specific directions.</w:t>
      </w:r>
    </w:p>
    <w:p w:rsidR="00803AAD" w:rsidRPr="00834B17" w:rsidRDefault="00803AAD" w:rsidP="00803AAD">
      <w:pPr>
        <w:jc w:val="left"/>
        <w:rPr>
          <w:lang w:val="en-GB"/>
        </w:rPr>
      </w:pPr>
    </w:p>
    <w:p w:rsidR="006C1C8C" w:rsidRPr="00834B17" w:rsidRDefault="00803AAD" w:rsidP="00803AAD">
      <w:pPr>
        <w:jc w:val="left"/>
        <w:rPr>
          <w:b/>
          <w:u w:val="single"/>
          <w:lang w:val="en-GB"/>
        </w:rPr>
      </w:pPr>
      <w:r w:rsidRPr="00834B17">
        <w:rPr>
          <w:b/>
          <w:u w:val="single"/>
          <w:lang w:val="en-GB"/>
        </w:rPr>
        <w:t>Description of m</w:t>
      </w:r>
      <w:r w:rsidR="006C1C8C" w:rsidRPr="00834B17">
        <w:rPr>
          <w:b/>
          <w:u w:val="single"/>
          <w:lang w:val="en-GB"/>
        </w:rPr>
        <w:t>aritime simultaneous operations</w:t>
      </w:r>
    </w:p>
    <w:p w:rsidR="00C16E1B" w:rsidRPr="00834B17" w:rsidRDefault="00A6268B" w:rsidP="00C16E1B">
      <w:pPr>
        <w:jc w:val="left"/>
        <w:rPr>
          <w:lang w:val="en-GB"/>
        </w:rPr>
      </w:pPr>
      <w:r w:rsidRPr="00834B17">
        <w:rPr>
          <w:lang w:val="en-GB"/>
        </w:rPr>
        <w:t>Maritime s</w:t>
      </w:r>
      <w:r w:rsidR="00C16E1B" w:rsidRPr="00834B17">
        <w:rPr>
          <w:lang w:val="en-GB"/>
        </w:rPr>
        <w:t>imultaneous operations are concurrent activ</w:t>
      </w:r>
      <w:r w:rsidRPr="00834B17">
        <w:rPr>
          <w:lang w:val="en-GB"/>
        </w:rPr>
        <w:t xml:space="preserve">ities </w:t>
      </w:r>
      <w:r w:rsidR="00C16E1B" w:rsidRPr="00834B17">
        <w:rPr>
          <w:lang w:val="en-GB"/>
        </w:rPr>
        <w:t>which has a potential for dangerously interfering with each other. Such operations can typically include, but are not limited to:</w:t>
      </w:r>
    </w:p>
    <w:p w:rsidR="00C16E1B" w:rsidRPr="00834B17" w:rsidRDefault="00C16E1B" w:rsidP="00C16E1B">
      <w:pPr>
        <w:jc w:val="left"/>
        <w:rPr>
          <w:lang w:val="en-GB"/>
        </w:rPr>
      </w:pPr>
      <w:r w:rsidRPr="00834B17">
        <w:rPr>
          <w:lang w:val="en-GB"/>
        </w:rPr>
        <w:t>-</w:t>
      </w:r>
      <w:r w:rsidRPr="00834B17">
        <w:rPr>
          <w:lang w:val="en-GB"/>
        </w:rPr>
        <w:tab/>
      </w:r>
      <w:proofErr w:type="gramStart"/>
      <w:r w:rsidRPr="00834B17">
        <w:rPr>
          <w:lang w:val="en-GB"/>
        </w:rPr>
        <w:t>a</w:t>
      </w:r>
      <w:proofErr w:type="gramEnd"/>
      <w:r w:rsidRPr="00834B17">
        <w:rPr>
          <w:lang w:val="en-GB"/>
        </w:rPr>
        <w:t xml:space="preserve"> vessel undertaking a non-routine operation within an installations safety zone,</w:t>
      </w:r>
    </w:p>
    <w:p w:rsidR="00C16E1B" w:rsidRPr="00834B17" w:rsidRDefault="00C16E1B" w:rsidP="00C16E1B">
      <w:pPr>
        <w:jc w:val="left"/>
        <w:rPr>
          <w:lang w:val="en-GB"/>
        </w:rPr>
      </w:pPr>
      <w:r w:rsidRPr="00834B17">
        <w:rPr>
          <w:lang w:val="en-GB"/>
        </w:rPr>
        <w:t>-</w:t>
      </w:r>
      <w:r w:rsidRPr="00834B17">
        <w:rPr>
          <w:lang w:val="en-GB"/>
        </w:rPr>
        <w:tab/>
      </w:r>
      <w:proofErr w:type="gramStart"/>
      <w:r w:rsidRPr="00834B17">
        <w:rPr>
          <w:lang w:val="en-GB"/>
        </w:rPr>
        <w:t>work</w:t>
      </w:r>
      <w:proofErr w:type="gramEnd"/>
      <w:r w:rsidRPr="00834B17">
        <w:rPr>
          <w:lang w:val="en-GB"/>
        </w:rPr>
        <w:t xml:space="preserve"> on subsea umbilical, risers and flow lines,</w:t>
      </w:r>
    </w:p>
    <w:p w:rsidR="00C16E1B" w:rsidRPr="00834B17" w:rsidRDefault="00C16E1B" w:rsidP="00C16E1B">
      <w:pPr>
        <w:jc w:val="left"/>
        <w:rPr>
          <w:lang w:val="en-GB"/>
        </w:rPr>
      </w:pPr>
      <w:r w:rsidRPr="00834B17">
        <w:rPr>
          <w:lang w:val="en-GB"/>
        </w:rPr>
        <w:t>-</w:t>
      </w:r>
      <w:r w:rsidRPr="00834B17">
        <w:rPr>
          <w:lang w:val="en-GB"/>
        </w:rPr>
        <w:tab/>
      </w:r>
      <w:proofErr w:type="gramStart"/>
      <w:r w:rsidRPr="00834B17">
        <w:rPr>
          <w:lang w:val="en-GB"/>
        </w:rPr>
        <w:t>field</w:t>
      </w:r>
      <w:proofErr w:type="gramEnd"/>
      <w:r w:rsidRPr="00834B17">
        <w:rPr>
          <w:lang w:val="en-GB"/>
        </w:rPr>
        <w:t xml:space="preserve"> development work with several vessels and contractors.</w:t>
      </w:r>
    </w:p>
    <w:p w:rsidR="00C16E1B" w:rsidRPr="00834B17" w:rsidRDefault="00C16E1B" w:rsidP="00C16E1B">
      <w:pPr>
        <w:jc w:val="left"/>
        <w:rPr>
          <w:lang w:val="en-GB"/>
        </w:rPr>
      </w:pPr>
      <w:r w:rsidRPr="00834B17">
        <w:rPr>
          <w:lang w:val="en-GB"/>
        </w:rPr>
        <w:t>Vessels include, for example, diving support vessels, heavy lift vessels, supply boats, barges, pipe lay and cable lay, accommodation, seismic and survey vessels, vessels operating in dynamic positioning mode. Installations cover, for example, fixed and floating prod</w:t>
      </w:r>
      <w:r w:rsidR="00A6268B" w:rsidRPr="00834B17">
        <w:rPr>
          <w:lang w:val="en-GB"/>
        </w:rPr>
        <w:t>uction platforms, drilling rigs and production units</w:t>
      </w:r>
      <w:r w:rsidRPr="00834B17">
        <w:rPr>
          <w:lang w:val="en-GB"/>
        </w:rPr>
        <w:t>.</w:t>
      </w:r>
    </w:p>
    <w:p w:rsidR="00C16E1B" w:rsidRPr="00834B17" w:rsidRDefault="00A6268B" w:rsidP="00C16E1B">
      <w:pPr>
        <w:jc w:val="left"/>
        <w:rPr>
          <w:lang w:val="en-GB"/>
        </w:rPr>
      </w:pPr>
      <w:r w:rsidRPr="00834B17">
        <w:rPr>
          <w:lang w:val="en-GB"/>
        </w:rPr>
        <w:t>Simultaneous operations</w:t>
      </w:r>
      <w:r w:rsidR="00C16E1B" w:rsidRPr="00834B17">
        <w:rPr>
          <w:lang w:val="en-GB"/>
        </w:rPr>
        <w:t xml:space="preserve"> often involve multiple companies (owners, contractors, subcontractors, vendors) large multi-disciplined workforces and a wide range of daily, 24 hour, routine and non-routine construction and commissioning activities.</w:t>
      </w:r>
    </w:p>
    <w:p w:rsidR="00C16E1B" w:rsidRPr="00834B17" w:rsidRDefault="00C16E1B" w:rsidP="00803AAD">
      <w:pPr>
        <w:jc w:val="left"/>
        <w:rPr>
          <w:lang w:val="en-GB"/>
        </w:rPr>
      </w:pPr>
    </w:p>
    <w:p w:rsidR="00C16E1B" w:rsidRPr="00834B17" w:rsidRDefault="00C16E1B" w:rsidP="00803AAD">
      <w:pPr>
        <w:jc w:val="left"/>
        <w:rPr>
          <w:lang w:val="en-GB"/>
        </w:rPr>
      </w:pPr>
    </w:p>
    <w:p w:rsidR="00803AAD" w:rsidRPr="00834B17" w:rsidRDefault="00C16E1B" w:rsidP="00803AAD">
      <w:pPr>
        <w:jc w:val="left"/>
        <w:rPr>
          <w:lang w:val="en-GB"/>
        </w:rPr>
      </w:pPr>
      <w:r w:rsidRPr="00834B17">
        <w:rPr>
          <w:lang w:val="en-GB"/>
        </w:rPr>
        <w:lastRenderedPageBreak/>
        <w:t xml:space="preserve">Accordingly, </w:t>
      </w:r>
      <w:r w:rsidR="00803AAD" w:rsidRPr="00834B17">
        <w:rPr>
          <w:lang w:val="en-GB"/>
        </w:rPr>
        <w:t>efficient and secure communication between the involved parties is of vital importance. The communication systems in use today is mainly standard VHF and sat</w:t>
      </w:r>
      <w:r w:rsidR="00A6268B" w:rsidRPr="00834B17">
        <w:rPr>
          <w:lang w:val="en-GB"/>
        </w:rPr>
        <w:t>ellite communication which need</w:t>
      </w:r>
      <w:r w:rsidR="00803AAD" w:rsidRPr="00834B17">
        <w:rPr>
          <w:lang w:val="en-GB"/>
        </w:rPr>
        <w:t xml:space="preserve"> to be coordinated between the parties before the operation. VHF communication is a proven method of speech communication, but does not support the high data </w:t>
      </w:r>
      <w:proofErr w:type="gramStart"/>
      <w:r w:rsidR="00803AAD" w:rsidRPr="00834B17">
        <w:rPr>
          <w:lang w:val="en-GB"/>
        </w:rPr>
        <w:t>rates that is</w:t>
      </w:r>
      <w:proofErr w:type="gramEnd"/>
      <w:r w:rsidR="00803AAD" w:rsidRPr="00834B17">
        <w:rPr>
          <w:lang w:val="en-GB"/>
        </w:rPr>
        <w:t xml:space="preserve"> necessary in complex operation involving dynamically positioning systems, electronic chart systems and computer controlled decision support systems. Satellite communication may support high data rates, but it often introduces unwanted delays in the communication chain. Today’s complex simultaneous operations, therefore require a high speed data communication system tailored to integrate a large number of data communication sources and supporting live video from the units involved.</w:t>
      </w:r>
    </w:p>
    <w:p w:rsidR="00803AAD" w:rsidRPr="00834B17" w:rsidRDefault="00803AAD" w:rsidP="00803AAD">
      <w:pPr>
        <w:jc w:val="left"/>
        <w:rPr>
          <w:lang w:val="en-GB"/>
        </w:rPr>
      </w:pPr>
      <w:r w:rsidRPr="00834B17">
        <w:rPr>
          <w:lang w:val="en-GB"/>
        </w:rPr>
        <w:t>Off</w:t>
      </w:r>
      <w:r w:rsidR="00A6268B" w:rsidRPr="00834B17">
        <w:rPr>
          <w:lang w:val="en-GB"/>
        </w:rPr>
        <w:t>-</w:t>
      </w:r>
      <w:r w:rsidRPr="00834B17">
        <w:rPr>
          <w:lang w:val="en-GB"/>
        </w:rPr>
        <w:t>the</w:t>
      </w:r>
      <w:r w:rsidR="00A6268B" w:rsidRPr="00834B17">
        <w:rPr>
          <w:lang w:val="en-GB"/>
        </w:rPr>
        <w:t>-</w:t>
      </w:r>
      <w:r w:rsidRPr="00834B17">
        <w:rPr>
          <w:lang w:val="en-GB"/>
        </w:rPr>
        <w:t>shelf broadband networks are not well suited for simultaneous operations environments due to short range and low resistance to interference. The capacity of such networks is also too low to support the demanding applications found in simultaneous operations. Moreover, such units are not optimized for transmission over sea which may heavily degrade their performance.</w:t>
      </w:r>
    </w:p>
    <w:p w:rsidR="00C16E1B" w:rsidRPr="00834B17" w:rsidRDefault="00C16E1B" w:rsidP="003B5044">
      <w:pPr>
        <w:jc w:val="left"/>
        <w:rPr>
          <w:lang w:val="en-GB"/>
        </w:rPr>
      </w:pPr>
    </w:p>
    <w:p w:rsidR="00803AAD" w:rsidRPr="00834B17" w:rsidRDefault="00803AAD" w:rsidP="003B5044">
      <w:pPr>
        <w:jc w:val="left"/>
        <w:rPr>
          <w:lang w:val="en-GB"/>
        </w:rPr>
      </w:pPr>
    </w:p>
    <w:p w:rsidR="00803AAD" w:rsidRPr="00405CED" w:rsidRDefault="00803AAD" w:rsidP="003B5044">
      <w:pPr>
        <w:jc w:val="left"/>
        <w:rPr>
          <w:b/>
          <w:u w:val="single"/>
          <w:lang w:val="en-GB"/>
        </w:rPr>
      </w:pPr>
      <w:r w:rsidRPr="00405CED">
        <w:rPr>
          <w:b/>
          <w:u w:val="single"/>
          <w:lang w:val="en-GB"/>
        </w:rPr>
        <w:t>Frequency considerations</w:t>
      </w:r>
    </w:p>
    <w:p w:rsidR="00803AAD" w:rsidRPr="00834B17" w:rsidRDefault="00BF3317" w:rsidP="003B5044">
      <w:pPr>
        <w:jc w:val="left"/>
        <w:rPr>
          <w:lang w:val="en-GB"/>
        </w:rPr>
      </w:pPr>
      <w:r w:rsidRPr="00834B17">
        <w:rPr>
          <w:lang w:val="en-GB"/>
        </w:rPr>
        <w:t xml:space="preserve">From a technical point of view, the 5 GHz band is well suited for making highly directive antennas while still having good propagation properties.  The links </w:t>
      </w:r>
      <w:r w:rsidR="000D297C">
        <w:rPr>
          <w:lang w:val="en-GB"/>
        </w:rPr>
        <w:t xml:space="preserve">should be operated within the </w:t>
      </w:r>
      <w:r w:rsidRPr="00834B17">
        <w:rPr>
          <w:lang w:val="en-GB"/>
        </w:rPr>
        <w:t>mobile service and the band 5150 - 5250 MH</w:t>
      </w:r>
      <w:r w:rsidR="00A6268B" w:rsidRPr="00834B17">
        <w:rPr>
          <w:lang w:val="en-GB"/>
        </w:rPr>
        <w:t xml:space="preserve">z is allocated to </w:t>
      </w:r>
      <w:r w:rsidR="00834B17">
        <w:rPr>
          <w:lang w:val="en-GB"/>
        </w:rPr>
        <w:t>a</w:t>
      </w:r>
      <w:r w:rsidR="00A6268B" w:rsidRPr="00834B17">
        <w:rPr>
          <w:lang w:val="en-GB"/>
        </w:rPr>
        <w:t xml:space="preserve">eronautical </w:t>
      </w:r>
      <w:proofErr w:type="spellStart"/>
      <w:r w:rsidR="00834B17">
        <w:rPr>
          <w:lang w:val="en-GB"/>
        </w:rPr>
        <w:t>r</w:t>
      </w:r>
      <w:r w:rsidRPr="00834B17">
        <w:rPr>
          <w:lang w:val="en-GB"/>
        </w:rPr>
        <w:t>adionavigation</w:t>
      </w:r>
      <w:proofErr w:type="spellEnd"/>
      <w:r w:rsidR="003B5044" w:rsidRPr="00834B17">
        <w:rPr>
          <w:lang w:val="en-GB"/>
        </w:rPr>
        <w:t>,</w:t>
      </w:r>
      <w:r w:rsidRPr="00834B17">
        <w:rPr>
          <w:lang w:val="en-GB"/>
        </w:rPr>
        <w:t xml:space="preserve"> </w:t>
      </w:r>
      <w:r w:rsidR="00834B17">
        <w:rPr>
          <w:lang w:val="en-GB"/>
        </w:rPr>
        <w:t xml:space="preserve">fixed satellite service </w:t>
      </w:r>
      <w:r w:rsidR="00405CED">
        <w:rPr>
          <w:lang w:val="en-GB"/>
        </w:rPr>
        <w:t xml:space="preserve">and </w:t>
      </w:r>
      <w:r w:rsidR="00834B17">
        <w:rPr>
          <w:lang w:val="en-GB"/>
        </w:rPr>
        <w:t>mobile service</w:t>
      </w:r>
      <w:r w:rsidRPr="00834B17">
        <w:rPr>
          <w:lang w:val="en-GB"/>
        </w:rPr>
        <w:t xml:space="preserve"> </w:t>
      </w:r>
      <w:r w:rsidR="00405CED">
        <w:rPr>
          <w:lang w:val="en-GB"/>
        </w:rPr>
        <w:t>except aeronautical mobile service</w:t>
      </w:r>
      <w:r w:rsidRPr="00834B17">
        <w:rPr>
          <w:lang w:val="en-GB"/>
        </w:rPr>
        <w:t xml:space="preserve">.  Footnotes </w:t>
      </w:r>
      <w:r w:rsidR="00405CED">
        <w:rPr>
          <w:lang w:val="en-GB"/>
        </w:rPr>
        <w:t>5</w:t>
      </w:r>
      <w:r w:rsidRPr="00834B17">
        <w:rPr>
          <w:lang w:val="en-GB"/>
        </w:rPr>
        <w:t>.446A and 5.446B give priority to land mobile WLAN services.</w:t>
      </w:r>
    </w:p>
    <w:p w:rsidR="00803AAD" w:rsidRPr="00834B17" w:rsidRDefault="00803AAD" w:rsidP="003B5044">
      <w:pPr>
        <w:jc w:val="left"/>
        <w:rPr>
          <w:lang w:val="en-GB"/>
        </w:rPr>
      </w:pPr>
    </w:p>
    <w:p w:rsidR="00BF3317" w:rsidRPr="00405CED" w:rsidRDefault="00405CED" w:rsidP="003B5044">
      <w:pPr>
        <w:jc w:val="left"/>
        <w:rPr>
          <w:b/>
          <w:u w:val="single"/>
          <w:lang w:val="en-GB"/>
        </w:rPr>
      </w:pPr>
      <w:r w:rsidRPr="00405CED">
        <w:rPr>
          <w:b/>
          <w:u w:val="single"/>
          <w:lang w:val="en-GB"/>
        </w:rPr>
        <w:t>Example of technical date:</w:t>
      </w:r>
    </w:p>
    <w:p w:rsidR="00803AAD" w:rsidRPr="00834B17" w:rsidRDefault="00803AAD" w:rsidP="003B5044">
      <w:pPr>
        <w:jc w:val="left"/>
        <w:rPr>
          <w:u w:val="single"/>
          <w:lang w:val="en-GB"/>
        </w:rPr>
      </w:pPr>
      <w:r w:rsidRPr="00834B17">
        <w:rPr>
          <w:u w:val="single"/>
          <w:lang w:val="en-GB"/>
        </w:rPr>
        <w:t>Experimental time limited frequency licenses</w:t>
      </w:r>
    </w:p>
    <w:p w:rsidR="00803AAD" w:rsidRPr="00834B17" w:rsidRDefault="00E221CE" w:rsidP="003B5044">
      <w:pPr>
        <w:jc w:val="left"/>
        <w:rPr>
          <w:lang w:val="en-GB"/>
        </w:rPr>
      </w:pPr>
      <w:r w:rsidRPr="00834B17">
        <w:rPr>
          <w:lang w:val="en-GB"/>
        </w:rPr>
        <w:t>Norway has issued a frequency license for the systems with the following technical parameters:</w:t>
      </w:r>
    </w:p>
    <w:p w:rsidR="00E221CE" w:rsidRPr="00834B17" w:rsidRDefault="00E221CE" w:rsidP="003B5044">
      <w:pPr>
        <w:jc w:val="left"/>
        <w:rPr>
          <w:lang w:val="en-GB"/>
        </w:rPr>
      </w:pPr>
    </w:p>
    <w:p w:rsidR="00E221CE" w:rsidRPr="00834B17" w:rsidRDefault="00E221CE" w:rsidP="003B5044">
      <w:pPr>
        <w:jc w:val="left"/>
        <w:rPr>
          <w:lang w:val="en-GB"/>
        </w:rPr>
      </w:pPr>
      <w:r w:rsidRPr="00834B17">
        <w:rPr>
          <w:lang w:val="en-GB"/>
        </w:rPr>
        <w:t>Category:</w:t>
      </w:r>
      <w:r w:rsidRPr="00834B17">
        <w:rPr>
          <w:lang w:val="en-GB"/>
        </w:rPr>
        <w:tab/>
      </w:r>
      <w:r w:rsidRPr="00834B17">
        <w:rPr>
          <w:lang w:val="en-GB"/>
        </w:rPr>
        <w:tab/>
      </w:r>
      <w:r w:rsidRPr="00834B17">
        <w:rPr>
          <w:lang w:val="en-GB"/>
        </w:rPr>
        <w:tab/>
      </w:r>
      <w:r w:rsidRPr="00834B17">
        <w:rPr>
          <w:lang w:val="en-GB"/>
        </w:rPr>
        <w:tab/>
      </w:r>
      <w:r w:rsidRPr="00834B17">
        <w:rPr>
          <w:lang w:val="en-GB"/>
        </w:rPr>
        <w:tab/>
        <w:t>Digital data communications</w:t>
      </w:r>
    </w:p>
    <w:p w:rsidR="00E221CE" w:rsidRPr="00834B17" w:rsidRDefault="00E221CE" w:rsidP="003B5044">
      <w:pPr>
        <w:jc w:val="left"/>
        <w:rPr>
          <w:lang w:val="en-GB"/>
        </w:rPr>
      </w:pPr>
      <w:r w:rsidRPr="00834B17">
        <w:rPr>
          <w:lang w:val="en-GB"/>
        </w:rPr>
        <w:t xml:space="preserve">Number of RF channels: </w:t>
      </w:r>
      <w:r w:rsidRPr="00834B17">
        <w:rPr>
          <w:lang w:val="en-GB"/>
        </w:rPr>
        <w:tab/>
      </w:r>
      <w:r w:rsidRPr="00834B17">
        <w:rPr>
          <w:lang w:val="en-GB"/>
        </w:rPr>
        <w:tab/>
        <w:t>2</w:t>
      </w:r>
    </w:p>
    <w:p w:rsidR="00E221CE" w:rsidRPr="00834B17" w:rsidRDefault="00E221CE" w:rsidP="003B5044">
      <w:pPr>
        <w:jc w:val="left"/>
        <w:rPr>
          <w:lang w:val="en-GB"/>
        </w:rPr>
      </w:pPr>
      <w:r w:rsidRPr="00834B17">
        <w:rPr>
          <w:lang w:val="en-GB"/>
        </w:rPr>
        <w:t>Frequencies:</w:t>
      </w:r>
      <w:r w:rsidRPr="00834B17">
        <w:rPr>
          <w:lang w:val="en-GB"/>
        </w:rPr>
        <w:tab/>
      </w:r>
      <w:r w:rsidRPr="00834B17">
        <w:rPr>
          <w:lang w:val="en-GB"/>
        </w:rPr>
        <w:tab/>
      </w:r>
      <w:r w:rsidRPr="00834B17">
        <w:rPr>
          <w:lang w:val="en-GB"/>
        </w:rPr>
        <w:tab/>
      </w:r>
      <w:r w:rsidRPr="00834B17">
        <w:rPr>
          <w:lang w:val="en-GB"/>
        </w:rPr>
        <w:tab/>
        <w:t>5180 MHz and 5230 MHz</w:t>
      </w:r>
    </w:p>
    <w:p w:rsidR="00E221CE" w:rsidRPr="00834B17" w:rsidRDefault="00E221CE" w:rsidP="003B5044">
      <w:pPr>
        <w:jc w:val="left"/>
        <w:rPr>
          <w:lang w:val="en-GB"/>
        </w:rPr>
      </w:pPr>
      <w:r w:rsidRPr="00834B17">
        <w:rPr>
          <w:lang w:val="en-GB"/>
        </w:rPr>
        <w:t>RF channel bandwidth:</w:t>
      </w:r>
      <w:r w:rsidRPr="00834B17">
        <w:rPr>
          <w:lang w:val="en-GB"/>
        </w:rPr>
        <w:tab/>
      </w:r>
      <w:r w:rsidRPr="00834B17">
        <w:rPr>
          <w:lang w:val="en-GB"/>
        </w:rPr>
        <w:tab/>
      </w:r>
      <w:r w:rsidRPr="00834B17">
        <w:rPr>
          <w:lang w:val="en-GB"/>
        </w:rPr>
        <w:tab/>
        <w:t>20 MHz</w:t>
      </w:r>
    </w:p>
    <w:p w:rsidR="00E221CE" w:rsidRPr="00834B17" w:rsidRDefault="00E221CE" w:rsidP="003B5044">
      <w:pPr>
        <w:jc w:val="left"/>
        <w:rPr>
          <w:lang w:val="en-GB"/>
        </w:rPr>
      </w:pPr>
      <w:r w:rsidRPr="00834B17">
        <w:rPr>
          <w:lang w:val="en-GB"/>
        </w:rPr>
        <w:t xml:space="preserve">Max. </w:t>
      </w:r>
      <w:proofErr w:type="gramStart"/>
      <w:r w:rsidRPr="00834B17">
        <w:rPr>
          <w:lang w:val="en-GB"/>
        </w:rPr>
        <w:t>transmitter</w:t>
      </w:r>
      <w:proofErr w:type="gramEnd"/>
      <w:r w:rsidRPr="00834B17">
        <w:rPr>
          <w:lang w:val="en-GB"/>
        </w:rPr>
        <w:t xml:space="preserve"> ou</w:t>
      </w:r>
      <w:r w:rsidR="003B5044" w:rsidRPr="00834B17">
        <w:rPr>
          <w:lang w:val="en-GB"/>
        </w:rPr>
        <w:t>t</w:t>
      </w:r>
      <w:r w:rsidRPr="00834B17">
        <w:rPr>
          <w:lang w:val="en-GB"/>
        </w:rPr>
        <w:t>put power:</w:t>
      </w:r>
      <w:r w:rsidRPr="00834B17">
        <w:rPr>
          <w:lang w:val="en-GB"/>
        </w:rPr>
        <w:tab/>
        <w:t>6W</w:t>
      </w:r>
    </w:p>
    <w:p w:rsidR="00E221CE" w:rsidRPr="00834B17" w:rsidRDefault="00E221CE" w:rsidP="003B5044">
      <w:pPr>
        <w:jc w:val="left"/>
        <w:rPr>
          <w:lang w:val="en-GB"/>
        </w:rPr>
      </w:pPr>
      <w:r w:rsidRPr="00834B17">
        <w:rPr>
          <w:lang w:val="en-GB"/>
        </w:rPr>
        <w:t>Antenna gain:</w:t>
      </w:r>
      <w:r w:rsidRPr="00834B17">
        <w:rPr>
          <w:lang w:val="en-GB"/>
        </w:rPr>
        <w:tab/>
      </w:r>
      <w:r w:rsidRPr="00834B17">
        <w:rPr>
          <w:lang w:val="en-GB"/>
        </w:rPr>
        <w:tab/>
      </w:r>
      <w:r w:rsidRPr="00834B17">
        <w:rPr>
          <w:lang w:val="en-GB"/>
        </w:rPr>
        <w:tab/>
      </w:r>
      <w:r w:rsidRPr="00834B17">
        <w:rPr>
          <w:lang w:val="en-GB"/>
        </w:rPr>
        <w:tab/>
        <w:t xml:space="preserve">32 </w:t>
      </w:r>
      <w:proofErr w:type="spellStart"/>
      <w:r w:rsidRPr="00834B17">
        <w:rPr>
          <w:lang w:val="en-GB"/>
        </w:rPr>
        <w:t>dBi</w:t>
      </w:r>
      <w:proofErr w:type="spellEnd"/>
    </w:p>
    <w:p w:rsidR="00E221CE" w:rsidRPr="00834B17" w:rsidRDefault="00E221CE" w:rsidP="003B5044">
      <w:pPr>
        <w:jc w:val="left"/>
        <w:rPr>
          <w:lang w:val="en-GB"/>
        </w:rPr>
      </w:pPr>
      <w:r w:rsidRPr="00834B17">
        <w:rPr>
          <w:lang w:val="en-GB"/>
        </w:rPr>
        <w:t>Side lobe attenuation:</w:t>
      </w:r>
      <w:r w:rsidRPr="00834B17">
        <w:rPr>
          <w:lang w:val="en-GB"/>
        </w:rPr>
        <w:tab/>
      </w:r>
      <w:r w:rsidRPr="00834B17">
        <w:rPr>
          <w:lang w:val="en-GB"/>
        </w:rPr>
        <w:tab/>
      </w:r>
      <w:r w:rsidRPr="00834B17">
        <w:rPr>
          <w:lang w:val="en-GB"/>
        </w:rPr>
        <w:tab/>
        <w:t>&gt; 20 dB</w:t>
      </w:r>
    </w:p>
    <w:p w:rsidR="00E221CE" w:rsidRPr="00834B17" w:rsidRDefault="00E221CE" w:rsidP="003B5044">
      <w:pPr>
        <w:jc w:val="left"/>
        <w:rPr>
          <w:lang w:val="en-GB"/>
        </w:rPr>
      </w:pPr>
      <w:r w:rsidRPr="00834B17">
        <w:rPr>
          <w:lang w:val="en-GB"/>
        </w:rPr>
        <w:t>Spectrum mask:</w:t>
      </w:r>
      <w:r w:rsidRPr="00834B17">
        <w:rPr>
          <w:lang w:val="en-GB"/>
        </w:rPr>
        <w:tab/>
      </w:r>
      <w:r w:rsidRPr="00834B17">
        <w:rPr>
          <w:lang w:val="en-GB"/>
        </w:rPr>
        <w:tab/>
      </w:r>
      <w:r w:rsidRPr="00834B17">
        <w:rPr>
          <w:lang w:val="en-GB"/>
        </w:rPr>
        <w:tab/>
      </w:r>
      <w:r w:rsidRPr="00834B17">
        <w:rPr>
          <w:lang w:val="en-GB"/>
        </w:rPr>
        <w:tab/>
        <w:t xml:space="preserve">&lt; - 40 dB at </w:t>
      </w:r>
      <w:r w:rsidRPr="00834B17">
        <w:rPr>
          <w:rFonts w:cs="Arial"/>
          <w:lang w:val="en-GB"/>
        </w:rPr>
        <w:t>±</w:t>
      </w:r>
      <w:r w:rsidRPr="00834B17">
        <w:rPr>
          <w:lang w:val="en-GB"/>
        </w:rPr>
        <w:t xml:space="preserve"> 10 MHz</w:t>
      </w:r>
    </w:p>
    <w:p w:rsidR="003B5044" w:rsidRPr="00834B17" w:rsidRDefault="00E221CE" w:rsidP="003B5044">
      <w:pPr>
        <w:jc w:val="left"/>
        <w:rPr>
          <w:lang w:val="en-GB"/>
        </w:rPr>
      </w:pPr>
      <w:r w:rsidRPr="00834B17">
        <w:rPr>
          <w:lang w:val="en-GB"/>
        </w:rPr>
        <w:tab/>
      </w:r>
      <w:r w:rsidRPr="00834B17">
        <w:rPr>
          <w:lang w:val="en-GB"/>
        </w:rPr>
        <w:tab/>
      </w:r>
      <w:r w:rsidRPr="00834B17">
        <w:rPr>
          <w:lang w:val="en-GB"/>
        </w:rPr>
        <w:tab/>
      </w:r>
      <w:r w:rsidRPr="00834B17">
        <w:rPr>
          <w:lang w:val="en-GB"/>
        </w:rPr>
        <w:tab/>
      </w:r>
      <w:r w:rsidRPr="00834B17">
        <w:rPr>
          <w:lang w:val="en-GB"/>
        </w:rPr>
        <w:tab/>
      </w:r>
      <w:r w:rsidRPr="00834B17">
        <w:rPr>
          <w:lang w:val="en-GB"/>
        </w:rPr>
        <w:tab/>
        <w:t xml:space="preserve">&lt; - 60 dB at </w:t>
      </w:r>
      <w:r w:rsidRPr="00834B17">
        <w:rPr>
          <w:rFonts w:cs="Arial"/>
          <w:lang w:val="en-GB"/>
        </w:rPr>
        <w:t>±</w:t>
      </w:r>
      <w:r w:rsidRPr="00834B17">
        <w:rPr>
          <w:lang w:val="en-GB"/>
        </w:rPr>
        <w:t xml:space="preserve"> 20 MHz</w:t>
      </w:r>
    </w:p>
    <w:p w:rsidR="003B5044" w:rsidRPr="00834B17" w:rsidRDefault="003B5044" w:rsidP="003B5044">
      <w:pPr>
        <w:jc w:val="left"/>
        <w:rPr>
          <w:lang w:val="en-GB"/>
        </w:rPr>
      </w:pPr>
      <w:r w:rsidRPr="00834B17">
        <w:rPr>
          <w:lang w:val="en-GB"/>
        </w:rPr>
        <w:tab/>
      </w:r>
      <w:r w:rsidRPr="00834B17">
        <w:rPr>
          <w:lang w:val="en-GB"/>
        </w:rPr>
        <w:tab/>
      </w:r>
      <w:r w:rsidRPr="00834B17">
        <w:rPr>
          <w:lang w:val="en-GB"/>
        </w:rPr>
        <w:tab/>
      </w:r>
      <w:r w:rsidRPr="00834B17">
        <w:rPr>
          <w:lang w:val="en-GB"/>
        </w:rPr>
        <w:tab/>
      </w:r>
      <w:r w:rsidRPr="00834B17">
        <w:rPr>
          <w:lang w:val="en-GB"/>
        </w:rPr>
        <w:tab/>
      </w:r>
      <w:r w:rsidRPr="00834B17">
        <w:rPr>
          <w:lang w:val="en-GB"/>
        </w:rPr>
        <w:tab/>
        <w:t xml:space="preserve">2. </w:t>
      </w:r>
      <w:proofErr w:type="gramStart"/>
      <w:r w:rsidRPr="00834B17">
        <w:rPr>
          <w:lang w:val="en-GB"/>
        </w:rPr>
        <w:t>harmonic</w:t>
      </w:r>
      <w:proofErr w:type="gramEnd"/>
      <w:r w:rsidRPr="00834B17">
        <w:rPr>
          <w:lang w:val="en-GB"/>
        </w:rPr>
        <w:t xml:space="preserve">: &lt; - 60 </w:t>
      </w:r>
      <w:proofErr w:type="spellStart"/>
      <w:r w:rsidRPr="00834B17">
        <w:rPr>
          <w:lang w:val="en-GB"/>
        </w:rPr>
        <w:t>dBc</w:t>
      </w:r>
      <w:proofErr w:type="spellEnd"/>
    </w:p>
    <w:p w:rsidR="003B5044" w:rsidRPr="00834B17" w:rsidRDefault="003B5044" w:rsidP="003B5044">
      <w:pPr>
        <w:jc w:val="left"/>
        <w:rPr>
          <w:lang w:val="en-GB"/>
        </w:rPr>
      </w:pPr>
      <w:r w:rsidRPr="00834B17">
        <w:rPr>
          <w:lang w:val="en-GB"/>
        </w:rPr>
        <w:tab/>
      </w:r>
      <w:r w:rsidRPr="00834B17">
        <w:rPr>
          <w:lang w:val="en-GB"/>
        </w:rPr>
        <w:tab/>
      </w:r>
      <w:r w:rsidRPr="00834B17">
        <w:rPr>
          <w:lang w:val="en-GB"/>
        </w:rPr>
        <w:tab/>
      </w:r>
      <w:r w:rsidRPr="00834B17">
        <w:rPr>
          <w:lang w:val="en-GB"/>
        </w:rPr>
        <w:tab/>
      </w:r>
      <w:r w:rsidRPr="00834B17">
        <w:rPr>
          <w:lang w:val="en-GB"/>
        </w:rPr>
        <w:tab/>
      </w:r>
      <w:r w:rsidRPr="00834B17">
        <w:rPr>
          <w:lang w:val="en-GB"/>
        </w:rPr>
        <w:tab/>
        <w:t xml:space="preserve">3. </w:t>
      </w:r>
      <w:proofErr w:type="gramStart"/>
      <w:r w:rsidRPr="00834B17">
        <w:rPr>
          <w:lang w:val="en-GB"/>
        </w:rPr>
        <w:t>harmonic</w:t>
      </w:r>
      <w:proofErr w:type="gramEnd"/>
      <w:r w:rsidRPr="00834B17">
        <w:rPr>
          <w:lang w:val="en-GB"/>
        </w:rPr>
        <w:t>: &lt; - 70 dB</w:t>
      </w:r>
      <w:r w:rsidR="00E221CE" w:rsidRPr="00834B17">
        <w:rPr>
          <w:lang w:val="en-GB"/>
        </w:rPr>
        <w:tab/>
      </w:r>
    </w:p>
    <w:p w:rsidR="003B5044" w:rsidRPr="00834B17" w:rsidRDefault="003B5044" w:rsidP="003B5044">
      <w:pPr>
        <w:jc w:val="left"/>
        <w:rPr>
          <w:lang w:val="en-GB"/>
        </w:rPr>
      </w:pPr>
    </w:p>
    <w:p w:rsidR="003B5044" w:rsidRPr="00834B17" w:rsidRDefault="003B5044" w:rsidP="003B5044">
      <w:pPr>
        <w:jc w:val="left"/>
        <w:rPr>
          <w:lang w:val="en-GB"/>
        </w:rPr>
      </w:pPr>
      <w:r w:rsidRPr="00834B17">
        <w:rPr>
          <w:lang w:val="en-GB"/>
        </w:rPr>
        <w:t>Based on the Norwegian license, frequency license has also been issued by USA for use in the Gulf of Mexico.</w:t>
      </w:r>
    </w:p>
    <w:p w:rsidR="008F6E57" w:rsidRPr="00834B17" w:rsidRDefault="003B5044" w:rsidP="00A6268B">
      <w:pPr>
        <w:jc w:val="left"/>
        <w:rPr>
          <w:lang w:val="en-GB"/>
        </w:rPr>
      </w:pPr>
      <w:r w:rsidRPr="00834B17">
        <w:rPr>
          <w:lang w:val="en-GB"/>
        </w:rPr>
        <w:t>So far, the practical experience</w:t>
      </w:r>
      <w:r w:rsidR="00FA2562" w:rsidRPr="00834B17">
        <w:rPr>
          <w:lang w:val="en-GB"/>
        </w:rPr>
        <w:t>, although limited,</w:t>
      </w:r>
      <w:r w:rsidRPr="00834B17">
        <w:rPr>
          <w:lang w:val="en-GB"/>
        </w:rPr>
        <w:t xml:space="preserve"> is promising</w:t>
      </w:r>
      <w:r w:rsidR="00FA2562" w:rsidRPr="00834B17">
        <w:rPr>
          <w:lang w:val="en-GB"/>
        </w:rPr>
        <w:t xml:space="preserve"> and</w:t>
      </w:r>
      <w:r w:rsidRPr="00834B17">
        <w:rPr>
          <w:lang w:val="en-GB"/>
        </w:rPr>
        <w:t xml:space="preserve"> </w:t>
      </w:r>
      <w:r w:rsidR="008F6E57" w:rsidRPr="00834B17">
        <w:rPr>
          <w:lang w:val="en-GB"/>
        </w:rPr>
        <w:t>ha</w:t>
      </w:r>
      <w:r w:rsidR="00FA2562" w:rsidRPr="00834B17">
        <w:rPr>
          <w:lang w:val="en-GB"/>
        </w:rPr>
        <w:t>s</w:t>
      </w:r>
      <w:r w:rsidR="008F6E57" w:rsidRPr="00834B17">
        <w:rPr>
          <w:lang w:val="en-GB"/>
        </w:rPr>
        <w:t xml:space="preserve"> shown that the required data throughput and flexibility have been obtained under different </w:t>
      </w:r>
      <w:r w:rsidR="00FA2562" w:rsidRPr="00834B17">
        <w:rPr>
          <w:lang w:val="en-GB"/>
        </w:rPr>
        <w:t xml:space="preserve">operational </w:t>
      </w:r>
      <w:r w:rsidR="008F6E57" w:rsidRPr="00834B17">
        <w:rPr>
          <w:lang w:val="en-GB"/>
        </w:rPr>
        <w:t>conditions</w:t>
      </w:r>
      <w:r w:rsidR="00FA2562" w:rsidRPr="00834B17">
        <w:rPr>
          <w:lang w:val="en-GB"/>
        </w:rPr>
        <w:t>.</w:t>
      </w:r>
    </w:p>
    <w:sectPr w:rsidR="008F6E57" w:rsidRPr="00834B17" w:rsidSect="008F677F">
      <w:footerReference w:type="even" r:id="rId8"/>
      <w:footerReference w:type="default" r:id="rId9"/>
      <w:pgSz w:w="11907" w:h="16840" w:code="9"/>
      <w:pgMar w:top="1134" w:right="1275" w:bottom="1134" w:left="1276"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D5E" w:rsidRDefault="00993D5E">
      <w:r>
        <w:separator/>
      </w:r>
    </w:p>
  </w:endnote>
  <w:endnote w:type="continuationSeparator" w:id="0">
    <w:p w:rsidR="00993D5E" w:rsidRDefault="00993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17" w:rsidRDefault="00156514">
    <w:pPr>
      <w:framePr w:wrap="around" w:vAnchor="text" w:hAnchor="margin" w:xAlign="center" w:y="1"/>
      <w:rPr>
        <w:rStyle w:val="a7"/>
      </w:rPr>
    </w:pPr>
    <w:r>
      <w:rPr>
        <w:rStyle w:val="a7"/>
      </w:rPr>
      <w:fldChar w:fldCharType="begin"/>
    </w:r>
    <w:r w:rsidR="00834B17">
      <w:rPr>
        <w:rStyle w:val="a7"/>
      </w:rPr>
      <w:instrText xml:space="preserve">PAGE  </w:instrText>
    </w:r>
    <w:r>
      <w:rPr>
        <w:rStyle w:val="a7"/>
      </w:rPr>
      <w:fldChar w:fldCharType="end"/>
    </w:r>
  </w:p>
  <w:p w:rsidR="00834B17" w:rsidRDefault="00834B1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17" w:rsidRDefault="00156514">
    <w:pPr>
      <w:framePr w:wrap="around" w:vAnchor="text" w:hAnchor="margin" w:xAlign="center" w:y="1"/>
      <w:rPr>
        <w:rStyle w:val="a7"/>
        <w:sz w:val="20"/>
      </w:rPr>
    </w:pPr>
    <w:r>
      <w:rPr>
        <w:rStyle w:val="a7"/>
        <w:sz w:val="20"/>
      </w:rPr>
      <w:fldChar w:fldCharType="begin"/>
    </w:r>
    <w:r w:rsidR="00834B17">
      <w:rPr>
        <w:rStyle w:val="a7"/>
        <w:sz w:val="20"/>
      </w:rPr>
      <w:instrText xml:space="preserve">PAGE  </w:instrText>
    </w:r>
    <w:r>
      <w:rPr>
        <w:rStyle w:val="a7"/>
        <w:sz w:val="20"/>
      </w:rPr>
      <w:fldChar w:fldCharType="separate"/>
    </w:r>
    <w:r w:rsidR="008E738F">
      <w:rPr>
        <w:rStyle w:val="a7"/>
        <w:noProof/>
        <w:sz w:val="20"/>
      </w:rPr>
      <w:t>3</w:t>
    </w:r>
    <w:r>
      <w:rPr>
        <w:rStyle w:val="a7"/>
        <w:sz w:val="20"/>
      </w:rPr>
      <w:fldChar w:fldCharType="end"/>
    </w:r>
  </w:p>
  <w:p w:rsidR="00834B17" w:rsidRDefault="00834B1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D5E" w:rsidRDefault="00993D5E">
      <w:r>
        <w:separator/>
      </w:r>
    </w:p>
  </w:footnote>
  <w:footnote w:type="continuationSeparator" w:id="0">
    <w:p w:rsidR="00993D5E" w:rsidRDefault="00993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proofState w:spelling="clean" w:grammar="clean"/>
  <w:attachedTemplate r:id="rId1"/>
  <w:stylePaneFormatFilter w:val="3F01"/>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530DAD"/>
    <w:rsid w:val="000233C6"/>
    <w:rsid w:val="00033112"/>
    <w:rsid w:val="000364E2"/>
    <w:rsid w:val="00042E6D"/>
    <w:rsid w:val="000641A7"/>
    <w:rsid w:val="00086867"/>
    <w:rsid w:val="000946E3"/>
    <w:rsid w:val="00095D52"/>
    <w:rsid w:val="0009603E"/>
    <w:rsid w:val="00097E34"/>
    <w:rsid w:val="000B0905"/>
    <w:rsid w:val="000D0F3C"/>
    <w:rsid w:val="000D297C"/>
    <w:rsid w:val="000E346F"/>
    <w:rsid w:val="000F1373"/>
    <w:rsid w:val="00106047"/>
    <w:rsid w:val="00113B49"/>
    <w:rsid w:val="00135FE7"/>
    <w:rsid w:val="00156514"/>
    <w:rsid w:val="00161D26"/>
    <w:rsid w:val="00162CBB"/>
    <w:rsid w:val="0016435A"/>
    <w:rsid w:val="001E0E49"/>
    <w:rsid w:val="001F2614"/>
    <w:rsid w:val="00215746"/>
    <w:rsid w:val="00222F7B"/>
    <w:rsid w:val="00235FA8"/>
    <w:rsid w:val="00260D98"/>
    <w:rsid w:val="0026766F"/>
    <w:rsid w:val="00277BC1"/>
    <w:rsid w:val="0028051D"/>
    <w:rsid w:val="00294331"/>
    <w:rsid w:val="002A02A3"/>
    <w:rsid w:val="002B169D"/>
    <w:rsid w:val="002B47FC"/>
    <w:rsid w:val="002B683F"/>
    <w:rsid w:val="00314E5E"/>
    <w:rsid w:val="00346C62"/>
    <w:rsid w:val="00356C52"/>
    <w:rsid w:val="00357A5F"/>
    <w:rsid w:val="0039030E"/>
    <w:rsid w:val="003A57CC"/>
    <w:rsid w:val="003B1654"/>
    <w:rsid w:val="003B5044"/>
    <w:rsid w:val="003C2268"/>
    <w:rsid w:val="003C4848"/>
    <w:rsid w:val="003C53D0"/>
    <w:rsid w:val="003E76E9"/>
    <w:rsid w:val="003F73E2"/>
    <w:rsid w:val="004002F7"/>
    <w:rsid w:val="00405CED"/>
    <w:rsid w:val="004067F5"/>
    <w:rsid w:val="00416752"/>
    <w:rsid w:val="0042630F"/>
    <w:rsid w:val="00430369"/>
    <w:rsid w:val="00431D12"/>
    <w:rsid w:val="004369DC"/>
    <w:rsid w:val="00443C40"/>
    <w:rsid w:val="004648A4"/>
    <w:rsid w:val="004662F9"/>
    <w:rsid w:val="00486369"/>
    <w:rsid w:val="00493F86"/>
    <w:rsid w:val="004A099D"/>
    <w:rsid w:val="004A47FF"/>
    <w:rsid w:val="004B23D3"/>
    <w:rsid w:val="004C2542"/>
    <w:rsid w:val="004D47E5"/>
    <w:rsid w:val="004F061E"/>
    <w:rsid w:val="004F2824"/>
    <w:rsid w:val="004F2E89"/>
    <w:rsid w:val="005269EA"/>
    <w:rsid w:val="0053015C"/>
    <w:rsid w:val="00530DAD"/>
    <w:rsid w:val="00533846"/>
    <w:rsid w:val="005348B2"/>
    <w:rsid w:val="005434C4"/>
    <w:rsid w:val="00554550"/>
    <w:rsid w:val="005549FF"/>
    <w:rsid w:val="00562E1E"/>
    <w:rsid w:val="005761BB"/>
    <w:rsid w:val="005F1C1F"/>
    <w:rsid w:val="00616265"/>
    <w:rsid w:val="0063524D"/>
    <w:rsid w:val="006542C3"/>
    <w:rsid w:val="0065588F"/>
    <w:rsid w:val="00664805"/>
    <w:rsid w:val="00667CFC"/>
    <w:rsid w:val="00684589"/>
    <w:rsid w:val="006845C9"/>
    <w:rsid w:val="006902F9"/>
    <w:rsid w:val="00690B4B"/>
    <w:rsid w:val="0069180A"/>
    <w:rsid w:val="006C1C8C"/>
    <w:rsid w:val="006C4BCC"/>
    <w:rsid w:val="006C5F8E"/>
    <w:rsid w:val="006D1EAC"/>
    <w:rsid w:val="006E1FA9"/>
    <w:rsid w:val="006E6D17"/>
    <w:rsid w:val="0070740D"/>
    <w:rsid w:val="007538DB"/>
    <w:rsid w:val="0075560F"/>
    <w:rsid w:val="00782F34"/>
    <w:rsid w:val="007925CA"/>
    <w:rsid w:val="00793843"/>
    <w:rsid w:val="007A1831"/>
    <w:rsid w:val="007A49AD"/>
    <w:rsid w:val="007E75C0"/>
    <w:rsid w:val="00802521"/>
    <w:rsid w:val="00803AAD"/>
    <w:rsid w:val="00807AA2"/>
    <w:rsid w:val="00807F54"/>
    <w:rsid w:val="00820168"/>
    <w:rsid w:val="00834B17"/>
    <w:rsid w:val="00884205"/>
    <w:rsid w:val="008A37BA"/>
    <w:rsid w:val="008C0B76"/>
    <w:rsid w:val="008D2718"/>
    <w:rsid w:val="008D763E"/>
    <w:rsid w:val="008E738F"/>
    <w:rsid w:val="008F33D5"/>
    <w:rsid w:val="008F5596"/>
    <w:rsid w:val="008F5ECB"/>
    <w:rsid w:val="008F677F"/>
    <w:rsid w:val="008F6E57"/>
    <w:rsid w:val="0095049D"/>
    <w:rsid w:val="009852E6"/>
    <w:rsid w:val="0098621D"/>
    <w:rsid w:val="00993D5E"/>
    <w:rsid w:val="00997A4D"/>
    <w:rsid w:val="009B3CB6"/>
    <w:rsid w:val="009C2186"/>
    <w:rsid w:val="009C2F3B"/>
    <w:rsid w:val="009D242F"/>
    <w:rsid w:val="00A024A8"/>
    <w:rsid w:val="00A477F3"/>
    <w:rsid w:val="00A6268B"/>
    <w:rsid w:val="00A704B6"/>
    <w:rsid w:val="00A77E89"/>
    <w:rsid w:val="00A81538"/>
    <w:rsid w:val="00A878E5"/>
    <w:rsid w:val="00A87C8C"/>
    <w:rsid w:val="00A95309"/>
    <w:rsid w:val="00AA26E7"/>
    <w:rsid w:val="00AA3CFD"/>
    <w:rsid w:val="00AA59E8"/>
    <w:rsid w:val="00AC0304"/>
    <w:rsid w:val="00AC345D"/>
    <w:rsid w:val="00AC523A"/>
    <w:rsid w:val="00AD241F"/>
    <w:rsid w:val="00AE31B0"/>
    <w:rsid w:val="00AE7906"/>
    <w:rsid w:val="00B0161E"/>
    <w:rsid w:val="00B01997"/>
    <w:rsid w:val="00B1073A"/>
    <w:rsid w:val="00B1660B"/>
    <w:rsid w:val="00B33AFA"/>
    <w:rsid w:val="00B6512A"/>
    <w:rsid w:val="00B70CD3"/>
    <w:rsid w:val="00B90507"/>
    <w:rsid w:val="00BC2918"/>
    <w:rsid w:val="00BE4CC9"/>
    <w:rsid w:val="00BF2999"/>
    <w:rsid w:val="00BF3317"/>
    <w:rsid w:val="00BF61C9"/>
    <w:rsid w:val="00C1269E"/>
    <w:rsid w:val="00C154C2"/>
    <w:rsid w:val="00C16E1B"/>
    <w:rsid w:val="00C309B1"/>
    <w:rsid w:val="00C43796"/>
    <w:rsid w:val="00C47BE9"/>
    <w:rsid w:val="00C5418E"/>
    <w:rsid w:val="00C57EA8"/>
    <w:rsid w:val="00C60D46"/>
    <w:rsid w:val="00C62218"/>
    <w:rsid w:val="00C75E0E"/>
    <w:rsid w:val="00C82BC5"/>
    <w:rsid w:val="00CB0BBB"/>
    <w:rsid w:val="00CD4FA2"/>
    <w:rsid w:val="00CD51FD"/>
    <w:rsid w:val="00CE1BA4"/>
    <w:rsid w:val="00CE40EE"/>
    <w:rsid w:val="00CE6591"/>
    <w:rsid w:val="00D004D0"/>
    <w:rsid w:val="00D00B4F"/>
    <w:rsid w:val="00D14191"/>
    <w:rsid w:val="00D14C74"/>
    <w:rsid w:val="00D1599E"/>
    <w:rsid w:val="00D34708"/>
    <w:rsid w:val="00D53B5D"/>
    <w:rsid w:val="00D671A5"/>
    <w:rsid w:val="00DD08BA"/>
    <w:rsid w:val="00DE5E01"/>
    <w:rsid w:val="00DF2A80"/>
    <w:rsid w:val="00E221CE"/>
    <w:rsid w:val="00E232D3"/>
    <w:rsid w:val="00E2796D"/>
    <w:rsid w:val="00E27C6A"/>
    <w:rsid w:val="00E40873"/>
    <w:rsid w:val="00E561B8"/>
    <w:rsid w:val="00E577A4"/>
    <w:rsid w:val="00E652D8"/>
    <w:rsid w:val="00E765E4"/>
    <w:rsid w:val="00E879F4"/>
    <w:rsid w:val="00E87AEF"/>
    <w:rsid w:val="00E93323"/>
    <w:rsid w:val="00E95CFE"/>
    <w:rsid w:val="00E9697A"/>
    <w:rsid w:val="00E97BD1"/>
    <w:rsid w:val="00EB4BBE"/>
    <w:rsid w:val="00EB4D6F"/>
    <w:rsid w:val="00ED522B"/>
    <w:rsid w:val="00EE07DC"/>
    <w:rsid w:val="00EE6D93"/>
    <w:rsid w:val="00EF1568"/>
    <w:rsid w:val="00EF30F5"/>
    <w:rsid w:val="00F05B26"/>
    <w:rsid w:val="00F22950"/>
    <w:rsid w:val="00F311FB"/>
    <w:rsid w:val="00F37A73"/>
    <w:rsid w:val="00F43BE8"/>
    <w:rsid w:val="00F53012"/>
    <w:rsid w:val="00F53959"/>
    <w:rsid w:val="00FA15BA"/>
    <w:rsid w:val="00FA2004"/>
    <w:rsid w:val="00FA2562"/>
    <w:rsid w:val="00FA6EBF"/>
    <w:rsid w:val="00FA7FC5"/>
    <w:rsid w:val="00FD0B6D"/>
    <w:rsid w:val="00FD7E46"/>
    <w:rsid w:val="00FE1DCB"/>
    <w:rsid w:val="00FE61C8"/>
    <w:rsid w:val="00FF320E"/>
    <w:rsid w:val="00FF3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3D5"/>
    <w:pPr>
      <w:spacing w:after="120"/>
      <w:jc w:val="both"/>
    </w:pPr>
    <w:rPr>
      <w:rFonts w:ascii="Arial" w:hAnsi="Arial"/>
      <w:sz w:val="22"/>
      <w:lang w:eastAsia="de-DE"/>
    </w:rPr>
  </w:style>
  <w:style w:type="paragraph" w:styleId="1">
    <w:name w:val="heading 1"/>
    <w:basedOn w:val="a"/>
    <w:next w:val="a"/>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2">
    <w:name w:val="heading 2"/>
    <w:basedOn w:val="1"/>
    <w:next w:val="a"/>
    <w:qFormat/>
    <w:rsid w:val="00D004D0"/>
    <w:pPr>
      <w:numPr>
        <w:ilvl w:val="1"/>
      </w:numPr>
      <w:tabs>
        <w:tab w:val="clear" w:pos="576"/>
      </w:tabs>
      <w:spacing w:before="120"/>
      <w:ind w:left="851" w:hanging="851"/>
      <w:outlineLvl w:val="1"/>
    </w:pPr>
    <w:rPr>
      <w:sz w:val="24"/>
    </w:rPr>
  </w:style>
  <w:style w:type="paragraph" w:styleId="3">
    <w:name w:val="heading 3"/>
    <w:basedOn w:val="2"/>
    <w:next w:val="a"/>
    <w:qFormat/>
    <w:rsid w:val="00D004D0"/>
    <w:pPr>
      <w:numPr>
        <w:ilvl w:val="2"/>
      </w:numPr>
      <w:tabs>
        <w:tab w:val="clear" w:pos="720"/>
      </w:tabs>
      <w:ind w:left="851" w:hanging="851"/>
      <w:outlineLvl w:val="2"/>
    </w:pPr>
    <w:rPr>
      <w:i/>
      <w:sz w:val="22"/>
    </w:rPr>
  </w:style>
  <w:style w:type="paragraph" w:styleId="4">
    <w:name w:val="heading 4"/>
    <w:basedOn w:val="a"/>
    <w:next w:val="a"/>
    <w:qFormat/>
    <w:rsid w:val="00D004D0"/>
    <w:pPr>
      <w:numPr>
        <w:ilvl w:val="3"/>
        <w:numId w:val="3"/>
      </w:numPr>
      <w:outlineLvl w:val="3"/>
    </w:pPr>
    <w:rPr>
      <w:u w:val="single"/>
    </w:rPr>
  </w:style>
  <w:style w:type="paragraph" w:styleId="5">
    <w:name w:val="heading 5"/>
    <w:basedOn w:val="a"/>
    <w:next w:val="a"/>
    <w:qFormat/>
    <w:rsid w:val="00D004D0"/>
    <w:pPr>
      <w:numPr>
        <w:ilvl w:val="4"/>
        <w:numId w:val="3"/>
      </w:numPr>
      <w:outlineLvl w:val="4"/>
    </w:pPr>
    <w:rPr>
      <w:b/>
      <w:sz w:val="20"/>
    </w:rPr>
  </w:style>
  <w:style w:type="paragraph" w:styleId="6">
    <w:name w:val="heading 6"/>
    <w:basedOn w:val="a"/>
    <w:next w:val="a"/>
    <w:qFormat/>
    <w:rsid w:val="00D004D0"/>
    <w:pPr>
      <w:numPr>
        <w:ilvl w:val="5"/>
        <w:numId w:val="3"/>
      </w:numPr>
      <w:outlineLvl w:val="5"/>
    </w:pPr>
    <w:rPr>
      <w:sz w:val="20"/>
      <w:u w:val="single"/>
    </w:rPr>
  </w:style>
  <w:style w:type="paragraph" w:styleId="7">
    <w:name w:val="heading 7"/>
    <w:basedOn w:val="a"/>
    <w:next w:val="a"/>
    <w:qFormat/>
    <w:rsid w:val="00D004D0"/>
    <w:pPr>
      <w:numPr>
        <w:ilvl w:val="6"/>
        <w:numId w:val="3"/>
      </w:numPr>
      <w:outlineLvl w:val="6"/>
    </w:pPr>
    <w:rPr>
      <w:i/>
      <w:sz w:val="20"/>
    </w:rPr>
  </w:style>
  <w:style w:type="paragraph" w:styleId="8">
    <w:name w:val="heading 8"/>
    <w:basedOn w:val="a"/>
    <w:next w:val="a"/>
    <w:qFormat/>
    <w:rsid w:val="00D004D0"/>
    <w:pPr>
      <w:numPr>
        <w:ilvl w:val="7"/>
        <w:numId w:val="3"/>
      </w:numPr>
      <w:outlineLvl w:val="7"/>
    </w:pPr>
    <w:rPr>
      <w:i/>
      <w:sz w:val="20"/>
    </w:rPr>
  </w:style>
  <w:style w:type="paragraph" w:styleId="9">
    <w:name w:val="heading 9"/>
    <w:basedOn w:val="a"/>
    <w:next w:val="a"/>
    <w:qFormat/>
    <w:rsid w:val="00D004D0"/>
    <w:pPr>
      <w:numPr>
        <w:ilvl w:val="8"/>
        <w:numId w:val="3"/>
      </w:numPr>
      <w:outlineLvl w:val="8"/>
    </w:pPr>
    <w:rPr>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8621D"/>
    <w:pPr>
      <w:tabs>
        <w:tab w:val="center" w:pos="4536"/>
        <w:tab w:val="right" w:pos="9072"/>
      </w:tabs>
      <w:spacing w:after="0"/>
      <w:jc w:val="left"/>
    </w:pPr>
    <w:rPr>
      <w:b/>
    </w:rPr>
  </w:style>
  <w:style w:type="paragraph" w:styleId="a4">
    <w:name w:val="List"/>
    <w:basedOn w:val="a"/>
    <w:rsid w:val="00135FE7"/>
    <w:pPr>
      <w:tabs>
        <w:tab w:val="left" w:pos="1418"/>
      </w:tabs>
      <w:ind w:left="1418" w:hanging="567"/>
    </w:pPr>
  </w:style>
  <w:style w:type="paragraph" w:customStyle="1" w:styleId="Topptekst1">
    <w:name w:val="Topptekst1"/>
    <w:basedOn w:val="a3"/>
    <w:rsid w:val="00215746"/>
  </w:style>
  <w:style w:type="character" w:styleId="a5">
    <w:name w:val="footnote reference"/>
    <w:semiHidden/>
    <w:rsid w:val="00E97BD1"/>
    <w:rPr>
      <w:position w:val="6"/>
      <w:sz w:val="16"/>
    </w:rPr>
  </w:style>
  <w:style w:type="paragraph" w:styleId="a6">
    <w:name w:val="footnote text"/>
    <w:basedOn w:val="a"/>
    <w:semiHidden/>
    <w:rsid w:val="00E97BD1"/>
    <w:rPr>
      <w:sz w:val="20"/>
    </w:rPr>
  </w:style>
  <w:style w:type="character" w:styleId="a7">
    <w:name w:val="page number"/>
    <w:basedOn w:val="a0"/>
    <w:rsid w:val="00E97BD1"/>
  </w:style>
  <w:style w:type="paragraph" w:styleId="a8">
    <w:name w:val="Document Map"/>
    <w:basedOn w:val="a"/>
    <w:semiHidden/>
    <w:rsid w:val="00E97BD1"/>
    <w:pPr>
      <w:shd w:val="clear" w:color="auto" w:fill="000080"/>
    </w:pPr>
    <w:rPr>
      <w:rFonts w:ascii="Tahoma" w:hAnsi="Tahoma"/>
    </w:rPr>
  </w:style>
  <w:style w:type="paragraph" w:styleId="a9">
    <w:name w:val="table of figures"/>
    <w:basedOn w:val="a"/>
    <w:next w:val="a"/>
    <w:semiHidden/>
    <w:rsid w:val="00E97BD1"/>
    <w:pPr>
      <w:ind w:left="400" w:hanging="400"/>
    </w:pPr>
    <w:rPr>
      <w:sz w:val="20"/>
      <w:lang w:val="de-DE"/>
    </w:rPr>
  </w:style>
  <w:style w:type="paragraph" w:styleId="aa">
    <w:name w:val="Title"/>
    <w:basedOn w:val="a"/>
    <w:qFormat/>
    <w:rsid w:val="00B70CD3"/>
    <w:pPr>
      <w:jc w:val="center"/>
    </w:pPr>
    <w:rPr>
      <w:b/>
      <w:sz w:val="28"/>
      <w:lang w:val="de-DE"/>
    </w:rPr>
  </w:style>
  <w:style w:type="paragraph" w:customStyle="1" w:styleId="Kasten">
    <w:name w:val="Kasten"/>
    <w:basedOn w:val="a"/>
    <w:rsid w:val="000641A7"/>
    <w:pPr>
      <w:pBdr>
        <w:top w:val="single" w:sz="12" w:space="1" w:color="auto"/>
        <w:left w:val="single" w:sz="12" w:space="4" w:color="auto"/>
        <w:bottom w:val="single" w:sz="12" w:space="1" w:color="auto"/>
        <w:right w:val="single" w:sz="12" w:space="4" w:color="auto"/>
      </w:pBdr>
    </w:pPr>
  </w:style>
  <w:style w:type="character" w:styleId="ab">
    <w:name w:val="Hyperlink"/>
    <w:rsid w:val="003C53D0"/>
    <w:rPr>
      <w:color w:val="0000FF"/>
      <w:u w:val="single"/>
    </w:rPr>
  </w:style>
  <w:style w:type="paragraph" w:customStyle="1" w:styleId="Note">
    <w:name w:val="Note"/>
    <w:basedOn w:val="a"/>
    <w:next w:val="a"/>
    <w:rsid w:val="00DE5E01"/>
    <w:pPr>
      <w:tabs>
        <w:tab w:val="left" w:pos="851"/>
      </w:tabs>
      <w:ind w:left="851" w:hanging="851"/>
    </w:pPr>
    <w:rPr>
      <w:b/>
      <w:lang w:val="en-GB"/>
    </w:rPr>
  </w:style>
  <w:style w:type="paragraph" w:customStyle="1" w:styleId="Header1">
    <w:name w:val="Header1"/>
    <w:basedOn w:val="a3"/>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ac">
    <w:name w:val="Balloon Text"/>
    <w:basedOn w:val="a"/>
    <w:link w:val="ad"/>
    <w:rsid w:val="00235FA8"/>
    <w:pPr>
      <w:spacing w:after="0"/>
    </w:pPr>
    <w:rPr>
      <w:rFonts w:ascii="Tahoma" w:hAnsi="Tahoma" w:cs="Tahoma"/>
      <w:sz w:val="16"/>
      <w:szCs w:val="16"/>
    </w:rPr>
  </w:style>
  <w:style w:type="character" w:customStyle="1" w:styleId="ad">
    <w:name w:val="Текст выноски Знак"/>
    <w:basedOn w:val="a0"/>
    <w:link w:val="ac"/>
    <w:rsid w:val="00235FA8"/>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eastAsia="de-DE"/>
    </w:rPr>
  </w:style>
  <w:style w:type="paragraph" w:styleId="Overskrift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Overskrift2">
    <w:name w:val="heading 2"/>
    <w:basedOn w:val="Overskrift1"/>
    <w:next w:val="Normal"/>
    <w:qFormat/>
    <w:rsid w:val="00D004D0"/>
    <w:pPr>
      <w:numPr>
        <w:ilvl w:val="1"/>
      </w:numPr>
      <w:tabs>
        <w:tab w:val="clear" w:pos="576"/>
      </w:tabs>
      <w:spacing w:before="120"/>
      <w:ind w:left="851" w:hanging="851"/>
      <w:outlineLvl w:val="1"/>
    </w:pPr>
    <w:rPr>
      <w:sz w:val="24"/>
    </w:rPr>
  </w:style>
  <w:style w:type="paragraph" w:styleId="Overskrift3">
    <w:name w:val="heading 3"/>
    <w:basedOn w:val="Overskrift2"/>
    <w:next w:val="Normal"/>
    <w:qFormat/>
    <w:rsid w:val="00D004D0"/>
    <w:pPr>
      <w:numPr>
        <w:ilvl w:val="2"/>
      </w:numPr>
      <w:tabs>
        <w:tab w:val="clear" w:pos="720"/>
      </w:tabs>
      <w:ind w:left="851" w:hanging="851"/>
      <w:outlineLvl w:val="2"/>
    </w:pPr>
    <w:rPr>
      <w:i/>
      <w:sz w:val="22"/>
    </w:rPr>
  </w:style>
  <w:style w:type="paragraph" w:styleId="Overskrift4">
    <w:name w:val="heading 4"/>
    <w:basedOn w:val="Normal"/>
    <w:next w:val="Normal"/>
    <w:qFormat/>
    <w:rsid w:val="00D004D0"/>
    <w:pPr>
      <w:numPr>
        <w:ilvl w:val="3"/>
        <w:numId w:val="3"/>
      </w:numPr>
      <w:outlineLvl w:val="3"/>
    </w:pPr>
    <w:rPr>
      <w:u w:val="single"/>
    </w:rPr>
  </w:style>
  <w:style w:type="paragraph" w:styleId="Overskrift5">
    <w:name w:val="heading 5"/>
    <w:basedOn w:val="Normal"/>
    <w:next w:val="Normal"/>
    <w:qFormat/>
    <w:rsid w:val="00D004D0"/>
    <w:pPr>
      <w:numPr>
        <w:ilvl w:val="4"/>
        <w:numId w:val="3"/>
      </w:numPr>
      <w:outlineLvl w:val="4"/>
    </w:pPr>
    <w:rPr>
      <w:b/>
      <w:sz w:val="20"/>
    </w:rPr>
  </w:style>
  <w:style w:type="paragraph" w:styleId="Overskrift6">
    <w:name w:val="heading 6"/>
    <w:basedOn w:val="Normal"/>
    <w:next w:val="Normal"/>
    <w:qFormat/>
    <w:rsid w:val="00D004D0"/>
    <w:pPr>
      <w:numPr>
        <w:ilvl w:val="5"/>
        <w:numId w:val="3"/>
      </w:numPr>
      <w:outlineLvl w:val="5"/>
    </w:pPr>
    <w:rPr>
      <w:sz w:val="20"/>
      <w:u w:val="single"/>
    </w:rPr>
  </w:style>
  <w:style w:type="paragraph" w:styleId="Overskrift7">
    <w:name w:val="heading 7"/>
    <w:basedOn w:val="Normal"/>
    <w:next w:val="Normal"/>
    <w:qFormat/>
    <w:rsid w:val="00D004D0"/>
    <w:pPr>
      <w:numPr>
        <w:ilvl w:val="6"/>
        <w:numId w:val="3"/>
      </w:numPr>
      <w:outlineLvl w:val="6"/>
    </w:pPr>
    <w:rPr>
      <w:i/>
      <w:sz w:val="20"/>
    </w:rPr>
  </w:style>
  <w:style w:type="paragraph" w:styleId="Overskrift8">
    <w:name w:val="heading 8"/>
    <w:basedOn w:val="Normal"/>
    <w:next w:val="Normal"/>
    <w:qFormat/>
    <w:rsid w:val="00D004D0"/>
    <w:pPr>
      <w:numPr>
        <w:ilvl w:val="7"/>
        <w:numId w:val="3"/>
      </w:numPr>
      <w:outlineLvl w:val="7"/>
    </w:pPr>
    <w:rPr>
      <w:i/>
      <w:sz w:val="20"/>
    </w:rPr>
  </w:style>
  <w:style w:type="paragraph" w:styleId="Overskrift9">
    <w:name w:val="heading 9"/>
    <w:basedOn w:val="Normal"/>
    <w:next w:val="Normal"/>
    <w:qFormat/>
    <w:rsid w:val="00D004D0"/>
    <w:pPr>
      <w:numPr>
        <w:ilvl w:val="8"/>
        <w:numId w:val="3"/>
      </w:numPr>
      <w:outlineLvl w:val="8"/>
    </w:pPr>
    <w:rPr>
      <w:i/>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Topptekst1">
    <w:name w:val="Topptekst1"/>
    <w:basedOn w:val="Topptekst"/>
    <w:rsid w:val="00215746"/>
  </w:style>
  <w:style w:type="character" w:styleId="Fotnotereferanse">
    <w:name w:val="footnote reference"/>
    <w:semiHidden/>
    <w:rsid w:val="00E97BD1"/>
    <w:rPr>
      <w:position w:val="6"/>
      <w:sz w:val="16"/>
    </w:rPr>
  </w:style>
  <w:style w:type="paragraph" w:styleId="Fotnotetekst">
    <w:name w:val="footnote text"/>
    <w:basedOn w:val="Normal"/>
    <w:semiHidden/>
    <w:rsid w:val="00E97BD1"/>
    <w:rPr>
      <w:sz w:val="20"/>
    </w:rPr>
  </w:style>
  <w:style w:type="character" w:styleId="Sidetall">
    <w:name w:val="page number"/>
    <w:basedOn w:val="Standardskriftforavsnitt"/>
    <w:rsid w:val="00E97BD1"/>
  </w:style>
  <w:style w:type="paragraph" w:styleId="Dokumentkart">
    <w:name w:val="Document Map"/>
    <w:basedOn w:val="Normal"/>
    <w:semiHidden/>
    <w:rsid w:val="00E97BD1"/>
    <w:pPr>
      <w:shd w:val="clear" w:color="auto" w:fill="000080"/>
    </w:pPr>
    <w:rPr>
      <w:rFonts w:ascii="Tahoma" w:hAnsi="Tahoma"/>
    </w:rPr>
  </w:style>
  <w:style w:type="paragraph" w:styleId="Figurliste">
    <w:name w:val="table of figures"/>
    <w:basedOn w:val="Normal"/>
    <w:next w:val="Normal"/>
    <w:semiHidden/>
    <w:rsid w:val="00E97BD1"/>
    <w:pPr>
      <w:ind w:left="400" w:hanging="400"/>
    </w:pPr>
    <w:rPr>
      <w:sz w:val="20"/>
      <w:lang w:val="de-DE"/>
    </w:rPr>
  </w:style>
  <w:style w:type="paragraph" w:styleId="Tittel">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kobling">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Topptekst"/>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Bobletekst">
    <w:name w:val="Balloon Text"/>
    <w:basedOn w:val="Normal"/>
    <w:link w:val="BobletekstTegn"/>
    <w:rsid w:val="00235FA8"/>
    <w:pPr>
      <w:spacing w:after="0"/>
    </w:pPr>
    <w:rPr>
      <w:rFonts w:ascii="Tahoma" w:hAnsi="Tahoma" w:cs="Tahoma"/>
      <w:sz w:val="16"/>
      <w:szCs w:val="16"/>
    </w:rPr>
  </w:style>
  <w:style w:type="character" w:customStyle="1" w:styleId="BobletekstTegn">
    <w:name w:val="Bobletekst Tegn"/>
    <w:basedOn w:val="Standardskriftforavsnitt"/>
    <w:link w:val="Bobletekst"/>
    <w:rsid w:val="00235FA8"/>
    <w:rPr>
      <w:rFonts w:ascii="Tahoma"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0;%20&#1076;&#1086;&#1082;&#1091;&#1084;&#1077;&#1085;&#1090;&#1099;\WG%20FM\WGFM73_Lille_France_October_2011\Input%20Documents\&#1058;&#1086;&#1083;&#1100;&#1082;&#1086;%20&#1095;&#1090;&#1086;%20&#1087;&#1086;&#1083;&#1091;&#1095;&#1077;&#1085;&#1085;&#1099;&#1077;\19%20&#1089;&#1077;&#1085;&#1090;&#1103;&#1073;&#1088;&#1103;\ECC%20Template%20for%20WGFM%20Contribution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 for WGFM Contributions</Template>
  <TotalTime>5</TotalTime>
  <Pages>3</Pages>
  <Words>1227</Words>
  <Characters>6994</Characters>
  <Application>Microsoft Office Word</Application>
  <DocSecurity>0</DocSecurity>
  <Lines>58</Lines>
  <Paragraphs>16</Paragraphs>
  <ScaleCrop>false</ScaleCrop>
  <HeadingPairs>
    <vt:vector size="6" baseType="variant">
      <vt:variant>
        <vt:lpstr>Tittel</vt:lpstr>
      </vt:variant>
      <vt:variant>
        <vt:i4>1</vt:i4>
      </vt:variant>
      <vt:variant>
        <vt:lpstr>Название</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shurakhov</dc:creator>
  <cp:keywords>ECC, CEPT, Template</cp:keywords>
  <cp:lastModifiedBy>Nadezhda</cp:lastModifiedBy>
  <cp:revision>6</cp:revision>
  <cp:lastPrinted>2012-04-16T12:30:00Z</cp:lastPrinted>
  <dcterms:created xsi:type="dcterms:W3CDTF">2012-04-26T12:31:00Z</dcterms:created>
  <dcterms:modified xsi:type="dcterms:W3CDTF">2012-04-27T09:05:00Z</dcterms:modified>
</cp:coreProperties>
</file>