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000" w:firstRow="0" w:lastRow="0" w:firstColumn="0" w:lastColumn="0" w:noHBand="0" w:noVBand="0"/>
      </w:tblPr>
      <w:tblGrid>
        <w:gridCol w:w="1768"/>
        <w:gridCol w:w="4352"/>
        <w:gridCol w:w="3240"/>
      </w:tblGrid>
      <w:tr w:rsidR="00503613" w:rsidRPr="00025717">
        <w:trPr>
          <w:cantSplit/>
        </w:trPr>
        <w:tc>
          <w:tcPr>
            <w:tcW w:w="6120" w:type="dxa"/>
            <w:gridSpan w:val="2"/>
          </w:tcPr>
          <w:p w:rsidR="00503613" w:rsidRPr="00025717" w:rsidRDefault="00503613" w:rsidP="008D7C0E">
            <w:pPr>
              <w:ind w:right="282"/>
              <w:rPr>
                <w:b/>
                <w:lang w:val="en-IE" w:eastAsia="de-DE"/>
              </w:rPr>
            </w:pPr>
            <w:bookmarkStart w:id="0" w:name="_GoBack"/>
            <w:bookmarkEnd w:id="0"/>
            <w:r w:rsidRPr="00025717">
              <w:rPr>
                <w:b/>
                <w:lang w:val="en-US"/>
              </w:rPr>
              <w:br w:type="page"/>
            </w:r>
            <w:r w:rsidR="009C1706">
              <w:rPr>
                <w:b/>
                <w:bCs/>
                <w:noProof/>
                <w:lang w:val="en-GB" w:eastAsia="en-GB"/>
              </w:rPr>
              <w:drawing>
                <wp:inline distT="0" distB="0" distL="0" distR="0">
                  <wp:extent cx="1622425"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425" cy="840105"/>
                          </a:xfrm>
                          <a:prstGeom prst="rect">
                            <a:avLst/>
                          </a:prstGeom>
                          <a:noFill/>
                          <a:ln>
                            <a:noFill/>
                          </a:ln>
                        </pic:spPr>
                      </pic:pic>
                    </a:graphicData>
                  </a:graphic>
                </wp:inline>
              </w:drawing>
            </w:r>
          </w:p>
        </w:tc>
        <w:tc>
          <w:tcPr>
            <w:tcW w:w="3240" w:type="dxa"/>
          </w:tcPr>
          <w:p w:rsidR="00503613" w:rsidRDefault="00001BF7" w:rsidP="006928FB">
            <w:pPr>
              <w:ind w:right="110"/>
              <w:jc w:val="right"/>
              <w:rPr>
                <w:b/>
              </w:rPr>
            </w:pPr>
            <w:r>
              <w:rPr>
                <w:b/>
              </w:rPr>
              <w:t>Doc. ECC/SE(</w:t>
            </w:r>
            <w:r w:rsidR="00C03BA4">
              <w:rPr>
                <w:b/>
              </w:rPr>
              <w:t>12</w:t>
            </w:r>
            <w:r w:rsidR="00503613" w:rsidRPr="00025717">
              <w:rPr>
                <w:b/>
              </w:rPr>
              <w:t>)</w:t>
            </w:r>
            <w:r w:rsidR="00822603">
              <w:rPr>
                <w:b/>
              </w:rPr>
              <w:t>0</w:t>
            </w:r>
            <w:r w:rsidR="00DE0D14">
              <w:rPr>
                <w:b/>
              </w:rPr>
              <w:t>31</w:t>
            </w:r>
          </w:p>
          <w:p w:rsidR="0073305B" w:rsidRPr="00025717" w:rsidRDefault="0073305B" w:rsidP="002B5308">
            <w:pPr>
              <w:jc w:val="right"/>
              <w:rPr>
                <w:b/>
                <w:lang w:val="en-US" w:eastAsia="de-DE"/>
              </w:rPr>
            </w:pPr>
          </w:p>
        </w:tc>
      </w:tr>
      <w:tr w:rsidR="00503613" w:rsidRPr="00025717">
        <w:trPr>
          <w:trHeight w:val="567"/>
        </w:trPr>
        <w:tc>
          <w:tcPr>
            <w:tcW w:w="6120" w:type="dxa"/>
            <w:gridSpan w:val="2"/>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 w:val="28"/>
                <w:szCs w:val="28"/>
              </w:rPr>
            </w:pPr>
            <w:r w:rsidRPr="00025717">
              <w:rPr>
                <w:rFonts w:ascii="Times New Roman" w:hAnsi="Times New Roman"/>
                <w:color w:val="808080"/>
                <w:sz w:val="28"/>
                <w:szCs w:val="28"/>
              </w:rPr>
              <w:t>Working Group SE</w:t>
            </w:r>
          </w:p>
        </w:tc>
        <w:tc>
          <w:tcPr>
            <w:tcW w:w="3240" w:type="dxa"/>
            <w:tcMar>
              <w:top w:w="0" w:type="dxa"/>
              <w:left w:w="108" w:type="dxa"/>
              <w:bottom w:w="0" w:type="dxa"/>
              <w:right w:w="108" w:type="dxa"/>
            </w:tcMar>
            <w:vAlign w:val="center"/>
          </w:tcPr>
          <w:p w:rsidR="006928FB" w:rsidRPr="00025717" w:rsidRDefault="006928FB" w:rsidP="006928FB">
            <w:pPr>
              <w:rPr>
                <w:lang w:val="en-GB" w:eastAsia="de-DE"/>
              </w:rPr>
            </w:pPr>
          </w:p>
        </w:tc>
      </w:tr>
      <w:tr w:rsidR="00503613" w:rsidRPr="00025717">
        <w:tc>
          <w:tcPr>
            <w:tcW w:w="6120" w:type="dxa"/>
            <w:gridSpan w:val="2"/>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Cs w:val="24"/>
              </w:rPr>
            </w:pPr>
          </w:p>
          <w:p w:rsidR="00503613" w:rsidRPr="00A23EAD" w:rsidRDefault="004C2A48" w:rsidP="00367A78">
            <w:pPr>
              <w:pStyle w:val="berschrift4"/>
              <w:ind w:right="-321"/>
              <w:rPr>
                <w:rFonts w:ascii="Times New Roman" w:hAnsi="Times New Roman"/>
                <w:szCs w:val="24"/>
              </w:rPr>
            </w:pPr>
            <w:r w:rsidRPr="00A23EAD">
              <w:rPr>
                <w:rFonts w:ascii="Times New Roman" w:hAnsi="Times New Roman"/>
                <w:szCs w:val="24"/>
              </w:rPr>
              <w:t>6</w:t>
            </w:r>
            <w:r w:rsidR="00A23EAD" w:rsidRPr="00A23EAD">
              <w:rPr>
                <w:rFonts w:ascii="Times New Roman" w:hAnsi="Times New Roman"/>
                <w:szCs w:val="24"/>
              </w:rPr>
              <w:t>1</w:t>
            </w:r>
            <w:r w:rsidR="00F9426D" w:rsidRPr="00A23EAD">
              <w:rPr>
                <w:rFonts w:ascii="Times New Roman" w:hAnsi="Times New Roman"/>
                <w:szCs w:val="24"/>
                <w:vertAlign w:val="superscript"/>
              </w:rPr>
              <w:t>th</w:t>
            </w:r>
            <w:r w:rsidR="00E84310" w:rsidRPr="00A23EAD">
              <w:rPr>
                <w:rFonts w:ascii="Times New Roman" w:hAnsi="Times New Roman"/>
                <w:szCs w:val="24"/>
              </w:rPr>
              <w:t xml:space="preserve"> </w:t>
            </w:r>
            <w:r w:rsidR="00503613" w:rsidRPr="00A23EAD">
              <w:rPr>
                <w:rFonts w:ascii="Times New Roman" w:hAnsi="Times New Roman"/>
                <w:szCs w:val="24"/>
              </w:rPr>
              <w:t>Meeting of WG SE</w:t>
            </w:r>
          </w:p>
          <w:p w:rsidR="00503613" w:rsidRPr="00025717" w:rsidRDefault="00A23EAD" w:rsidP="00F45C14">
            <w:pPr>
              <w:pStyle w:val="berschrift4"/>
              <w:ind w:right="-321"/>
              <w:rPr>
                <w:b w:val="0"/>
                <w:lang w:val="en-IE"/>
              </w:rPr>
            </w:pPr>
            <w:proofErr w:type="spellStart"/>
            <w:r w:rsidRPr="00A23EAD">
              <w:rPr>
                <w:rFonts w:ascii="Times New Roman" w:hAnsi="Times New Roman"/>
                <w:bCs/>
                <w:kern w:val="36"/>
                <w:szCs w:val="24"/>
              </w:rPr>
              <w:t>Åre</w:t>
            </w:r>
            <w:proofErr w:type="spellEnd"/>
            <w:r w:rsidR="00503613" w:rsidRPr="00A23EAD">
              <w:rPr>
                <w:rFonts w:ascii="Times New Roman" w:hAnsi="Times New Roman"/>
                <w:szCs w:val="24"/>
              </w:rPr>
              <w:t xml:space="preserve">, </w:t>
            </w:r>
            <w:r w:rsidRPr="00A23EAD">
              <w:rPr>
                <w:rFonts w:ascii="Times New Roman" w:hAnsi="Times New Roman"/>
                <w:szCs w:val="24"/>
              </w:rPr>
              <w:t>Sweden</w:t>
            </w:r>
            <w:r w:rsidR="004C2A48" w:rsidRPr="00A23EAD">
              <w:rPr>
                <w:rFonts w:ascii="Times New Roman" w:hAnsi="Times New Roman"/>
                <w:szCs w:val="24"/>
              </w:rPr>
              <w:t xml:space="preserve">, </w:t>
            </w:r>
            <w:r w:rsidRPr="00A23EAD">
              <w:rPr>
                <w:rFonts w:ascii="Times New Roman" w:hAnsi="Times New Roman"/>
                <w:bCs/>
                <w:kern w:val="36"/>
                <w:szCs w:val="24"/>
              </w:rPr>
              <w:t>26 – 30 March 2012</w:t>
            </w:r>
          </w:p>
        </w:tc>
        <w:tc>
          <w:tcPr>
            <w:tcW w:w="3240" w:type="dxa"/>
            <w:tcMar>
              <w:top w:w="0" w:type="dxa"/>
              <w:left w:w="108" w:type="dxa"/>
              <w:bottom w:w="0" w:type="dxa"/>
              <w:right w:w="108" w:type="dxa"/>
            </w:tcMar>
            <w:vAlign w:val="center"/>
          </w:tcPr>
          <w:p w:rsidR="00503613" w:rsidRPr="00025717" w:rsidRDefault="00503613" w:rsidP="00367A78">
            <w:pPr>
              <w:pStyle w:val="berschrift4"/>
              <w:ind w:right="324"/>
              <w:rPr>
                <w:rFonts w:ascii="Times New Roman" w:hAnsi="Times New Roman"/>
                <w:b w:val="0"/>
                <w:szCs w:val="24"/>
              </w:rPr>
            </w:pPr>
          </w:p>
        </w:tc>
      </w:tr>
      <w:tr w:rsidR="00503613" w:rsidRPr="00025717">
        <w:tc>
          <w:tcPr>
            <w:tcW w:w="6120" w:type="dxa"/>
            <w:gridSpan w:val="2"/>
            <w:tcBorders>
              <w:bottom w:val="single" w:sz="2" w:space="0" w:color="auto"/>
            </w:tcBorders>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Cs w:val="24"/>
              </w:rPr>
            </w:pPr>
          </w:p>
        </w:tc>
        <w:tc>
          <w:tcPr>
            <w:tcW w:w="3240" w:type="dxa"/>
            <w:tcBorders>
              <w:bottom w:val="single" w:sz="2" w:space="0" w:color="auto"/>
            </w:tcBorders>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b w:val="0"/>
                <w:szCs w:val="24"/>
              </w:rPr>
            </w:pPr>
          </w:p>
        </w:tc>
      </w:tr>
      <w:tr w:rsidR="00503613" w:rsidRPr="00025717">
        <w:trPr>
          <w:trHeight w:val="454"/>
        </w:trPr>
        <w:tc>
          <w:tcPr>
            <w:tcW w:w="1768" w:type="dxa"/>
            <w:tcBorders>
              <w:top w:val="single" w:sz="2" w:space="0" w:color="auto"/>
            </w:tcBorders>
            <w:tcMar>
              <w:top w:w="0" w:type="dxa"/>
              <w:left w:w="108" w:type="dxa"/>
              <w:bottom w:w="0" w:type="dxa"/>
              <w:right w:w="108" w:type="dxa"/>
            </w:tcMar>
            <w:vAlign w:val="center"/>
          </w:tcPr>
          <w:p w:rsidR="00503613" w:rsidRPr="00025717" w:rsidRDefault="006928FB" w:rsidP="0073305B">
            <w:pPr>
              <w:pStyle w:val="berschrift4"/>
              <w:tabs>
                <w:tab w:val="left" w:pos="8789"/>
              </w:tabs>
              <w:spacing w:before="60" w:after="60"/>
              <w:rPr>
                <w:rFonts w:ascii="Times New Roman" w:hAnsi="Times New Roman"/>
                <w:szCs w:val="24"/>
              </w:rPr>
            </w:pPr>
            <w:r w:rsidRPr="00025717">
              <w:rPr>
                <w:rFonts w:ascii="Times New Roman" w:hAnsi="Times New Roman"/>
                <w:szCs w:val="24"/>
              </w:rPr>
              <w:t>Date issued:</w:t>
            </w:r>
            <w:r w:rsidR="0073305B">
              <w:rPr>
                <w:rFonts w:cs="Arial"/>
                <w:sz w:val="22"/>
                <w:szCs w:val="22"/>
              </w:rPr>
              <w:t xml:space="preserve"> </w:t>
            </w:r>
          </w:p>
        </w:tc>
        <w:tc>
          <w:tcPr>
            <w:tcW w:w="7592" w:type="dxa"/>
            <w:gridSpan w:val="2"/>
            <w:tcBorders>
              <w:top w:val="single" w:sz="2" w:space="0" w:color="auto"/>
            </w:tcBorders>
            <w:tcMar>
              <w:top w:w="0" w:type="dxa"/>
              <w:left w:w="108" w:type="dxa"/>
              <w:bottom w:w="0" w:type="dxa"/>
              <w:right w:w="108" w:type="dxa"/>
            </w:tcMar>
            <w:vAlign w:val="center"/>
          </w:tcPr>
          <w:p w:rsidR="00503613" w:rsidRPr="0073305B" w:rsidRDefault="00331338" w:rsidP="005A6663">
            <w:pPr>
              <w:pStyle w:val="berschrift4"/>
              <w:spacing w:before="60" w:after="60"/>
              <w:ind w:right="-108"/>
              <w:rPr>
                <w:rFonts w:ascii="Times New Roman" w:hAnsi="Times New Roman"/>
                <w:b w:val="0"/>
                <w:szCs w:val="24"/>
                <w:lang w:val="en-US"/>
              </w:rPr>
            </w:pPr>
            <w:r>
              <w:rPr>
                <w:rFonts w:ascii="Times New Roman" w:hAnsi="Times New Roman"/>
                <w:b w:val="0"/>
                <w:szCs w:val="24"/>
                <w:lang w:val="en-US"/>
              </w:rPr>
              <w:t>21</w:t>
            </w:r>
            <w:r w:rsidR="005A6663">
              <w:rPr>
                <w:rFonts w:ascii="Times New Roman" w:hAnsi="Times New Roman"/>
                <w:b w:val="0"/>
                <w:szCs w:val="24"/>
                <w:lang w:val="en-US"/>
              </w:rPr>
              <w:t xml:space="preserve"> March </w:t>
            </w:r>
            <w:r w:rsidR="00D8116C">
              <w:rPr>
                <w:rFonts w:ascii="Times New Roman" w:hAnsi="Times New Roman"/>
                <w:b w:val="0"/>
                <w:szCs w:val="24"/>
                <w:lang w:val="en-US"/>
              </w:rPr>
              <w:t>2012</w:t>
            </w:r>
          </w:p>
        </w:tc>
      </w:tr>
      <w:tr w:rsidR="00503613" w:rsidRPr="00025717">
        <w:trPr>
          <w:trHeight w:val="454"/>
        </w:trPr>
        <w:tc>
          <w:tcPr>
            <w:tcW w:w="1768" w:type="dxa"/>
            <w:tcMar>
              <w:top w:w="0" w:type="dxa"/>
              <w:left w:w="108" w:type="dxa"/>
              <w:bottom w:w="0" w:type="dxa"/>
              <w:right w:w="108" w:type="dxa"/>
            </w:tcMar>
            <w:vAlign w:val="center"/>
          </w:tcPr>
          <w:p w:rsidR="00503613" w:rsidRPr="00025717" w:rsidRDefault="006928FB" w:rsidP="0037484F">
            <w:pPr>
              <w:pStyle w:val="berschrift4"/>
              <w:tabs>
                <w:tab w:val="left" w:pos="8789"/>
              </w:tabs>
              <w:spacing w:before="60" w:after="60"/>
              <w:rPr>
                <w:rFonts w:ascii="Times New Roman" w:hAnsi="Times New Roman"/>
                <w:szCs w:val="24"/>
              </w:rPr>
            </w:pPr>
            <w:r w:rsidRPr="00025717">
              <w:rPr>
                <w:rFonts w:ascii="Times New Roman" w:hAnsi="Times New Roman"/>
                <w:szCs w:val="24"/>
              </w:rPr>
              <w:t>Source:</w:t>
            </w:r>
          </w:p>
        </w:tc>
        <w:tc>
          <w:tcPr>
            <w:tcW w:w="7592" w:type="dxa"/>
            <w:gridSpan w:val="2"/>
            <w:tcMar>
              <w:top w:w="0" w:type="dxa"/>
              <w:left w:w="108" w:type="dxa"/>
              <w:bottom w:w="0" w:type="dxa"/>
              <w:right w:w="108" w:type="dxa"/>
            </w:tcMar>
            <w:vAlign w:val="center"/>
          </w:tcPr>
          <w:p w:rsidR="00503613" w:rsidRPr="0073305B" w:rsidRDefault="00331338" w:rsidP="00676739">
            <w:pPr>
              <w:pStyle w:val="berschrift4"/>
              <w:spacing w:before="60" w:after="60"/>
              <w:ind w:right="-108"/>
              <w:rPr>
                <w:rFonts w:ascii="Times New Roman" w:hAnsi="Times New Roman"/>
                <w:b w:val="0"/>
                <w:szCs w:val="24"/>
              </w:rPr>
            </w:pPr>
            <w:r>
              <w:rPr>
                <w:rFonts w:ascii="Times New Roman" w:hAnsi="Times New Roman"/>
                <w:b w:val="0"/>
                <w:szCs w:val="24"/>
              </w:rPr>
              <w:t>Germany</w:t>
            </w:r>
          </w:p>
        </w:tc>
      </w:tr>
      <w:tr w:rsidR="00503613" w:rsidRPr="00025717">
        <w:trPr>
          <w:trHeight w:val="454"/>
        </w:trPr>
        <w:tc>
          <w:tcPr>
            <w:tcW w:w="1768" w:type="dxa"/>
            <w:tcBorders>
              <w:bottom w:val="single" w:sz="2" w:space="0" w:color="auto"/>
            </w:tcBorders>
            <w:tcMar>
              <w:top w:w="0" w:type="dxa"/>
              <w:left w:w="108" w:type="dxa"/>
              <w:bottom w:w="0" w:type="dxa"/>
              <w:right w:w="108" w:type="dxa"/>
            </w:tcMar>
            <w:vAlign w:val="center"/>
          </w:tcPr>
          <w:p w:rsidR="00503613" w:rsidRPr="00025717" w:rsidRDefault="00503613" w:rsidP="0037484F">
            <w:pPr>
              <w:pStyle w:val="berschrift4"/>
              <w:tabs>
                <w:tab w:val="left" w:pos="8789"/>
              </w:tabs>
              <w:spacing w:before="60" w:after="60"/>
              <w:rPr>
                <w:rFonts w:ascii="Times New Roman" w:hAnsi="Times New Roman"/>
                <w:szCs w:val="24"/>
              </w:rPr>
            </w:pPr>
            <w:r w:rsidRPr="00025717">
              <w:rPr>
                <w:rFonts w:ascii="Times New Roman" w:hAnsi="Times New Roman"/>
                <w:szCs w:val="24"/>
              </w:rPr>
              <w:t>Subject:</w:t>
            </w:r>
          </w:p>
        </w:tc>
        <w:tc>
          <w:tcPr>
            <w:tcW w:w="7592" w:type="dxa"/>
            <w:gridSpan w:val="2"/>
            <w:tcBorders>
              <w:bottom w:val="single" w:sz="2" w:space="0" w:color="auto"/>
            </w:tcBorders>
            <w:tcMar>
              <w:top w:w="0" w:type="dxa"/>
              <w:left w:w="108" w:type="dxa"/>
              <w:bottom w:w="0" w:type="dxa"/>
              <w:right w:w="108" w:type="dxa"/>
            </w:tcMar>
            <w:vAlign w:val="center"/>
          </w:tcPr>
          <w:p w:rsidR="00503613" w:rsidRPr="0073305B" w:rsidRDefault="006121A9" w:rsidP="00676739">
            <w:pPr>
              <w:pStyle w:val="berschrift4"/>
              <w:spacing w:before="60" w:after="60"/>
              <w:ind w:right="-108"/>
              <w:rPr>
                <w:rFonts w:ascii="Times New Roman" w:hAnsi="Times New Roman"/>
                <w:smallCaps/>
                <w:szCs w:val="24"/>
              </w:rPr>
            </w:pPr>
            <w:r>
              <w:rPr>
                <w:rFonts w:ascii="Times New Roman" w:hAnsi="Times New Roman"/>
                <w:smallCaps/>
                <w:szCs w:val="24"/>
              </w:rPr>
              <w:t>Studies related to Broadband DA2GC</w:t>
            </w:r>
            <w:r w:rsidR="00DE5448">
              <w:rPr>
                <w:rFonts w:ascii="Times New Roman" w:hAnsi="Times New Roman"/>
                <w:smallCaps/>
                <w:szCs w:val="24"/>
              </w:rPr>
              <w:t xml:space="preserve"> in SE44</w:t>
            </w:r>
          </w:p>
        </w:tc>
      </w:tr>
    </w:tbl>
    <w:p w:rsidR="00077F50" w:rsidRPr="00025717" w:rsidRDefault="00077F50">
      <w:pPr>
        <w:ind w:right="-426"/>
        <w:rPr>
          <w:b/>
          <w:bCs/>
          <w:lang w:val="en-GB"/>
        </w:rPr>
      </w:pPr>
    </w:p>
    <w:tbl>
      <w:tblPr>
        <w:tblW w:w="9360" w:type="dxa"/>
        <w:tblInd w:w="108" w:type="dxa"/>
        <w:tblLook w:val="01E0" w:firstRow="1" w:lastRow="1" w:firstColumn="1" w:lastColumn="1" w:noHBand="0" w:noVBand="0"/>
      </w:tblPr>
      <w:tblGrid>
        <w:gridCol w:w="1768"/>
        <w:gridCol w:w="2552"/>
        <w:gridCol w:w="5040"/>
      </w:tblGrid>
      <w:tr w:rsidR="006928FB" w:rsidRPr="00CF3D16" w:rsidTr="00CF3D16">
        <w:tc>
          <w:tcPr>
            <w:tcW w:w="4320" w:type="dxa"/>
            <w:gridSpan w:val="2"/>
            <w:shd w:val="clear" w:color="auto" w:fill="auto"/>
          </w:tcPr>
          <w:p w:rsidR="006928FB" w:rsidRPr="00CF3D16" w:rsidRDefault="006928FB" w:rsidP="00CF3D16">
            <w:pPr>
              <w:ind w:right="-426"/>
              <w:rPr>
                <w:lang w:val="en-GB"/>
              </w:rPr>
            </w:pPr>
            <w:r w:rsidRPr="00CF3D16">
              <w:rPr>
                <w:lang w:val="en-GB"/>
              </w:rPr>
              <w:t>Password protection required? (Y/N)</w:t>
            </w:r>
          </w:p>
          <w:p w:rsidR="006928FB" w:rsidRPr="00CF3D16" w:rsidRDefault="006928FB" w:rsidP="00CF3D16">
            <w:pPr>
              <w:ind w:right="-426"/>
              <w:rPr>
                <w:bCs/>
                <w:lang w:val="en-GB"/>
              </w:rPr>
            </w:pPr>
          </w:p>
        </w:tc>
        <w:tc>
          <w:tcPr>
            <w:tcW w:w="5040" w:type="dxa"/>
            <w:shd w:val="clear" w:color="auto" w:fill="auto"/>
          </w:tcPr>
          <w:p w:rsidR="006928FB" w:rsidRPr="00CF3D16" w:rsidRDefault="009C1706" w:rsidP="00CF3D16">
            <w:pPr>
              <w:ind w:right="-426"/>
              <w:rPr>
                <w:b/>
                <w:bCs/>
                <w:lang w:val="en-GB"/>
              </w:rPr>
            </w:pPr>
            <w:r>
              <w:rPr>
                <w:bCs/>
                <w:noProof/>
                <w:lang w:val="en-GB" w:eastAsia="en-GB"/>
              </w:rPr>
              <mc:AlternateContent>
                <mc:Choice Requires="wps">
                  <w:drawing>
                    <wp:anchor distT="0" distB="0" distL="114300" distR="114300" simplePos="0" relativeHeight="251657728" behindDoc="0" locked="0" layoutInCell="1" allowOverlap="1" wp14:anchorId="77594CBD" wp14:editId="37E1D7A3">
                      <wp:simplePos x="0" y="0"/>
                      <wp:positionH relativeFrom="column">
                        <wp:posOffset>-68580</wp:posOffset>
                      </wp:positionH>
                      <wp:positionV relativeFrom="paragraph">
                        <wp:posOffset>28575</wp:posOffset>
                      </wp:positionV>
                      <wp:extent cx="360045" cy="2882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8290"/>
                              </a:xfrm>
                              <a:prstGeom prst="rect">
                                <a:avLst/>
                              </a:prstGeom>
                              <a:solidFill>
                                <a:srgbClr val="FFFFFF"/>
                              </a:solidFill>
                              <a:ln w="9525">
                                <a:solidFill>
                                  <a:srgbClr val="000000"/>
                                </a:solidFill>
                                <a:miter lim="800000"/>
                                <a:headEnd/>
                                <a:tailEnd/>
                              </a:ln>
                            </wps:spPr>
                            <wps:txbx>
                              <w:txbxContent>
                                <w:p w:rsidR="006C244E" w:rsidRPr="00676739" w:rsidRDefault="006C244E">
                                  <w:pPr>
                                    <w:rPr>
                                      <w:b/>
                                      <w:lang w:val="de-DE"/>
                                    </w:rPr>
                                  </w:pPr>
                                  <w:r>
                                    <w:rPr>
                                      <w:b/>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4pt;margin-top:2.25pt;width:28.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V9fulSkCAABPBAAADgAAAAAAAAAAAAAAAAAuAgAAZHJzL2Uy&#10;b0RvYy54bWxQSwECLQAUAAYACAAAACEAQlo7rt4AAAAHAQAADwAAAAAAAAAAAAAAAACDBAAAZHJz&#10;L2Rvd25yZXYueG1sUEsFBgAAAAAEAAQA8wAAAI4FAAAAAA==&#10;">
                      <v:textbox>
                        <w:txbxContent>
                          <w:p w:rsidR="00815F8A" w:rsidRPr="00676739" w:rsidRDefault="00815F8A">
                            <w:pPr>
                              <w:rPr>
                                <w:b/>
                                <w:lang w:val="de-DE"/>
                              </w:rPr>
                            </w:pPr>
                            <w:r>
                              <w:rPr>
                                <w:b/>
                                <w:lang w:val="de-DE"/>
                              </w:rPr>
                              <w:t>N</w:t>
                            </w:r>
                          </w:p>
                        </w:txbxContent>
                      </v:textbox>
                    </v:shape>
                  </w:pict>
                </mc:Fallback>
              </mc:AlternateContent>
            </w:r>
          </w:p>
        </w:tc>
      </w:tr>
      <w:tr w:rsidR="005364F0" w:rsidRPr="00025717" w:rsidTr="00215BDD">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364F0" w:rsidRPr="00025717" w:rsidRDefault="005364F0" w:rsidP="00215BDD">
            <w:pPr>
              <w:pStyle w:val="berschrift4"/>
              <w:tabs>
                <w:tab w:val="left" w:pos="8789"/>
              </w:tabs>
              <w:spacing w:before="60" w:after="60"/>
              <w:rPr>
                <w:rFonts w:ascii="Times New Roman" w:hAnsi="Times New Roman"/>
                <w:szCs w:val="24"/>
              </w:rPr>
            </w:pPr>
            <w:r w:rsidRPr="00025717">
              <w:rPr>
                <w:rFonts w:ascii="Times New Roman" w:hAnsi="Times New Roman"/>
                <w:szCs w:val="24"/>
              </w:rPr>
              <w:lastRenderedPageBreak/>
              <w:t>Summary:</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5364F0" w:rsidRPr="005D5651" w:rsidRDefault="003E2EA1" w:rsidP="00DE5448">
            <w:pPr>
              <w:pStyle w:val="berschrift4"/>
              <w:spacing w:before="60" w:after="60"/>
              <w:ind w:right="-108"/>
              <w:rPr>
                <w:rFonts w:ascii="Times New Roman" w:hAnsi="Times New Roman"/>
                <w:b w:val="0"/>
                <w:szCs w:val="24"/>
              </w:rPr>
            </w:pPr>
            <w:r w:rsidRPr="00DA0F56">
              <w:rPr>
                <w:rFonts w:ascii="Times New Roman" w:hAnsi="Times New Roman"/>
                <w:b w:val="0"/>
                <w:szCs w:val="24"/>
              </w:rPr>
              <w:t xml:space="preserve">WG SE is invited to </w:t>
            </w:r>
            <w:r>
              <w:rPr>
                <w:rFonts w:ascii="Times New Roman" w:hAnsi="Times New Roman"/>
                <w:b w:val="0"/>
                <w:szCs w:val="24"/>
              </w:rPr>
              <w:t>consider the proposal regarding further sharing and compatibility studies within SE PT 44 and to endorse the proposed way forward</w:t>
            </w:r>
            <w:r w:rsidRPr="00DA0F56">
              <w:rPr>
                <w:rFonts w:ascii="Times New Roman" w:hAnsi="Times New Roman"/>
                <w:b w:val="0"/>
                <w:szCs w:val="24"/>
              </w:rPr>
              <w:t>.</w:t>
            </w:r>
          </w:p>
        </w:tc>
      </w:tr>
      <w:tr w:rsidR="005364F0" w:rsidRPr="00025717" w:rsidTr="00215BDD">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364F0" w:rsidRPr="00025717" w:rsidRDefault="005364F0" w:rsidP="00215BDD">
            <w:pPr>
              <w:pStyle w:val="berschrift4"/>
              <w:tabs>
                <w:tab w:val="left" w:pos="8789"/>
              </w:tabs>
              <w:spacing w:before="60" w:after="60"/>
              <w:rPr>
                <w:rFonts w:ascii="Times New Roman" w:hAnsi="Times New Roman"/>
                <w:szCs w:val="24"/>
              </w:rPr>
            </w:pPr>
            <w:r w:rsidRPr="00025717">
              <w:rPr>
                <w:rFonts w:ascii="Times New Roman" w:hAnsi="Times New Roman"/>
                <w:szCs w:val="24"/>
              </w:rPr>
              <w:t>Proposal:</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5364F0" w:rsidRPr="00025717" w:rsidRDefault="003E2EA1" w:rsidP="007F58C5">
            <w:pPr>
              <w:jc w:val="both"/>
              <w:rPr>
                <w:b/>
              </w:rPr>
            </w:pPr>
            <w:r>
              <w:rPr>
                <w:lang w:val="en-GB"/>
              </w:rPr>
              <w:t xml:space="preserve">Pending on the outcome of the discussions during next WG FM from 23 – 27 April (Bern, Switzerland) regarding </w:t>
            </w:r>
            <w:r w:rsidR="007F58C5">
              <w:rPr>
                <w:lang w:val="en-GB"/>
              </w:rPr>
              <w:t xml:space="preserve">possible </w:t>
            </w:r>
            <w:r>
              <w:rPr>
                <w:lang w:val="en-GB"/>
              </w:rPr>
              <w:t xml:space="preserve">sharing and compatibility studies </w:t>
            </w:r>
            <w:r w:rsidR="007F58C5">
              <w:rPr>
                <w:lang w:val="en-GB"/>
              </w:rPr>
              <w:t xml:space="preserve">for </w:t>
            </w:r>
            <w:r>
              <w:rPr>
                <w:lang w:val="en-GB"/>
              </w:rPr>
              <w:t>other frequency bands than already identified for Broadband DA2GC, Germany propose to WG SE to endorse that SE PT44 can start with studies before the next WG SE meeting in September 2012</w:t>
            </w:r>
            <w:r w:rsidR="007F58C5">
              <w:rPr>
                <w:lang w:val="en-GB"/>
              </w:rPr>
              <w:t xml:space="preserve"> if required by WG FM</w:t>
            </w:r>
            <w:r>
              <w:rPr>
                <w:lang w:val="en-GB"/>
              </w:rPr>
              <w:t>.</w:t>
            </w:r>
          </w:p>
        </w:tc>
      </w:tr>
      <w:tr w:rsidR="005364F0" w:rsidRPr="00025717" w:rsidTr="00215BDD">
        <w:tblPrEx>
          <w:tblBorders>
            <w:top w:val="single" w:sz="4"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1768"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364F0" w:rsidRPr="00025717" w:rsidRDefault="005364F0" w:rsidP="00215BDD">
            <w:pPr>
              <w:pStyle w:val="berschrift4"/>
              <w:tabs>
                <w:tab w:val="left" w:pos="8789"/>
              </w:tabs>
              <w:spacing w:before="60" w:after="60"/>
              <w:rPr>
                <w:rFonts w:ascii="Times New Roman" w:hAnsi="Times New Roman"/>
                <w:szCs w:val="24"/>
              </w:rPr>
            </w:pPr>
            <w:r w:rsidRPr="00025717">
              <w:rPr>
                <w:rFonts w:ascii="Times New Roman" w:hAnsi="Times New Roman"/>
                <w:szCs w:val="24"/>
              </w:rPr>
              <w:t>Background:</w:t>
            </w:r>
          </w:p>
        </w:tc>
        <w:tc>
          <w:tcPr>
            <w:tcW w:w="7592"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E91172" w:rsidRDefault="00E91172" w:rsidP="00E91172">
            <w:pPr>
              <w:rPr>
                <w:b/>
                <w:u w:val="single"/>
                <w:lang w:val="en-IE"/>
              </w:rPr>
            </w:pPr>
          </w:p>
          <w:p w:rsidR="00440662" w:rsidRPr="00E91172" w:rsidRDefault="00E91172" w:rsidP="00E91172">
            <w:pPr>
              <w:rPr>
                <w:b/>
                <w:u w:val="single"/>
                <w:lang w:val="en-IE"/>
              </w:rPr>
            </w:pPr>
            <w:r w:rsidRPr="00E91172">
              <w:rPr>
                <w:b/>
                <w:u w:val="single"/>
                <w:lang w:val="en-IE"/>
              </w:rPr>
              <w:t>Introduction</w:t>
            </w:r>
          </w:p>
          <w:p w:rsidR="00E91172" w:rsidRDefault="00876F97" w:rsidP="00A83BCF">
            <w:pPr>
              <w:jc w:val="both"/>
              <w:rPr>
                <w:iCs/>
              </w:rPr>
            </w:pPr>
            <w:r>
              <w:rPr>
                <w:lang w:val="en-GB" w:eastAsia="de-DE"/>
              </w:rPr>
              <w:t>SE44 is tasked to</w:t>
            </w:r>
            <w:r>
              <w:rPr>
                <w:lang w:val="en-GB"/>
              </w:rPr>
              <w:t xml:space="preserve"> study compatibility and sharing</w:t>
            </w:r>
            <w:r w:rsidRPr="00BA3EFA">
              <w:rPr>
                <w:lang w:val="en-GB"/>
              </w:rPr>
              <w:t xml:space="preserve"> </w:t>
            </w:r>
            <w:r>
              <w:rPr>
                <w:lang w:val="en-GB"/>
              </w:rPr>
              <w:t xml:space="preserve">issues and to develop ECC deliverables (ECC-Report(s)) </w:t>
            </w:r>
            <w:r w:rsidRPr="00DC6A25">
              <w:rPr>
                <w:lang w:val="en-GB"/>
              </w:rPr>
              <w:t xml:space="preserve">in support of WG FM </w:t>
            </w:r>
            <w:r w:rsidR="00815F8A">
              <w:rPr>
                <w:lang w:val="en-GB"/>
              </w:rPr>
              <w:t>(FM PT 48)</w:t>
            </w:r>
            <w:r>
              <w:rPr>
                <w:lang w:val="en-GB"/>
              </w:rPr>
              <w:t xml:space="preserve"> </w:t>
            </w:r>
            <w:r w:rsidRPr="00BA3EFA">
              <w:rPr>
                <w:lang w:val="en-GB"/>
              </w:rPr>
              <w:t>concerning Broadband Direct-Air-to-Ground Communications (DA2GC</w:t>
            </w:r>
            <w:r w:rsidR="008E2DBF">
              <w:rPr>
                <w:lang w:val="en-GB"/>
              </w:rPr>
              <w:t>)</w:t>
            </w:r>
            <w:r w:rsidR="00045BC1">
              <w:rPr>
                <w:lang w:val="en-GB"/>
              </w:rPr>
              <w:t xml:space="preserve"> With respect to the WG SE work programme the </w:t>
            </w:r>
            <w:r w:rsidR="00045BC1">
              <w:rPr>
                <w:iCs/>
              </w:rPr>
              <w:t xml:space="preserve">initial set of bands to </w:t>
            </w:r>
            <w:r w:rsidR="00045BC1" w:rsidRPr="00045BC1">
              <w:rPr>
                <w:iCs/>
                <w:lang w:val="en-GB"/>
              </w:rPr>
              <w:t>be</w:t>
            </w:r>
            <w:r w:rsidR="00045BC1">
              <w:rPr>
                <w:iCs/>
              </w:rPr>
              <w:t xml:space="preserve"> </w:t>
            </w:r>
            <w:r w:rsidR="00045BC1" w:rsidRPr="00045BC1">
              <w:rPr>
                <w:iCs/>
                <w:lang w:val="en-GB"/>
              </w:rPr>
              <w:t>studied</w:t>
            </w:r>
            <w:r w:rsidR="00045BC1">
              <w:rPr>
                <w:iCs/>
              </w:rPr>
              <w:t xml:space="preserve"> are: </w:t>
            </w:r>
          </w:p>
          <w:p w:rsidR="00045BC1" w:rsidRDefault="00045BC1" w:rsidP="00DE5448">
            <w:pPr>
              <w:numPr>
                <w:ilvl w:val="0"/>
                <w:numId w:val="20"/>
              </w:numPr>
              <w:rPr>
                <w:iCs/>
              </w:rPr>
            </w:pPr>
            <w:r>
              <w:rPr>
                <w:iCs/>
              </w:rPr>
              <w:t>3400 – 3600 MHz,</w:t>
            </w:r>
          </w:p>
          <w:p w:rsidR="00045BC1" w:rsidRPr="00DD1615" w:rsidRDefault="00045BC1">
            <w:pPr>
              <w:numPr>
                <w:ilvl w:val="0"/>
                <w:numId w:val="20"/>
              </w:numPr>
              <w:rPr>
                <w:iCs/>
                <w:lang w:eastAsia="en-GB"/>
              </w:rPr>
            </w:pPr>
            <w:r w:rsidRPr="00DD1615">
              <w:rPr>
                <w:iCs/>
                <w:lang w:eastAsia="en-GB"/>
              </w:rPr>
              <w:t>2400-2483.5 MHz</w:t>
            </w:r>
            <w:r>
              <w:rPr>
                <w:iCs/>
                <w:lang w:eastAsia="en-GB"/>
              </w:rPr>
              <w:t>,</w:t>
            </w:r>
          </w:p>
          <w:p w:rsidR="00045BC1" w:rsidRDefault="00045BC1">
            <w:pPr>
              <w:numPr>
                <w:ilvl w:val="0"/>
                <w:numId w:val="20"/>
              </w:numPr>
              <w:rPr>
                <w:iCs/>
              </w:rPr>
            </w:pPr>
            <w:r w:rsidRPr="00DD1615">
              <w:rPr>
                <w:iCs/>
                <w:lang w:eastAsia="en-GB"/>
              </w:rPr>
              <w:t>5855-5875 MHz</w:t>
            </w:r>
            <w:r>
              <w:rPr>
                <w:iCs/>
                <w:lang w:eastAsia="en-GB"/>
              </w:rPr>
              <w:t>,</w:t>
            </w:r>
          </w:p>
          <w:p w:rsidR="00045BC1" w:rsidRDefault="00045BC1" w:rsidP="00E91172">
            <w:pPr>
              <w:numPr>
                <w:ilvl w:val="0"/>
                <w:numId w:val="20"/>
              </w:numPr>
              <w:rPr>
                <w:iCs/>
              </w:rPr>
            </w:pPr>
            <w:r w:rsidRPr="00E91172">
              <w:rPr>
                <w:iCs/>
              </w:rPr>
              <w:t>1670-1675 MHz / 1800-1805 MHz</w:t>
            </w:r>
          </w:p>
          <w:p w:rsidR="00E91172" w:rsidRPr="00E91172" w:rsidRDefault="00E91172" w:rsidP="00E91172">
            <w:pPr>
              <w:ind w:left="360"/>
              <w:rPr>
                <w:iCs/>
              </w:rPr>
            </w:pPr>
          </w:p>
          <w:p w:rsidR="00045BC1" w:rsidRDefault="00045BC1" w:rsidP="00A83BCF">
            <w:pPr>
              <w:jc w:val="both"/>
              <w:rPr>
                <w:lang w:val="en-GB" w:eastAsia="de-DE"/>
              </w:rPr>
            </w:pPr>
            <w:r>
              <w:rPr>
                <w:lang w:eastAsia="de-DE"/>
              </w:rPr>
              <w:t xml:space="preserve">WG FM </w:t>
            </w:r>
            <w:r w:rsidRPr="001E669A">
              <w:rPr>
                <w:lang w:val="en-GB" w:eastAsia="de-DE"/>
              </w:rPr>
              <w:t>during</w:t>
            </w:r>
            <w:r>
              <w:rPr>
                <w:lang w:eastAsia="de-DE"/>
              </w:rPr>
              <w:t xml:space="preserve"> </w:t>
            </w:r>
            <w:r w:rsidRPr="001E669A">
              <w:rPr>
                <w:lang w:val="en-GB" w:eastAsia="de-DE"/>
              </w:rPr>
              <w:t>its</w:t>
            </w:r>
            <w:r>
              <w:rPr>
                <w:lang w:eastAsia="de-DE"/>
              </w:rPr>
              <w:t xml:space="preserve"> meeting in Lille (</w:t>
            </w:r>
            <w:r w:rsidRPr="001E669A">
              <w:rPr>
                <w:lang w:val="en-GB" w:eastAsia="de-DE"/>
              </w:rPr>
              <w:t>October</w:t>
            </w:r>
            <w:r w:rsidR="003E2EA1">
              <w:rPr>
                <w:lang w:eastAsia="de-DE"/>
              </w:rPr>
              <w:t xml:space="preserve"> 2011</w:t>
            </w:r>
            <w:r>
              <w:rPr>
                <w:lang w:eastAsia="de-DE"/>
              </w:rPr>
              <w:t xml:space="preserve">) </w:t>
            </w:r>
            <w:r w:rsidRPr="00045BC1">
              <w:rPr>
                <w:lang w:val="en-GB" w:eastAsia="de-DE"/>
              </w:rPr>
              <w:t>decided to remove the bands 1670-1675 MHz / 1800-1805 MHz from the list of candidate bands for Broadband DA2GC</w:t>
            </w:r>
            <w:r>
              <w:rPr>
                <w:lang w:val="en-GB" w:eastAsia="de-DE"/>
              </w:rPr>
              <w:t>.</w:t>
            </w:r>
          </w:p>
          <w:p w:rsidR="00A14151" w:rsidRDefault="00A14151" w:rsidP="00BB5E59">
            <w:pPr>
              <w:rPr>
                <w:lang w:val="en-GB" w:eastAsia="de-DE"/>
              </w:rPr>
            </w:pPr>
          </w:p>
          <w:p w:rsidR="006C244E" w:rsidRPr="00E91172" w:rsidRDefault="006C244E" w:rsidP="006C244E">
            <w:pPr>
              <w:rPr>
                <w:b/>
                <w:u w:val="single"/>
                <w:lang w:val="en-IE"/>
              </w:rPr>
            </w:pPr>
            <w:r w:rsidRPr="00E91172">
              <w:rPr>
                <w:b/>
                <w:u w:val="single"/>
                <w:lang w:val="en-IE"/>
              </w:rPr>
              <w:t>Summary on on-going studies in SE44 in the remaining bands</w:t>
            </w:r>
          </w:p>
          <w:p w:rsidR="006C244E" w:rsidRDefault="006C244E" w:rsidP="006C244E">
            <w:pPr>
              <w:rPr>
                <w:lang w:val="en-IE"/>
              </w:rPr>
            </w:pPr>
            <w:r w:rsidRPr="00A14151">
              <w:rPr>
                <w:lang w:val="en-IE"/>
              </w:rPr>
              <w:t xml:space="preserve">The results of the </w:t>
            </w:r>
            <w:r>
              <w:rPr>
                <w:lang w:val="en-IE"/>
              </w:rPr>
              <w:t xml:space="preserve">SE44 </w:t>
            </w:r>
            <w:r w:rsidRPr="00A14151">
              <w:rPr>
                <w:lang w:val="en-IE"/>
              </w:rPr>
              <w:t xml:space="preserve">studies in the </w:t>
            </w:r>
          </w:p>
          <w:p w:rsidR="006C244E" w:rsidRDefault="006C244E" w:rsidP="00A83BCF">
            <w:pPr>
              <w:pStyle w:val="Listenabsatz"/>
              <w:numPr>
                <w:ilvl w:val="0"/>
                <w:numId w:val="21"/>
              </w:numPr>
              <w:jc w:val="both"/>
              <w:rPr>
                <w:lang w:val="en-IE"/>
              </w:rPr>
            </w:pPr>
            <w:r w:rsidRPr="00A14151">
              <w:rPr>
                <w:lang w:val="en-IE"/>
              </w:rPr>
              <w:t xml:space="preserve">ISM bands 2400 – 2483.5 MHz and 5855 – 5875 MHz undertaken so far show, that frequency sharing between the DA2GC system as described in the ETSI </w:t>
            </w:r>
            <w:proofErr w:type="spellStart"/>
            <w:r w:rsidRPr="00A14151">
              <w:rPr>
                <w:lang w:val="en-IE"/>
              </w:rPr>
              <w:t>SRdoc</w:t>
            </w:r>
            <w:proofErr w:type="spellEnd"/>
            <w:r w:rsidRPr="00A14151">
              <w:rPr>
                <w:lang w:val="en-IE"/>
              </w:rPr>
              <w:t xml:space="preserve"> TR 103 054 and the incumbent services / applications seems not to be feasible. </w:t>
            </w:r>
          </w:p>
          <w:p w:rsidR="006C244E" w:rsidRPr="00E91172" w:rsidRDefault="006C244E" w:rsidP="00A83BCF">
            <w:pPr>
              <w:pStyle w:val="Listenabsatz"/>
              <w:numPr>
                <w:ilvl w:val="0"/>
                <w:numId w:val="21"/>
              </w:numPr>
              <w:jc w:val="both"/>
              <w:rPr>
                <w:lang w:val="en-GB" w:eastAsia="de-DE"/>
              </w:rPr>
            </w:pPr>
            <w:r w:rsidRPr="00E91172">
              <w:rPr>
                <w:lang w:val="en-IE"/>
              </w:rPr>
              <w:t>3400 - 3600 MHz band show that the most spectrum efficient solution for DA2GC in the band 3400-3600 MHz would require a harmonized FDD frequency arrangement to include both DA2GC and MFCN. This would require a review of ECC Decision ECC/</w:t>
            </w:r>
            <w:proofErr w:type="gramStart"/>
            <w:r w:rsidRPr="00E91172">
              <w:rPr>
                <w:lang w:val="en-IE"/>
              </w:rPr>
              <w:t>DEC(</w:t>
            </w:r>
            <w:proofErr w:type="gramEnd"/>
            <w:r w:rsidRPr="00E91172">
              <w:rPr>
                <w:lang w:val="en-IE"/>
              </w:rPr>
              <w:t>11)06 and ECC/DEC(07)02 which cannot be expected in a short term.</w:t>
            </w:r>
          </w:p>
          <w:p w:rsidR="006C244E" w:rsidRDefault="006C244E" w:rsidP="00BB5E59">
            <w:pPr>
              <w:rPr>
                <w:lang w:val="en-GB" w:eastAsia="de-DE"/>
              </w:rPr>
            </w:pPr>
          </w:p>
          <w:p w:rsidR="00E91172" w:rsidRPr="00E91172" w:rsidRDefault="006C244E" w:rsidP="006C244E">
            <w:pPr>
              <w:rPr>
                <w:b/>
                <w:u w:val="single"/>
                <w:lang w:val="en-IE"/>
              </w:rPr>
            </w:pPr>
            <w:r w:rsidRPr="00E91172">
              <w:rPr>
                <w:b/>
                <w:u w:val="single"/>
                <w:lang w:val="en-IE"/>
              </w:rPr>
              <w:t>Consideration in FM PT48</w:t>
            </w:r>
          </w:p>
          <w:p w:rsidR="006C244E" w:rsidRPr="00A14151" w:rsidRDefault="006C244E" w:rsidP="00A83BCF">
            <w:pPr>
              <w:jc w:val="both"/>
              <w:rPr>
                <w:lang w:val="en-IE"/>
              </w:rPr>
            </w:pPr>
            <w:r w:rsidRPr="00A14151">
              <w:rPr>
                <w:lang w:val="en-IE"/>
              </w:rPr>
              <w:t xml:space="preserve">FM PT48 in its meeting in Copenhagen from 01-02 March 2012 </w:t>
            </w:r>
            <w:r w:rsidR="007F58C5">
              <w:rPr>
                <w:lang w:val="en-IE"/>
              </w:rPr>
              <w:t xml:space="preserve">also </w:t>
            </w:r>
            <w:r>
              <w:rPr>
                <w:lang w:val="en-IE"/>
              </w:rPr>
              <w:t>discussed</w:t>
            </w:r>
            <w:r w:rsidRPr="00A14151">
              <w:rPr>
                <w:lang w:val="en-IE"/>
              </w:rPr>
              <w:t xml:space="preserve"> new candidate bands to be studied by WG SE, which are already on the list of candidate bands within WG FM for Broadband DA2GC. </w:t>
            </w:r>
            <w:r>
              <w:rPr>
                <w:lang w:val="en-IE"/>
              </w:rPr>
              <w:t xml:space="preserve">However, this has to be supported by </w:t>
            </w:r>
            <w:r w:rsidRPr="00A14151">
              <w:rPr>
                <w:lang w:val="en-IE"/>
              </w:rPr>
              <w:t xml:space="preserve">WG FM </w:t>
            </w:r>
            <w:r>
              <w:rPr>
                <w:lang w:val="en-IE"/>
              </w:rPr>
              <w:t>(</w:t>
            </w:r>
            <w:r w:rsidRPr="00A14151">
              <w:rPr>
                <w:lang w:val="en-IE"/>
              </w:rPr>
              <w:t xml:space="preserve">23 – 27 April </w:t>
            </w:r>
            <w:r>
              <w:rPr>
                <w:lang w:val="en-IE"/>
              </w:rPr>
              <w:t xml:space="preserve">2012 in </w:t>
            </w:r>
            <w:r w:rsidRPr="00A14151">
              <w:rPr>
                <w:lang w:val="en-IE"/>
              </w:rPr>
              <w:t>Bern, Switzerland)</w:t>
            </w:r>
            <w:r>
              <w:rPr>
                <w:lang w:val="en-IE"/>
              </w:rPr>
              <w:t>.</w:t>
            </w:r>
          </w:p>
          <w:p w:rsidR="006C244E" w:rsidRDefault="006C244E" w:rsidP="006C244E">
            <w:pPr>
              <w:rPr>
                <w:lang w:val="en-IE"/>
              </w:rPr>
            </w:pPr>
          </w:p>
          <w:p w:rsidR="00876F97" w:rsidRPr="00025717" w:rsidRDefault="00876F97" w:rsidP="00A83BCF">
            <w:pPr>
              <w:jc w:val="both"/>
              <w:rPr>
                <w:b/>
                <w:smallCaps/>
              </w:rPr>
            </w:pPr>
          </w:p>
        </w:tc>
      </w:tr>
    </w:tbl>
    <w:p w:rsidR="00077F50" w:rsidRDefault="00077F50">
      <w:pPr>
        <w:rPr>
          <w:lang w:val="en-IE"/>
        </w:rPr>
      </w:pPr>
    </w:p>
    <w:sectPr w:rsidR="00077F50" w:rsidSect="00E330E9">
      <w:footerReference w:type="even" r:id="rId10"/>
      <w:footerReference w:type="default" r:id="rId11"/>
      <w:pgSz w:w="11909" w:h="16834"/>
      <w:pgMar w:top="1440" w:right="1289" w:bottom="1440" w:left="1260" w:header="993"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18" w:rsidRDefault="00E12918">
      <w:r>
        <w:separator/>
      </w:r>
    </w:p>
  </w:endnote>
  <w:endnote w:type="continuationSeparator" w:id="0">
    <w:p w:rsidR="00E12918" w:rsidRDefault="00E1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4E" w:rsidRDefault="006C244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6C244E" w:rsidRDefault="006C244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4E" w:rsidRDefault="006C244E" w:rsidP="00E330E9">
    <w:pPr>
      <w:pStyle w:val="Fuzeile"/>
      <w:pBdr>
        <w:bottom w:val="single" w:sz="12" w:space="1" w:color="auto"/>
      </w:pBdr>
      <w:tabs>
        <w:tab w:val="clear" w:pos="4153"/>
        <w:tab w:val="clear" w:pos="8306"/>
        <w:tab w:val="left" w:pos="4500"/>
        <w:tab w:val="right" w:pos="8820"/>
      </w:tabs>
      <w:rPr>
        <w:rFonts w:ascii="Arial" w:hAnsi="Arial" w:cs="Arial"/>
        <w:sz w:val="20"/>
        <w:lang w:val="en-IE"/>
      </w:rPr>
    </w:pPr>
  </w:p>
  <w:p w:rsidR="006C244E" w:rsidRPr="003109E8" w:rsidRDefault="006C244E" w:rsidP="00E330E9">
    <w:pPr>
      <w:pStyle w:val="Fuzeile"/>
      <w:tabs>
        <w:tab w:val="clear" w:pos="4153"/>
        <w:tab w:val="clear" w:pos="8306"/>
        <w:tab w:val="left" w:pos="4500"/>
        <w:tab w:val="right" w:pos="8820"/>
      </w:tabs>
      <w:rPr>
        <w:sz w:val="20"/>
        <w:lang w:val="en-IE"/>
      </w:rPr>
    </w:pPr>
    <w:r w:rsidRPr="00165EB6">
      <w:rPr>
        <w:sz w:val="20"/>
        <w:lang w:val="en-IE"/>
      </w:rPr>
      <w:t>WG SE –</w:t>
    </w:r>
    <w:r w:rsidRPr="00165EB6">
      <w:rPr>
        <w:bCs/>
        <w:kern w:val="36"/>
        <w:sz w:val="20"/>
      </w:rPr>
      <w:t xml:space="preserve"> </w:t>
    </w:r>
    <w:proofErr w:type="spellStart"/>
    <w:r w:rsidRPr="00165EB6">
      <w:rPr>
        <w:bCs/>
        <w:kern w:val="36"/>
        <w:sz w:val="20"/>
      </w:rPr>
      <w:t>Åre</w:t>
    </w:r>
    <w:proofErr w:type="spellEnd"/>
    <w:r w:rsidRPr="00165EB6">
      <w:rPr>
        <w:bCs/>
        <w:kern w:val="36"/>
        <w:sz w:val="20"/>
      </w:rPr>
      <w:t xml:space="preserve"> – 26-30 March</w:t>
    </w:r>
    <w:r w:rsidRPr="00165EB6">
      <w:rPr>
        <w:sz w:val="20"/>
        <w:lang w:val="en-IE"/>
      </w:rPr>
      <w:t xml:space="preserve"> 2012</w:t>
    </w:r>
    <w:r w:rsidRPr="003109E8">
      <w:rPr>
        <w:sz w:val="20"/>
        <w:lang w:val="en-IE"/>
      </w:rPr>
      <w:tab/>
    </w:r>
    <w:r w:rsidRPr="003109E8">
      <w:rPr>
        <w:rStyle w:val="Seitenzahl"/>
        <w:sz w:val="20"/>
      </w:rPr>
      <w:fldChar w:fldCharType="begin"/>
    </w:r>
    <w:r w:rsidRPr="003109E8">
      <w:rPr>
        <w:rStyle w:val="Seitenzahl"/>
        <w:sz w:val="20"/>
      </w:rPr>
      <w:instrText xml:space="preserve"> PAGE </w:instrText>
    </w:r>
    <w:r w:rsidRPr="003109E8">
      <w:rPr>
        <w:rStyle w:val="Seitenzahl"/>
        <w:sz w:val="20"/>
      </w:rPr>
      <w:fldChar w:fldCharType="separate"/>
    </w:r>
    <w:r w:rsidR="005B27DA">
      <w:rPr>
        <w:rStyle w:val="Seitenzahl"/>
        <w:noProof/>
        <w:sz w:val="20"/>
      </w:rPr>
      <w:t>2</w:t>
    </w:r>
    <w:r w:rsidRPr="003109E8">
      <w:rPr>
        <w:rStyle w:val="Seitenzahl"/>
        <w:sz w:val="20"/>
      </w:rPr>
      <w:fldChar w:fldCharType="end"/>
    </w:r>
    <w:r w:rsidRPr="003109E8">
      <w:rPr>
        <w:rStyle w:val="Seitenzahl"/>
        <w:sz w:val="20"/>
      </w:rPr>
      <w:t>/</w:t>
    </w:r>
    <w:r w:rsidRPr="003109E8">
      <w:rPr>
        <w:rStyle w:val="Seitenzahl"/>
        <w:sz w:val="20"/>
      </w:rPr>
      <w:fldChar w:fldCharType="begin"/>
    </w:r>
    <w:r w:rsidRPr="003109E8">
      <w:rPr>
        <w:rStyle w:val="Seitenzahl"/>
        <w:sz w:val="20"/>
      </w:rPr>
      <w:instrText xml:space="preserve"> NUMPAGES </w:instrText>
    </w:r>
    <w:r w:rsidRPr="003109E8">
      <w:rPr>
        <w:rStyle w:val="Seitenzahl"/>
        <w:sz w:val="20"/>
      </w:rPr>
      <w:fldChar w:fldCharType="separate"/>
    </w:r>
    <w:r w:rsidR="005B27DA">
      <w:rPr>
        <w:rStyle w:val="Seitenzahl"/>
        <w:noProof/>
        <w:sz w:val="20"/>
      </w:rPr>
      <w:t>3</w:t>
    </w:r>
    <w:r w:rsidRPr="003109E8">
      <w:rPr>
        <w:rStyle w:val="Seitenzah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18" w:rsidRDefault="00E12918">
      <w:r>
        <w:separator/>
      </w:r>
    </w:p>
  </w:footnote>
  <w:footnote w:type="continuationSeparator" w:id="0">
    <w:p w:rsidR="00E12918" w:rsidRDefault="00E12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200176"/>
    <w:lvl w:ilvl="0">
      <w:start w:val="1"/>
      <w:numFmt w:val="bullet"/>
      <w:lvlText w:val=""/>
      <w:lvlJc w:val="left"/>
      <w:pPr>
        <w:tabs>
          <w:tab w:val="num" w:pos="360"/>
        </w:tabs>
        <w:ind w:left="360" w:hanging="360"/>
      </w:pPr>
      <w:rPr>
        <w:rFonts w:ascii="Symbol" w:hAnsi="Symbol" w:cs="Times New Roman" w:hint="default"/>
      </w:rPr>
    </w:lvl>
  </w:abstractNum>
  <w:abstractNum w:abstractNumId="1">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3E3E62"/>
    <w:multiLevelType w:val="hybridMultilevel"/>
    <w:tmpl w:val="E5DA81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147E644A"/>
    <w:multiLevelType w:val="hybridMultilevel"/>
    <w:tmpl w:val="4976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51464A"/>
    <w:multiLevelType w:val="hybridMultilevel"/>
    <w:tmpl w:val="6EB2244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E3F2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7">
    <w:nsid w:val="365929C8"/>
    <w:multiLevelType w:val="hybridMultilevel"/>
    <w:tmpl w:val="4022B9D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325263A"/>
    <w:multiLevelType w:val="multilevel"/>
    <w:tmpl w:val="3DB4AA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B9F56CD"/>
    <w:multiLevelType w:val="hybridMultilevel"/>
    <w:tmpl w:val="A01CF172"/>
    <w:lvl w:ilvl="0" w:tplc="71DEC708">
      <w:start w:val="37"/>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396B18"/>
    <w:multiLevelType w:val="singleLevel"/>
    <w:tmpl w:val="0809000F"/>
    <w:lvl w:ilvl="0">
      <w:start w:val="1"/>
      <w:numFmt w:val="decimal"/>
      <w:lvlText w:val="%1."/>
      <w:lvlJc w:val="left"/>
      <w:pPr>
        <w:tabs>
          <w:tab w:val="num" w:pos="360"/>
        </w:tabs>
        <w:ind w:left="360" w:hanging="360"/>
      </w:pPr>
    </w:lvl>
  </w:abstractNum>
  <w:abstractNum w:abstractNumId="12">
    <w:nsid w:val="51E74AB3"/>
    <w:multiLevelType w:val="hybridMultilevel"/>
    <w:tmpl w:val="AC023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7534A3"/>
    <w:multiLevelType w:val="singleLevel"/>
    <w:tmpl w:val="A1C0BFE8"/>
    <w:lvl w:ilvl="0">
      <w:start w:val="2"/>
      <w:numFmt w:val="bullet"/>
      <w:lvlText w:val="-"/>
      <w:lvlJc w:val="left"/>
      <w:pPr>
        <w:tabs>
          <w:tab w:val="num" w:pos="1080"/>
        </w:tabs>
        <w:ind w:left="1080" w:hanging="360"/>
      </w:pPr>
      <w:rPr>
        <w:rFonts w:hint="default"/>
      </w:rPr>
    </w:lvl>
  </w:abstractNum>
  <w:abstractNum w:abstractNumId="14">
    <w:nsid w:val="6B846D3F"/>
    <w:multiLevelType w:val="hybridMultilevel"/>
    <w:tmpl w:val="BDFC14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C0D6C73"/>
    <w:multiLevelType w:val="singleLevel"/>
    <w:tmpl w:val="A1C0BFE8"/>
    <w:lvl w:ilvl="0">
      <w:start w:val="2"/>
      <w:numFmt w:val="bullet"/>
      <w:lvlText w:val="-"/>
      <w:lvlJc w:val="left"/>
      <w:pPr>
        <w:tabs>
          <w:tab w:val="num" w:pos="1080"/>
        </w:tabs>
        <w:ind w:left="1080" w:hanging="360"/>
      </w:pPr>
      <w:rPr>
        <w:rFonts w:hint="default"/>
      </w:rPr>
    </w:lvl>
  </w:abstractNum>
  <w:abstractNum w:abstractNumId="16">
    <w:nsid w:val="6FAA2540"/>
    <w:multiLevelType w:val="hybridMultilevel"/>
    <w:tmpl w:val="0B1CB484"/>
    <w:lvl w:ilvl="0" w:tplc="C0844060">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843369"/>
    <w:multiLevelType w:val="singleLevel"/>
    <w:tmpl w:val="0409000F"/>
    <w:lvl w:ilvl="0">
      <w:start w:val="1"/>
      <w:numFmt w:val="decimal"/>
      <w:lvlText w:val="%1."/>
      <w:legacy w:legacy="1" w:legacySpace="0" w:legacyIndent="360"/>
      <w:lvlJc w:val="left"/>
      <w:pPr>
        <w:ind w:left="360" w:hanging="360"/>
      </w:pPr>
    </w:lvl>
  </w:abstractNum>
  <w:abstractNum w:abstractNumId="18">
    <w:nsid w:val="75871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89303BD"/>
    <w:multiLevelType w:val="hybridMultilevel"/>
    <w:tmpl w:val="370AE59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AF60EA7"/>
    <w:multiLevelType w:val="hybridMultilevel"/>
    <w:tmpl w:val="CAD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6"/>
  </w:num>
  <w:num w:numId="5">
    <w:abstractNumId w:val="15"/>
  </w:num>
  <w:num w:numId="6">
    <w:abstractNumId w:val="17"/>
    <w:lvlOverride w:ilvl="0">
      <w:lvl w:ilvl="0">
        <w:start w:val="1"/>
        <w:numFmt w:val="decimal"/>
        <w:lvlText w:val="%1."/>
        <w:legacy w:legacy="1" w:legacySpace="0" w:legacyIndent="360"/>
        <w:lvlJc w:val="left"/>
        <w:pPr>
          <w:ind w:left="360" w:hanging="360"/>
        </w:pPr>
      </w:lvl>
    </w:lvlOverride>
  </w:num>
  <w:num w:numId="7">
    <w:abstractNumId w:val="18"/>
  </w:num>
  <w:num w:numId="8">
    <w:abstractNumId w:val="11"/>
  </w:num>
  <w:num w:numId="9">
    <w:abstractNumId w:val="7"/>
  </w:num>
  <w:num w:numId="10">
    <w:abstractNumId w:val="2"/>
  </w:num>
  <w:num w:numId="11">
    <w:abstractNumId w:val="0"/>
  </w:num>
  <w:num w:numId="12">
    <w:abstractNumId w:val="20"/>
  </w:num>
  <w:num w:numId="13">
    <w:abstractNumId w:val="16"/>
  </w:num>
  <w:num w:numId="14">
    <w:abstractNumId w:val="10"/>
  </w:num>
  <w:num w:numId="15">
    <w:abstractNumId w:val="19"/>
  </w:num>
  <w:num w:numId="16">
    <w:abstractNumId w:val="4"/>
  </w:num>
  <w:num w:numId="17">
    <w:abstractNumId w:val="14"/>
  </w:num>
  <w:num w:numId="18">
    <w:abstractNumId w:val="12"/>
  </w:num>
  <w:num w:numId="19">
    <w:abstractNumId w:val="9"/>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B4"/>
    <w:rsid w:val="00001BF7"/>
    <w:rsid w:val="00013150"/>
    <w:rsid w:val="0002057D"/>
    <w:rsid w:val="00025717"/>
    <w:rsid w:val="00045BC1"/>
    <w:rsid w:val="000700D1"/>
    <w:rsid w:val="00077F50"/>
    <w:rsid w:val="000A1542"/>
    <w:rsid w:val="000B3644"/>
    <w:rsid w:val="000C4962"/>
    <w:rsid w:val="000F3370"/>
    <w:rsid w:val="00112998"/>
    <w:rsid w:val="00124FB0"/>
    <w:rsid w:val="0012680F"/>
    <w:rsid w:val="00136BC3"/>
    <w:rsid w:val="00145AD2"/>
    <w:rsid w:val="00165EB6"/>
    <w:rsid w:val="00191FF6"/>
    <w:rsid w:val="00193E52"/>
    <w:rsid w:val="001B4A15"/>
    <w:rsid w:val="001B5B01"/>
    <w:rsid w:val="001D33CE"/>
    <w:rsid w:val="001D668A"/>
    <w:rsid w:val="001E34F0"/>
    <w:rsid w:val="001E669A"/>
    <w:rsid w:val="00211ED9"/>
    <w:rsid w:val="00215BDD"/>
    <w:rsid w:val="00257D74"/>
    <w:rsid w:val="00261679"/>
    <w:rsid w:val="002A54ED"/>
    <w:rsid w:val="002B1525"/>
    <w:rsid w:val="002B5308"/>
    <w:rsid w:val="002C65CC"/>
    <w:rsid w:val="002D0E1C"/>
    <w:rsid w:val="002D6DB4"/>
    <w:rsid w:val="0030797A"/>
    <w:rsid w:val="003109E8"/>
    <w:rsid w:val="00331338"/>
    <w:rsid w:val="003601AD"/>
    <w:rsid w:val="003616DB"/>
    <w:rsid w:val="003659D9"/>
    <w:rsid w:val="00367A78"/>
    <w:rsid w:val="00372125"/>
    <w:rsid w:val="0037484F"/>
    <w:rsid w:val="003C7138"/>
    <w:rsid w:val="003E2EA1"/>
    <w:rsid w:val="003F4520"/>
    <w:rsid w:val="004149E0"/>
    <w:rsid w:val="0042281B"/>
    <w:rsid w:val="004245ED"/>
    <w:rsid w:val="00425709"/>
    <w:rsid w:val="00431E60"/>
    <w:rsid w:val="00440662"/>
    <w:rsid w:val="00457E12"/>
    <w:rsid w:val="00480EB9"/>
    <w:rsid w:val="0048317C"/>
    <w:rsid w:val="00484A0D"/>
    <w:rsid w:val="00492936"/>
    <w:rsid w:val="00493327"/>
    <w:rsid w:val="00497E44"/>
    <w:rsid w:val="004C2A48"/>
    <w:rsid w:val="004C5409"/>
    <w:rsid w:val="004C7E14"/>
    <w:rsid w:val="004D46DD"/>
    <w:rsid w:val="004F47C0"/>
    <w:rsid w:val="00503613"/>
    <w:rsid w:val="005330A7"/>
    <w:rsid w:val="005364F0"/>
    <w:rsid w:val="00557960"/>
    <w:rsid w:val="00581E28"/>
    <w:rsid w:val="00593946"/>
    <w:rsid w:val="005A4932"/>
    <w:rsid w:val="005A6663"/>
    <w:rsid w:val="005B27DA"/>
    <w:rsid w:val="005B3401"/>
    <w:rsid w:val="005C3429"/>
    <w:rsid w:val="005C7C63"/>
    <w:rsid w:val="005D5651"/>
    <w:rsid w:val="005F303F"/>
    <w:rsid w:val="006121A9"/>
    <w:rsid w:val="00676739"/>
    <w:rsid w:val="00676A88"/>
    <w:rsid w:val="00682122"/>
    <w:rsid w:val="00682C94"/>
    <w:rsid w:val="00683897"/>
    <w:rsid w:val="006928FB"/>
    <w:rsid w:val="006C244E"/>
    <w:rsid w:val="006C498F"/>
    <w:rsid w:val="006C7574"/>
    <w:rsid w:val="0073305B"/>
    <w:rsid w:val="007363C8"/>
    <w:rsid w:val="00763D33"/>
    <w:rsid w:val="00770359"/>
    <w:rsid w:val="007F58C5"/>
    <w:rsid w:val="007F667B"/>
    <w:rsid w:val="00815F8A"/>
    <w:rsid w:val="008164B7"/>
    <w:rsid w:val="00820E6C"/>
    <w:rsid w:val="00822603"/>
    <w:rsid w:val="00850F57"/>
    <w:rsid w:val="00876F97"/>
    <w:rsid w:val="008D1D7A"/>
    <w:rsid w:val="008D7C0E"/>
    <w:rsid w:val="008E2DBF"/>
    <w:rsid w:val="009101AE"/>
    <w:rsid w:val="00921372"/>
    <w:rsid w:val="0097414E"/>
    <w:rsid w:val="009825EC"/>
    <w:rsid w:val="009C1706"/>
    <w:rsid w:val="009D217B"/>
    <w:rsid w:val="009E2710"/>
    <w:rsid w:val="00A01AAB"/>
    <w:rsid w:val="00A12FA8"/>
    <w:rsid w:val="00A14151"/>
    <w:rsid w:val="00A176E1"/>
    <w:rsid w:val="00A23EAD"/>
    <w:rsid w:val="00A37D09"/>
    <w:rsid w:val="00A4701C"/>
    <w:rsid w:val="00A83BCF"/>
    <w:rsid w:val="00A868EF"/>
    <w:rsid w:val="00AD01C8"/>
    <w:rsid w:val="00AD1BF6"/>
    <w:rsid w:val="00B47BDF"/>
    <w:rsid w:val="00B56C3E"/>
    <w:rsid w:val="00B576EC"/>
    <w:rsid w:val="00B747AE"/>
    <w:rsid w:val="00BB5E59"/>
    <w:rsid w:val="00BC0865"/>
    <w:rsid w:val="00BD2606"/>
    <w:rsid w:val="00BE1F50"/>
    <w:rsid w:val="00C005DE"/>
    <w:rsid w:val="00C03BA4"/>
    <w:rsid w:val="00C12001"/>
    <w:rsid w:val="00C32384"/>
    <w:rsid w:val="00C478E7"/>
    <w:rsid w:val="00C73EB3"/>
    <w:rsid w:val="00C96E94"/>
    <w:rsid w:val="00CA0C36"/>
    <w:rsid w:val="00CC70FB"/>
    <w:rsid w:val="00CE6788"/>
    <w:rsid w:val="00CF3D16"/>
    <w:rsid w:val="00D321E6"/>
    <w:rsid w:val="00D3353F"/>
    <w:rsid w:val="00D3652B"/>
    <w:rsid w:val="00D46C58"/>
    <w:rsid w:val="00D52E00"/>
    <w:rsid w:val="00D55858"/>
    <w:rsid w:val="00D60FFA"/>
    <w:rsid w:val="00D62CB0"/>
    <w:rsid w:val="00D72BF1"/>
    <w:rsid w:val="00D8116C"/>
    <w:rsid w:val="00DD691A"/>
    <w:rsid w:val="00DE0D14"/>
    <w:rsid w:val="00DE5448"/>
    <w:rsid w:val="00E078AD"/>
    <w:rsid w:val="00E0792A"/>
    <w:rsid w:val="00E12918"/>
    <w:rsid w:val="00E15B10"/>
    <w:rsid w:val="00E23069"/>
    <w:rsid w:val="00E330E9"/>
    <w:rsid w:val="00E512EC"/>
    <w:rsid w:val="00E627AA"/>
    <w:rsid w:val="00E63AFF"/>
    <w:rsid w:val="00E67376"/>
    <w:rsid w:val="00E67941"/>
    <w:rsid w:val="00E733CD"/>
    <w:rsid w:val="00E826E3"/>
    <w:rsid w:val="00E84310"/>
    <w:rsid w:val="00E91172"/>
    <w:rsid w:val="00ED117E"/>
    <w:rsid w:val="00ED75DD"/>
    <w:rsid w:val="00EE564C"/>
    <w:rsid w:val="00F2029E"/>
    <w:rsid w:val="00F309B6"/>
    <w:rsid w:val="00F45C14"/>
    <w:rsid w:val="00F5049C"/>
    <w:rsid w:val="00F92526"/>
    <w:rsid w:val="00F9426D"/>
    <w:rsid w:val="00FC2A98"/>
    <w:rsid w:val="00FF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fr-FR" w:eastAsia="fr-FR"/>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
    <w:name w:val="Char Char Zchn Zchn"/>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styleId="Listenabsatz">
    <w:name w:val="List Paragraph"/>
    <w:basedOn w:val="Standard"/>
    <w:uiPriority w:val="34"/>
    <w:qFormat/>
    <w:rsid w:val="00D55858"/>
    <w:pPr>
      <w:ind w:left="720"/>
      <w:contextualSpacing/>
    </w:pPr>
  </w:style>
  <w:style w:type="paragraph" w:customStyle="1" w:styleId="CharCharZchnZchn0">
    <w:name w:val="Char Char Zchn Zchn"/>
    <w:basedOn w:val="Standard"/>
    <w:rsid w:val="00045BC1"/>
    <w:pPr>
      <w:tabs>
        <w:tab w:val="left" w:pos="540"/>
        <w:tab w:val="left" w:pos="1260"/>
        <w:tab w:val="left" w:pos="1800"/>
      </w:tabs>
      <w:spacing w:before="240" w:after="160" w:line="240" w:lineRule="exact"/>
    </w:pPr>
    <w:rPr>
      <w:rFonts w:ascii="Verdana" w:hAnsi="Verdana"/>
      <w:szCs w:val="20"/>
      <w:lang w:val="en-US" w:eastAsia="en-US"/>
    </w:rPr>
  </w:style>
  <w:style w:type="paragraph" w:styleId="Sprechblasentext">
    <w:name w:val="Balloon Text"/>
    <w:basedOn w:val="Standard"/>
    <w:link w:val="SprechblasentextZchn"/>
    <w:rsid w:val="00557960"/>
    <w:rPr>
      <w:rFonts w:ascii="Tahoma" w:hAnsi="Tahoma" w:cs="Tahoma"/>
      <w:sz w:val="16"/>
      <w:szCs w:val="16"/>
    </w:rPr>
  </w:style>
  <w:style w:type="character" w:customStyle="1" w:styleId="SprechblasentextZchn">
    <w:name w:val="Sprechblasentext Zchn"/>
    <w:basedOn w:val="Absatz-Standardschriftart"/>
    <w:link w:val="Sprechblasentext"/>
    <w:rsid w:val="00557960"/>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fr-FR" w:eastAsia="fr-FR"/>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raster">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
    <w:name w:val="Char Char Zchn Zchn"/>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styleId="Listenabsatz">
    <w:name w:val="List Paragraph"/>
    <w:basedOn w:val="Standard"/>
    <w:uiPriority w:val="34"/>
    <w:qFormat/>
    <w:rsid w:val="00D55858"/>
    <w:pPr>
      <w:ind w:left="720"/>
      <w:contextualSpacing/>
    </w:pPr>
  </w:style>
  <w:style w:type="paragraph" w:customStyle="1" w:styleId="CharCharZchnZchn0">
    <w:name w:val="Char Char Zchn Zchn"/>
    <w:basedOn w:val="Standard"/>
    <w:rsid w:val="00045BC1"/>
    <w:pPr>
      <w:tabs>
        <w:tab w:val="left" w:pos="540"/>
        <w:tab w:val="left" w:pos="1260"/>
        <w:tab w:val="left" w:pos="1800"/>
      </w:tabs>
      <w:spacing w:before="240" w:after="160" w:line="240" w:lineRule="exact"/>
    </w:pPr>
    <w:rPr>
      <w:rFonts w:ascii="Verdana" w:hAnsi="Verdana"/>
      <w:szCs w:val="20"/>
      <w:lang w:val="en-US" w:eastAsia="en-US"/>
    </w:rPr>
  </w:style>
  <w:style w:type="paragraph" w:styleId="Sprechblasentext">
    <w:name w:val="Balloon Text"/>
    <w:basedOn w:val="Standard"/>
    <w:link w:val="SprechblasentextZchn"/>
    <w:rsid w:val="00557960"/>
    <w:rPr>
      <w:rFonts w:ascii="Tahoma" w:hAnsi="Tahoma" w:cs="Tahoma"/>
      <w:sz w:val="16"/>
      <w:szCs w:val="16"/>
    </w:rPr>
  </w:style>
  <w:style w:type="character" w:customStyle="1" w:styleId="SprechblasentextZchn">
    <w:name w:val="Sprechblasentext Zchn"/>
    <w:basedOn w:val="Absatz-Standardschriftart"/>
    <w:link w:val="Sprechblasentext"/>
    <w:rsid w:val="0055796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887D1-1390-4CDD-9F86-A439549F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00XSE(10)</vt:lpstr>
      <vt:lpstr>00XSE(10)</vt:lpstr>
    </vt:vector>
  </TitlesOfParts>
  <Company>ANFR</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00XSE(10)</dc:title>
  <dc:subject>Template for the 57th WG SE Meeting, Cluj Napoca</dc:subject>
  <dc:creator>ESPINOSA</dc:creator>
  <cp:keywords/>
  <dc:description/>
  <cp:lastModifiedBy>Bundesnetzagentur</cp:lastModifiedBy>
  <cp:revision>2</cp:revision>
  <cp:lastPrinted>2007-07-16T13:16:00Z</cp:lastPrinted>
  <dcterms:created xsi:type="dcterms:W3CDTF">2012-03-22T14:51:00Z</dcterms:created>
  <dcterms:modified xsi:type="dcterms:W3CDTF">2012-03-22T14:51:00Z</dcterms:modified>
</cp:coreProperties>
</file>