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009" w:rsidRPr="00FB1466" w:rsidRDefault="004A6009" w:rsidP="00D011F8">
      <w:pPr>
        <w:pStyle w:val="ZT"/>
        <w:framePr w:w="10206" w:h="2889" w:hRule="exact" w:wrap="notBeside" w:vAnchor="page" w:hAnchor="page" w:x="1032" w:y="2089"/>
      </w:pPr>
      <w:bookmarkStart w:id="0" w:name="doctitle"/>
      <w:bookmarkStart w:id="1" w:name="page1"/>
      <w:bookmarkStart w:id="2" w:name="pages12"/>
    </w:p>
    <w:bookmarkEnd w:id="0"/>
    <w:p w:rsidR="004A6009" w:rsidRPr="00FB1466" w:rsidRDefault="004A6009" w:rsidP="00D011F8">
      <w:pPr>
        <w:pStyle w:val="ZT"/>
        <w:framePr w:w="10206" w:h="2889" w:hRule="exact" w:wrap="notBeside" w:vAnchor="page" w:hAnchor="page" w:x="1032" w:y="2089"/>
      </w:pPr>
      <w:r>
        <w:t>E</w:t>
      </w:r>
      <w:r w:rsidRPr="00FB1466">
        <w:t>lectromagnetic compatibility</w:t>
      </w:r>
    </w:p>
    <w:p w:rsidR="004A6009" w:rsidRPr="00FB1466" w:rsidRDefault="004A6009" w:rsidP="00D011F8">
      <w:pPr>
        <w:pStyle w:val="ZT"/>
        <w:framePr w:w="10206" w:h="2889" w:hRule="exact" w:wrap="notBeside" w:vAnchor="page" w:hAnchor="page" w:x="1032" w:y="2089"/>
      </w:pPr>
      <w:proofErr w:type="gramStart"/>
      <w:r w:rsidRPr="00FB1466">
        <w:t>an</w:t>
      </w:r>
      <w:r>
        <w:t>d</w:t>
      </w:r>
      <w:proofErr w:type="gramEnd"/>
      <w:r>
        <w:t xml:space="preserve"> Radio spectrum Matters (ERM);</w:t>
      </w:r>
    </w:p>
    <w:p w:rsidR="004A6009" w:rsidRDefault="004A6009" w:rsidP="00D011F8">
      <w:pPr>
        <w:pStyle w:val="ZT"/>
        <w:framePr w:w="10206" w:h="2889" w:hRule="exact" w:wrap="notBeside" w:vAnchor="page" w:hAnchor="page" w:x="1032" w:y="2089"/>
      </w:pPr>
      <w:r w:rsidRPr="00FB1466">
        <w:t xml:space="preserve">System </w:t>
      </w:r>
      <w:r>
        <w:t>R</w:t>
      </w:r>
      <w:r w:rsidRPr="00FB1466">
        <w:t>eference document</w:t>
      </w:r>
      <w:r>
        <w:t xml:space="preserve"> (</w:t>
      </w:r>
      <w:proofErr w:type="spellStart"/>
      <w:r>
        <w:t>SRdoc</w:t>
      </w:r>
      <w:proofErr w:type="spellEnd"/>
      <w:r>
        <w:t>);</w:t>
      </w:r>
    </w:p>
    <w:p w:rsidR="004A6009" w:rsidRDefault="004A6009" w:rsidP="00D011F8">
      <w:pPr>
        <w:pStyle w:val="ZT"/>
        <w:framePr w:w="10206" w:h="2889" w:hRule="exact" w:wrap="notBeside" w:vAnchor="page" w:hAnchor="page" w:x="1032" w:y="2089"/>
      </w:pPr>
      <w:r w:rsidRPr="005B0113">
        <w:t>Broadband Direct-Air-to-Ground Communications</w:t>
      </w:r>
      <w:r>
        <w:t xml:space="preserve"> </w:t>
      </w:r>
      <w:r w:rsidRPr="005B0113">
        <w:t>System employing</w:t>
      </w:r>
      <w:r>
        <w:t xml:space="preserve"> </w:t>
      </w:r>
      <w:r w:rsidRPr="005B0113">
        <w:t>beamforming antennas,</w:t>
      </w:r>
      <w:r>
        <w:t xml:space="preserve"> </w:t>
      </w:r>
      <w:r w:rsidRPr="005B0113">
        <w:t>operating</w:t>
      </w:r>
    </w:p>
    <w:p w:rsidR="004A6009" w:rsidRPr="00FB1466" w:rsidRDefault="004A6009" w:rsidP="00D011F8">
      <w:pPr>
        <w:pStyle w:val="ZT"/>
        <w:framePr w:w="10206" w:h="2889" w:hRule="exact" w:wrap="notBeside" w:vAnchor="page" w:hAnchor="page" w:x="1032" w:y="2089"/>
      </w:pPr>
      <w:proofErr w:type="gramStart"/>
      <w:r w:rsidRPr="005B0113">
        <w:t>in</w:t>
      </w:r>
      <w:proofErr w:type="gramEnd"/>
      <w:r w:rsidRPr="005B0113">
        <w:t xml:space="preserve"> the 2,4 GHz and 5,8 GHz</w:t>
      </w:r>
      <w:r>
        <w:t xml:space="preserve"> bands</w:t>
      </w:r>
      <w:r w:rsidRPr="005B0113">
        <w:t xml:space="preserve"> </w:t>
      </w:r>
    </w:p>
    <w:p w:rsidR="004A6009" w:rsidRPr="00FB1466" w:rsidRDefault="004A6009" w:rsidP="005A4E96">
      <w:pPr>
        <w:pStyle w:val="EQ"/>
        <w:keepLines w:val="0"/>
        <w:tabs>
          <w:tab w:val="clear" w:pos="4536"/>
          <w:tab w:val="clear" w:pos="9072"/>
        </w:tabs>
        <w:rPr>
          <w:noProof w:val="0"/>
        </w:rPr>
      </w:pPr>
    </w:p>
    <w:p w:rsidR="004A6009" w:rsidRPr="006A124C" w:rsidRDefault="004A6009" w:rsidP="005B0113">
      <w:pPr>
        <w:pStyle w:val="ZTD"/>
        <w:framePr w:wrap="notBeside"/>
        <w:jc w:val="left"/>
        <w:rPr>
          <w:noProof w:val="0"/>
        </w:rPr>
      </w:pPr>
    </w:p>
    <w:p w:rsidR="004A6009" w:rsidRPr="004A6009" w:rsidRDefault="00433932" w:rsidP="002B4518">
      <w:pPr>
        <w:pStyle w:val="ZA"/>
        <w:framePr w:w="10440" w:wrap="notBeside" w:hAnchor="page" w:x="852" w:y="1189"/>
        <w:jc w:val="left"/>
        <w:rPr>
          <w:noProof w:val="0"/>
          <w:sz w:val="32"/>
          <w:szCs w:val="32"/>
        </w:rPr>
      </w:pPr>
      <w:bookmarkStart w:id="3" w:name="docdraft"/>
      <w:bookmarkEnd w:id="3"/>
      <w:r w:rsidRPr="00433932">
        <w:rPr>
          <w:noProof w:val="0"/>
          <w:sz w:val="32"/>
          <w:szCs w:val="32"/>
        </w:rPr>
        <w:t>Draft</w:t>
      </w:r>
      <w:r w:rsidRPr="00433932">
        <w:rPr>
          <w:noProof w:val="0"/>
        </w:rPr>
        <w:t xml:space="preserve"> </w:t>
      </w:r>
      <w:r w:rsidRPr="00433932">
        <w:rPr>
          <w:noProof w:val="0"/>
          <w:sz w:val="64"/>
        </w:rPr>
        <w:t>ETSI TR 1</w:t>
      </w:r>
      <w:r w:rsidR="00B80B34">
        <w:rPr>
          <w:noProof w:val="0"/>
          <w:sz w:val="64"/>
        </w:rPr>
        <w:t>01 599</w:t>
      </w:r>
      <w:r w:rsidRPr="00433932">
        <w:rPr>
          <w:noProof w:val="0"/>
          <w:sz w:val="64"/>
        </w:rPr>
        <w:t xml:space="preserve"> </w:t>
      </w:r>
      <w:r w:rsidRPr="00433932">
        <w:rPr>
          <w:noProof w:val="0"/>
        </w:rPr>
        <w:t>V</w:t>
      </w:r>
      <w:bookmarkStart w:id="4" w:name="docversion"/>
      <w:r w:rsidRPr="00433932">
        <w:rPr>
          <w:noProof w:val="0"/>
        </w:rPr>
        <w:t xml:space="preserve"> 0.0.</w:t>
      </w:r>
      <w:r w:rsidR="002B4518">
        <w:rPr>
          <w:noProof w:val="0"/>
        </w:rPr>
        <w:t>10</w:t>
      </w:r>
      <w:r w:rsidRPr="00433932">
        <w:rPr>
          <w:noProof w:val="0"/>
        </w:rPr>
        <w:t>_</w:t>
      </w:r>
      <w:r w:rsidRPr="00433932">
        <w:rPr>
          <w:noProof w:val="0"/>
          <w:sz w:val="32"/>
          <w:szCs w:val="32"/>
        </w:rPr>
        <w:t>a.s.m</w:t>
      </w:r>
      <w:r w:rsidRPr="00433932">
        <w:rPr>
          <w:rStyle w:val="ZGSM"/>
          <w:noProof w:val="0"/>
          <w:sz w:val="32"/>
          <w:szCs w:val="32"/>
        </w:rPr>
        <w:t xml:space="preserve"> </w:t>
      </w:r>
      <w:bookmarkEnd w:id="4"/>
      <w:r w:rsidRPr="00433932">
        <w:rPr>
          <w:rStyle w:val="ZGSM"/>
          <w:noProof w:val="0"/>
          <w:sz w:val="32"/>
          <w:szCs w:val="32"/>
        </w:rPr>
        <w:t>(2011-12)</w:t>
      </w:r>
    </w:p>
    <w:p w:rsidR="004A6009" w:rsidRPr="00FB1466" w:rsidRDefault="004A6009" w:rsidP="005A4E96">
      <w:pPr>
        <w:pStyle w:val="ZB"/>
        <w:framePr w:wrap="notBeside"/>
        <w:rPr>
          <w:noProof w:val="0"/>
        </w:rPr>
      </w:pPr>
      <w:r w:rsidRPr="00FB1466">
        <w:rPr>
          <w:noProof w:val="0"/>
        </w:rPr>
        <w:t>Technical Report</w:t>
      </w:r>
    </w:p>
    <w:p w:rsidR="004A6009" w:rsidRPr="00FB1466" w:rsidRDefault="004A6009" w:rsidP="005A4E96">
      <w:pPr>
        <w:pStyle w:val="ZU"/>
        <w:framePr w:wrap="notBeside"/>
        <w:rPr>
          <w:noProof w:val="0"/>
        </w:rPr>
      </w:pPr>
    </w:p>
    <w:p w:rsidR="004A6009" w:rsidRPr="00FB1466" w:rsidRDefault="004A6009" w:rsidP="005A4E96">
      <w:pPr>
        <w:pStyle w:val="ZG"/>
        <w:framePr w:wrap="notBeside"/>
        <w:rPr>
          <w:noProof w:val="0"/>
        </w:rPr>
      </w:pPr>
      <w:bookmarkStart w:id="5" w:name="doclogo"/>
      <w:bookmarkEnd w:id="5"/>
    </w:p>
    <w:p w:rsidR="004A6009" w:rsidRPr="00FB1466" w:rsidRDefault="004A6009" w:rsidP="005A4E96">
      <w:pPr>
        <w:pStyle w:val="ZD"/>
        <w:framePr w:wrap="notBeside"/>
        <w:rPr>
          <w:noProof w:val="0"/>
        </w:rPr>
      </w:pPr>
    </w:p>
    <w:p w:rsidR="004A6009" w:rsidRPr="00FB1466" w:rsidRDefault="004A6009" w:rsidP="005A4E96">
      <w:pPr>
        <w:pStyle w:val="ZV"/>
        <w:framePr w:wrap="notBeside"/>
        <w:rPr>
          <w:noProof w:val="0"/>
        </w:rPr>
      </w:pPr>
    </w:p>
    <w:bookmarkEnd w:id="1"/>
    <w:p w:rsidR="004A6009" w:rsidRPr="00FB1466" w:rsidRDefault="006910C7" w:rsidP="005A4E96">
      <w:pPr>
        <w:sectPr w:rsidR="004A6009" w:rsidRPr="00FB1466" w:rsidSect="005A4E96">
          <w:headerReference w:type="default" r:id="rId8"/>
          <w:footnotePr>
            <w:numRestart w:val="eachSect"/>
          </w:footnotePr>
          <w:pgSz w:w="11907" w:h="16840"/>
          <w:pgMar w:top="2268" w:right="851" w:bottom="10773" w:left="851" w:header="0" w:footer="0" w:gutter="0"/>
          <w:pgNumType w:start="1"/>
          <w:cols w:space="720"/>
          <w:rtlGutter/>
        </w:sectPr>
      </w:pPr>
      <w:r w:rsidRPr="006910C7">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8.5pt;margin-top:177.05pt;width:271.5pt;height:39pt;rotation:-1498448fd;z-index:2">
            <v:shadow color="#868686"/>
            <v:textpath style="font-family:&quot;Arial Black&quot;;font-size:28pt;v-text-kern:t" trim="t" fitpath="t" string="pre-approval draft"/>
          </v:shape>
        </w:pict>
      </w:r>
      <w:r w:rsidRPr="006910C7">
        <w:rPr>
          <w:noProof/>
          <w:lang w:val="de-DE" w:eastAsia="de-DE"/>
        </w:rPr>
        <w:pict>
          <v:line id="_x0000_s1027" style="position:absolute;flip:y;z-index:4" from="108pt,186.05pt" to="378pt,303.05pt"/>
        </w:pict>
      </w:r>
      <w:r w:rsidRPr="006910C7">
        <w:rPr>
          <w:noProof/>
          <w:lang w:val="de-DE" w:eastAsia="de-DE"/>
        </w:rPr>
        <w:pict>
          <v:line id="_x0000_s1028" style="position:absolute;flip:y;z-index:3" from="1in,96.05pt" to="342pt,213.05pt"/>
        </w:pict>
      </w:r>
    </w:p>
    <w:p w:rsidR="004A6009" w:rsidRPr="0033245C" w:rsidRDefault="004A6009" w:rsidP="005A4E96">
      <w:pPr>
        <w:pStyle w:val="FP"/>
        <w:framePr w:wrap="notBeside" w:vAnchor="page" w:hAnchor="page" w:x="1141" w:y="2836"/>
        <w:pBdr>
          <w:bottom w:val="single" w:sz="6" w:space="1" w:color="auto"/>
        </w:pBdr>
        <w:ind w:left="2835" w:right="2835"/>
        <w:jc w:val="center"/>
      </w:pPr>
      <w:bookmarkStart w:id="6" w:name="page2"/>
      <w:r w:rsidRPr="0033245C">
        <w:lastRenderedPageBreak/>
        <w:t>Reference</w:t>
      </w:r>
    </w:p>
    <w:p w:rsidR="004A6009" w:rsidRPr="0033245C" w:rsidRDefault="004A6009" w:rsidP="005A4E96">
      <w:pPr>
        <w:pStyle w:val="FP"/>
        <w:framePr w:wrap="notBeside" w:vAnchor="page" w:hAnchor="page" w:x="1141" w:y="2836"/>
        <w:ind w:left="2268" w:right="2268"/>
        <w:jc w:val="center"/>
        <w:rPr>
          <w:rFonts w:ascii="Arial" w:hAnsi="Arial"/>
          <w:sz w:val="18"/>
        </w:rPr>
      </w:pPr>
      <w:bookmarkStart w:id="7" w:name="docworkitem"/>
      <w:r>
        <w:rPr>
          <w:rFonts w:ascii="Arial" w:hAnsi="Arial"/>
          <w:sz w:val="18"/>
        </w:rPr>
        <w:t>DTR/ERM-311</w:t>
      </w:r>
      <w:bookmarkEnd w:id="7"/>
    </w:p>
    <w:p w:rsidR="004A6009" w:rsidRPr="0033245C" w:rsidRDefault="004A6009" w:rsidP="005A4E96">
      <w:pPr>
        <w:pStyle w:val="FP"/>
        <w:framePr w:wrap="notBeside" w:vAnchor="page" w:hAnchor="page" w:x="1141" w:y="2836"/>
        <w:pBdr>
          <w:bottom w:val="single" w:sz="6" w:space="1" w:color="auto"/>
        </w:pBdr>
        <w:spacing w:before="240"/>
        <w:ind w:left="2835" w:right="2835"/>
        <w:jc w:val="center"/>
      </w:pPr>
      <w:r w:rsidRPr="0033245C">
        <w:t>Keywords</w:t>
      </w:r>
    </w:p>
    <w:p w:rsidR="004A6009" w:rsidRDefault="004A6009" w:rsidP="005A4E96">
      <w:pPr>
        <w:pStyle w:val="FP"/>
        <w:framePr w:wrap="notBeside" w:vAnchor="page" w:hAnchor="page" w:x="1141" w:y="2836"/>
        <w:ind w:left="2835" w:right="2835"/>
        <w:jc w:val="center"/>
        <w:rPr>
          <w:rFonts w:ascii="Arial" w:hAnsi="Arial"/>
          <w:sz w:val="18"/>
        </w:rPr>
      </w:pPr>
      <w:r>
        <w:rPr>
          <w:rFonts w:ascii="Arial" w:hAnsi="Arial"/>
          <w:sz w:val="18"/>
        </w:rPr>
        <w:t>[BROADBAND; AERONAUTICAL; TERRESTRIAL;</w:t>
      </w:r>
    </w:p>
    <w:p w:rsidR="004A6009" w:rsidRPr="0033245C" w:rsidRDefault="004A6009" w:rsidP="005A4E96">
      <w:pPr>
        <w:pStyle w:val="FP"/>
        <w:framePr w:wrap="notBeside" w:vAnchor="page" w:hAnchor="page" w:x="1141" w:y="2836"/>
        <w:ind w:left="2835" w:right="2835"/>
        <w:jc w:val="center"/>
        <w:rPr>
          <w:rFonts w:ascii="Arial" w:hAnsi="Arial"/>
          <w:sz w:val="18"/>
        </w:rPr>
      </w:pPr>
      <w:smartTag w:uri="urn:schemas-microsoft-com:office:smarttags" w:element="City">
        <w:smartTag w:uri="urn:schemas-microsoft-com:office:smarttags" w:element="place">
          <w:r>
            <w:rPr>
              <w:rFonts w:ascii="Arial" w:hAnsi="Arial"/>
              <w:sz w:val="18"/>
            </w:rPr>
            <w:t>MOBILE</w:t>
          </w:r>
        </w:smartTag>
      </w:smartTag>
      <w:r>
        <w:rPr>
          <w:rFonts w:ascii="Arial" w:hAnsi="Arial"/>
          <w:sz w:val="18"/>
        </w:rPr>
        <w:t>; NETWORK]</w:t>
      </w:r>
    </w:p>
    <w:p w:rsidR="004A6009" w:rsidRPr="0033245C" w:rsidRDefault="004A6009" w:rsidP="005A4E96"/>
    <w:p w:rsidR="004A6009" w:rsidRPr="00571A79" w:rsidRDefault="004A6009" w:rsidP="005A4E96">
      <w:pPr>
        <w:pStyle w:val="FP"/>
        <w:framePr w:wrap="notBeside" w:vAnchor="page" w:hAnchor="page" w:x="1156" w:y="5581"/>
        <w:spacing w:after="240"/>
        <w:ind w:left="2835" w:right="2835"/>
        <w:jc w:val="center"/>
        <w:rPr>
          <w:rFonts w:ascii="Arial" w:hAnsi="Arial"/>
          <w:b/>
          <w:i/>
          <w:lang w:val="fr-FR"/>
        </w:rPr>
      </w:pPr>
      <w:r w:rsidRPr="00621644">
        <w:rPr>
          <w:rFonts w:ascii="Arial" w:hAnsi="Arial"/>
          <w:b/>
          <w:i/>
          <w:lang w:val="fr-FR"/>
        </w:rPr>
        <w:t>ETSI</w:t>
      </w:r>
    </w:p>
    <w:p w:rsidR="004A6009" w:rsidRPr="00571A79" w:rsidRDefault="004A6009" w:rsidP="005A4E96">
      <w:pPr>
        <w:pStyle w:val="FP"/>
        <w:framePr w:wrap="notBeside" w:vAnchor="page" w:hAnchor="page" w:x="1156" w:y="5581"/>
        <w:pBdr>
          <w:bottom w:val="single" w:sz="6" w:space="1" w:color="auto"/>
        </w:pBdr>
        <w:ind w:left="2835" w:right="2835"/>
        <w:jc w:val="center"/>
        <w:rPr>
          <w:rFonts w:ascii="Arial" w:hAnsi="Arial"/>
          <w:sz w:val="18"/>
          <w:lang w:val="fr-FR"/>
        </w:rPr>
      </w:pPr>
      <w:r w:rsidRPr="00621644">
        <w:rPr>
          <w:rFonts w:ascii="Arial" w:hAnsi="Arial"/>
          <w:sz w:val="18"/>
          <w:lang w:val="fr-FR"/>
        </w:rPr>
        <w:t>650 Route des Lucioles</w:t>
      </w:r>
    </w:p>
    <w:p w:rsidR="004A6009" w:rsidRPr="00DB37EA" w:rsidRDefault="004A6009" w:rsidP="005A4E96">
      <w:pPr>
        <w:pStyle w:val="FP"/>
        <w:framePr w:wrap="notBeside" w:vAnchor="page" w:hAnchor="page" w:x="1156" w:y="5581"/>
        <w:pBdr>
          <w:bottom w:val="single" w:sz="6" w:space="1" w:color="auto"/>
        </w:pBdr>
        <w:ind w:left="2835" w:right="2835"/>
        <w:jc w:val="center"/>
        <w:rPr>
          <w:lang w:val="fr-FR"/>
        </w:rPr>
      </w:pPr>
      <w:r w:rsidRPr="00DB37EA">
        <w:rPr>
          <w:rFonts w:ascii="Arial" w:hAnsi="Arial"/>
          <w:sz w:val="18"/>
          <w:lang w:val="fr-FR"/>
        </w:rPr>
        <w:t>F-06921 Sophia Antipolis Cedex - FRANCE</w:t>
      </w:r>
    </w:p>
    <w:p w:rsidR="004A6009" w:rsidRPr="00DB37EA" w:rsidRDefault="004A6009" w:rsidP="005A4E96">
      <w:pPr>
        <w:pStyle w:val="FP"/>
        <w:framePr w:wrap="notBeside" w:vAnchor="page" w:hAnchor="page" w:x="1156" w:y="5581"/>
        <w:ind w:left="2835" w:right="2835"/>
        <w:jc w:val="center"/>
        <w:rPr>
          <w:rFonts w:ascii="Arial" w:hAnsi="Arial"/>
          <w:sz w:val="18"/>
          <w:lang w:val="fr-FR"/>
        </w:rPr>
      </w:pPr>
    </w:p>
    <w:p w:rsidR="004A6009" w:rsidRPr="004D48FD" w:rsidRDefault="00433932" w:rsidP="005A4E96">
      <w:pPr>
        <w:pStyle w:val="FP"/>
        <w:framePr w:wrap="notBeside" w:vAnchor="page" w:hAnchor="page" w:x="1156" w:y="5581"/>
        <w:spacing w:after="20"/>
        <w:ind w:left="2835" w:right="2835"/>
        <w:jc w:val="center"/>
        <w:rPr>
          <w:rFonts w:ascii="Arial" w:hAnsi="Arial"/>
          <w:sz w:val="18"/>
          <w:lang w:val="fr-FR"/>
        </w:rPr>
      </w:pPr>
      <w:r w:rsidRPr="004D48FD">
        <w:rPr>
          <w:rFonts w:ascii="Arial" w:hAnsi="Arial"/>
          <w:sz w:val="18"/>
          <w:lang w:val="fr-FR"/>
        </w:rPr>
        <w:t>Tel.: +33 4 92 94 42 00   Fax: +33 4 93 65 47 16</w:t>
      </w:r>
    </w:p>
    <w:p w:rsidR="004A6009" w:rsidRPr="004D48FD" w:rsidRDefault="004A6009" w:rsidP="005A4E96">
      <w:pPr>
        <w:pStyle w:val="FP"/>
        <w:framePr w:wrap="notBeside" w:vAnchor="page" w:hAnchor="page" w:x="1156" w:y="5581"/>
        <w:ind w:left="2835" w:right="2835"/>
        <w:jc w:val="center"/>
        <w:rPr>
          <w:rFonts w:ascii="Arial" w:hAnsi="Arial"/>
          <w:sz w:val="15"/>
          <w:lang w:val="fr-FR"/>
        </w:rPr>
      </w:pPr>
    </w:p>
    <w:p w:rsidR="004A6009" w:rsidRPr="004D48FD" w:rsidRDefault="00433932" w:rsidP="005A4E96">
      <w:pPr>
        <w:pStyle w:val="FP"/>
        <w:framePr w:wrap="notBeside" w:vAnchor="page" w:hAnchor="page" w:x="1156" w:y="5581"/>
        <w:ind w:left="2835" w:right="2835"/>
        <w:jc w:val="center"/>
        <w:rPr>
          <w:rFonts w:ascii="Arial" w:hAnsi="Arial"/>
          <w:sz w:val="15"/>
          <w:lang w:val="fr-FR"/>
        </w:rPr>
      </w:pPr>
      <w:r w:rsidRPr="004D48FD">
        <w:rPr>
          <w:rFonts w:ascii="Arial" w:hAnsi="Arial"/>
          <w:sz w:val="15"/>
          <w:lang w:val="fr-FR"/>
        </w:rPr>
        <w:t xml:space="preserve">Siret N° 348 623 562 00017 - NAF </w:t>
      </w:r>
      <w:smartTag w:uri="urn:schemas-microsoft-com:office:smarttags" w:element="place">
        <w:r w:rsidRPr="004D48FD">
          <w:rPr>
            <w:rFonts w:ascii="Arial" w:hAnsi="Arial"/>
            <w:sz w:val="15"/>
            <w:lang w:val="fr-FR"/>
          </w:rPr>
          <w:t>742 C</w:t>
        </w:r>
      </w:smartTag>
    </w:p>
    <w:p w:rsidR="004A6009" w:rsidRPr="00246C4F" w:rsidRDefault="004A6009"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Association à but non lucratif enregistrée à la</w:t>
      </w:r>
    </w:p>
    <w:p w:rsidR="004A6009" w:rsidRPr="00246C4F" w:rsidRDefault="004A6009" w:rsidP="005A4E96">
      <w:pPr>
        <w:pStyle w:val="FP"/>
        <w:framePr w:wrap="notBeside" w:vAnchor="page" w:hAnchor="page" w:x="1156" w:y="5581"/>
        <w:ind w:left="2835" w:right="2835"/>
        <w:jc w:val="center"/>
        <w:rPr>
          <w:rFonts w:ascii="Arial" w:hAnsi="Arial"/>
          <w:sz w:val="15"/>
          <w:lang w:val="fr-FR"/>
        </w:rPr>
      </w:pPr>
      <w:proofErr w:type="spellStart"/>
      <w:r w:rsidRPr="00246C4F">
        <w:rPr>
          <w:rFonts w:ascii="Arial" w:hAnsi="Arial"/>
          <w:sz w:val="15"/>
          <w:lang w:val="fr-FR"/>
        </w:rPr>
        <w:t>Sous-Préfecture</w:t>
      </w:r>
      <w:proofErr w:type="spellEnd"/>
      <w:r w:rsidRPr="00246C4F">
        <w:rPr>
          <w:rFonts w:ascii="Arial" w:hAnsi="Arial"/>
          <w:sz w:val="15"/>
          <w:lang w:val="fr-FR"/>
        </w:rPr>
        <w:t xml:space="preserve"> de Grasse (06) N° 7803/88</w:t>
      </w:r>
    </w:p>
    <w:p w:rsidR="004A6009" w:rsidRPr="00246C4F" w:rsidRDefault="004A6009" w:rsidP="005A4E96">
      <w:pPr>
        <w:pStyle w:val="FP"/>
        <w:framePr w:wrap="notBeside" w:vAnchor="page" w:hAnchor="page" w:x="1156" w:y="5581"/>
        <w:ind w:left="2835" w:right="2835"/>
        <w:jc w:val="center"/>
        <w:rPr>
          <w:rFonts w:ascii="Arial" w:hAnsi="Arial"/>
          <w:sz w:val="18"/>
          <w:lang w:val="fr-FR"/>
        </w:rPr>
      </w:pPr>
    </w:p>
    <w:p w:rsidR="004A6009" w:rsidRPr="00246C4F" w:rsidRDefault="004A6009" w:rsidP="005A4E96">
      <w:pPr>
        <w:rPr>
          <w:lang w:val="fr-FR"/>
        </w:rPr>
      </w:pPr>
    </w:p>
    <w:p w:rsidR="004A6009" w:rsidRPr="00FB1466" w:rsidRDefault="004A6009" w:rsidP="005A4E96">
      <w:pPr>
        <w:pStyle w:val="FP"/>
        <w:framePr w:h="6511" w:hRule="exact" w:wrap="notBeside" w:vAnchor="page" w:hAnchor="page" w:x="1036" w:y="8926"/>
        <w:pBdr>
          <w:bottom w:val="single" w:sz="6" w:space="1" w:color="auto"/>
        </w:pBdr>
        <w:spacing w:after="240"/>
        <w:ind w:left="2835" w:right="2835"/>
        <w:jc w:val="center"/>
        <w:rPr>
          <w:rFonts w:ascii="Arial" w:hAnsi="Arial"/>
          <w:b/>
          <w:i/>
        </w:rPr>
      </w:pPr>
      <w:r w:rsidRPr="00FB1466">
        <w:rPr>
          <w:rFonts w:ascii="Arial" w:hAnsi="Arial"/>
          <w:b/>
          <w:i/>
        </w:rPr>
        <w:t>Important notice</w:t>
      </w:r>
    </w:p>
    <w:p w:rsidR="004A6009" w:rsidRPr="00FB1466" w:rsidRDefault="004A6009"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Individual copies of the present document can be downloaded from</w:t>
      </w:r>
      <w:proofErr w:type="gramStart"/>
      <w:r w:rsidRPr="00FB1466">
        <w:rPr>
          <w:rFonts w:ascii="Arial" w:hAnsi="Arial" w:cs="Arial"/>
          <w:sz w:val="18"/>
        </w:rPr>
        <w:t>:</w:t>
      </w:r>
      <w:proofErr w:type="gramEnd"/>
      <w:r w:rsidRPr="00FB1466">
        <w:rPr>
          <w:rFonts w:ascii="Arial" w:hAnsi="Arial" w:cs="Arial"/>
          <w:sz w:val="18"/>
        </w:rPr>
        <w:br/>
      </w:r>
      <w:hyperlink r:id="rId9" w:history="1">
        <w:r w:rsidRPr="00FB1466">
          <w:rPr>
            <w:rStyle w:val="Hyperlink"/>
            <w:rFonts w:ascii="Arial" w:hAnsi="Arial"/>
            <w:sz w:val="18"/>
          </w:rPr>
          <w:t>http://www.etsi.org</w:t>
        </w:r>
      </w:hyperlink>
    </w:p>
    <w:p w:rsidR="004A6009" w:rsidRPr="00FB1466" w:rsidRDefault="004A6009"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FB1466">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FB1466">
        <w:rPr>
          <w:rFonts w:ascii="Arial" w:hAnsi="Arial" w:cs="Arial"/>
          <w:sz w:val="18"/>
        </w:rPr>
        <w:t>ETSI Secretariat.</w:t>
      </w:r>
    </w:p>
    <w:p w:rsidR="004A6009" w:rsidRPr="00FB1466" w:rsidRDefault="004A6009"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0" w:history="1">
        <w:r w:rsidRPr="00FB1466">
          <w:rPr>
            <w:rStyle w:val="Hyperlink"/>
            <w:rFonts w:ascii="Arial" w:hAnsi="Arial" w:cs="Arial"/>
            <w:sz w:val="18"/>
          </w:rPr>
          <w:t>http://portal.etsi.org/tb/status/status.asp</w:t>
        </w:r>
      </w:hyperlink>
    </w:p>
    <w:p w:rsidR="004A6009" w:rsidRPr="00FB1466" w:rsidRDefault="004A6009" w:rsidP="005A4E96">
      <w:pPr>
        <w:pStyle w:val="FP"/>
        <w:framePr w:h="6511" w:hRule="exact" w:wrap="notBeside" w:vAnchor="page" w:hAnchor="page" w:x="1036" w:y="8926"/>
        <w:pBdr>
          <w:bottom w:val="single" w:sz="6" w:space="1" w:color="auto"/>
        </w:pBdr>
        <w:spacing w:after="240"/>
        <w:jc w:val="center"/>
        <w:rPr>
          <w:rFonts w:ascii="Arial" w:hAnsi="Arial" w:cs="Arial"/>
          <w:sz w:val="18"/>
        </w:rPr>
      </w:pPr>
      <w:r w:rsidRPr="00FB1466">
        <w:rPr>
          <w:rFonts w:ascii="Arial" w:hAnsi="Arial" w:cs="Arial"/>
          <w:sz w:val="18"/>
        </w:rPr>
        <w:t>If you find errors in the present document, please send your comment to one of the following services</w:t>
      </w:r>
      <w:proofErr w:type="gramStart"/>
      <w:r w:rsidRPr="00FB1466">
        <w:rPr>
          <w:rFonts w:ascii="Arial" w:hAnsi="Arial" w:cs="Arial"/>
          <w:sz w:val="18"/>
        </w:rPr>
        <w:t>:</w:t>
      </w:r>
      <w:proofErr w:type="gramEnd"/>
      <w:r w:rsidRPr="00FB1466">
        <w:rPr>
          <w:rFonts w:ascii="Arial" w:hAnsi="Arial" w:cs="Arial"/>
          <w:sz w:val="18"/>
        </w:rPr>
        <w:br/>
      </w:r>
      <w:bookmarkStart w:id="8" w:name="mailto"/>
      <w:r w:rsidR="006910C7" w:rsidRPr="00FB1466">
        <w:rPr>
          <w:rFonts w:ascii="Arial" w:hAnsi="Arial" w:cs="Arial"/>
          <w:sz w:val="18"/>
          <w:szCs w:val="18"/>
        </w:rPr>
        <w:fldChar w:fldCharType="begin"/>
      </w:r>
      <w:r w:rsidRPr="00FB1466">
        <w:rPr>
          <w:rFonts w:ascii="Arial" w:hAnsi="Arial" w:cs="Arial"/>
          <w:sz w:val="18"/>
          <w:szCs w:val="18"/>
        </w:rPr>
        <w:instrText>HYPERLINK "http://portal.etsi.org/chaircor/ETSI_support.asp"</w:instrText>
      </w:r>
      <w:r w:rsidR="006910C7" w:rsidRPr="00FB1466">
        <w:rPr>
          <w:rFonts w:ascii="Arial" w:hAnsi="Arial" w:cs="Arial"/>
          <w:sz w:val="18"/>
          <w:szCs w:val="18"/>
        </w:rPr>
        <w:fldChar w:fldCharType="separate"/>
      </w:r>
      <w:r w:rsidRPr="00FB1466">
        <w:rPr>
          <w:rFonts w:ascii="Arial" w:hAnsi="Arial" w:cs="Arial"/>
          <w:color w:val="0000FF"/>
          <w:sz w:val="18"/>
          <w:szCs w:val="18"/>
          <w:u w:val="single"/>
        </w:rPr>
        <w:t>http://portal.etsi.org/chaircor/ETSI_support.asp</w:t>
      </w:r>
      <w:r w:rsidR="006910C7" w:rsidRPr="00FB1466">
        <w:rPr>
          <w:rFonts w:ascii="Arial" w:hAnsi="Arial" w:cs="Arial"/>
          <w:sz w:val="18"/>
          <w:szCs w:val="18"/>
        </w:rPr>
        <w:fldChar w:fldCharType="end"/>
      </w:r>
      <w:bookmarkEnd w:id="8"/>
    </w:p>
    <w:p w:rsidR="004A6009" w:rsidRPr="00FB1466" w:rsidRDefault="004A6009" w:rsidP="005A4E96">
      <w:pPr>
        <w:pStyle w:val="FP"/>
        <w:framePr w:h="6511" w:hRule="exact" w:wrap="notBeside" w:vAnchor="page" w:hAnchor="page" w:x="1036" w:y="8926"/>
        <w:pBdr>
          <w:bottom w:val="single" w:sz="6" w:space="1" w:color="auto"/>
        </w:pBdr>
        <w:spacing w:after="240"/>
        <w:jc w:val="center"/>
        <w:rPr>
          <w:rFonts w:ascii="Arial" w:hAnsi="Arial"/>
          <w:b/>
          <w:i/>
        </w:rPr>
      </w:pPr>
      <w:r w:rsidRPr="00FB1466">
        <w:rPr>
          <w:rFonts w:ascii="Arial" w:hAnsi="Arial"/>
          <w:b/>
          <w:i/>
        </w:rPr>
        <w:t>Copyright Notification</w:t>
      </w:r>
    </w:p>
    <w:p w:rsidR="004A6009" w:rsidRPr="00FB1466" w:rsidRDefault="004A6009" w:rsidP="005A4E96">
      <w:pPr>
        <w:pStyle w:val="FP"/>
        <w:framePr w:h="6511" w:hRule="exact" w:wrap="notBeside" w:vAnchor="page" w:hAnchor="page" w:x="1036" w:y="8926"/>
        <w:jc w:val="center"/>
        <w:rPr>
          <w:rFonts w:ascii="Arial" w:hAnsi="Arial" w:cs="Arial"/>
          <w:sz w:val="18"/>
        </w:rPr>
      </w:pPr>
      <w:r w:rsidRPr="00FB1466">
        <w:rPr>
          <w:rFonts w:ascii="Arial" w:hAnsi="Arial" w:cs="Arial"/>
          <w:sz w:val="18"/>
        </w:rPr>
        <w:t>No part may be reproduced except as authorized by written permission.</w:t>
      </w:r>
      <w:r w:rsidRPr="00FB1466">
        <w:rPr>
          <w:rFonts w:ascii="Arial" w:hAnsi="Arial" w:cs="Arial"/>
          <w:sz w:val="18"/>
        </w:rPr>
        <w:br/>
        <w:t>The copyright and the foregoing restriction extend to reproduction in all media.</w:t>
      </w:r>
    </w:p>
    <w:p w:rsidR="004A6009" w:rsidRPr="00FB1466" w:rsidRDefault="004A6009" w:rsidP="005A4E96">
      <w:pPr>
        <w:pStyle w:val="FP"/>
        <w:framePr w:h="6511" w:hRule="exact" w:wrap="notBeside" w:vAnchor="page" w:hAnchor="page" w:x="1036" w:y="8926"/>
        <w:jc w:val="center"/>
        <w:rPr>
          <w:rFonts w:ascii="Arial" w:hAnsi="Arial" w:cs="Arial"/>
          <w:sz w:val="18"/>
        </w:rPr>
      </w:pPr>
    </w:p>
    <w:p w:rsidR="004A6009" w:rsidRPr="00FB1466" w:rsidRDefault="004A6009" w:rsidP="005A4E96">
      <w:pPr>
        <w:pStyle w:val="FP"/>
        <w:framePr w:h="6511" w:hRule="exact" w:wrap="notBeside" w:vAnchor="page" w:hAnchor="page" w:x="1036" w:y="8926"/>
        <w:jc w:val="center"/>
        <w:rPr>
          <w:rFonts w:ascii="Arial" w:hAnsi="Arial" w:cs="Arial"/>
          <w:sz w:val="18"/>
        </w:rPr>
      </w:pPr>
      <w:bookmarkStart w:id="9" w:name="doccopyright"/>
      <w:proofErr w:type="gramStart"/>
      <w:r w:rsidRPr="00FB1466">
        <w:rPr>
          <w:rFonts w:ascii="Arial" w:hAnsi="Arial" w:cs="Arial"/>
          <w:sz w:val="18"/>
        </w:rPr>
        <w:t xml:space="preserve">© European Telecommunications Standards Institute </w:t>
      </w:r>
      <w:proofErr w:type="spellStart"/>
      <w:r w:rsidRPr="00FB1466">
        <w:rPr>
          <w:rFonts w:ascii="Arial" w:hAnsi="Arial" w:cs="Arial"/>
          <w:sz w:val="18"/>
        </w:rPr>
        <w:t>yyyy</w:t>
      </w:r>
      <w:proofErr w:type="spellEnd"/>
      <w:r w:rsidRPr="00FB1466">
        <w:rPr>
          <w:rFonts w:ascii="Arial" w:hAnsi="Arial" w:cs="Arial"/>
          <w:sz w:val="18"/>
        </w:rPr>
        <w:t>.</w:t>
      </w:r>
      <w:bookmarkStart w:id="10" w:name="copyrightaddon"/>
      <w:bookmarkEnd w:id="10"/>
      <w:proofErr w:type="gramEnd"/>
    </w:p>
    <w:p w:rsidR="004A6009" w:rsidRPr="00FB1466" w:rsidRDefault="004A6009" w:rsidP="005A4E96">
      <w:pPr>
        <w:pStyle w:val="FP"/>
        <w:framePr w:h="6511" w:hRule="exact" w:wrap="notBeside" w:vAnchor="page" w:hAnchor="page" w:x="1036" w:y="8926"/>
        <w:jc w:val="center"/>
        <w:rPr>
          <w:rFonts w:ascii="Arial" w:hAnsi="Arial" w:cs="Arial"/>
          <w:sz w:val="18"/>
        </w:rPr>
      </w:pPr>
      <w:bookmarkStart w:id="11" w:name="tbcopyright"/>
      <w:bookmarkEnd w:id="11"/>
      <w:r w:rsidRPr="00FB1466">
        <w:rPr>
          <w:rFonts w:ascii="Arial" w:hAnsi="Arial" w:cs="Arial"/>
          <w:sz w:val="18"/>
        </w:rPr>
        <w:t>All rights reserved.</w:t>
      </w:r>
      <w:r w:rsidRPr="00FB1466">
        <w:rPr>
          <w:rFonts w:ascii="Arial" w:hAnsi="Arial" w:cs="Arial"/>
          <w:sz w:val="18"/>
        </w:rPr>
        <w:br/>
      </w:r>
    </w:p>
    <w:p w:rsidR="004A6009" w:rsidRPr="00EC1DC4" w:rsidRDefault="004A6009" w:rsidP="004939F7">
      <w:pPr>
        <w:framePr w:h="6511"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TIPHON</w:t>
      </w:r>
      <w:r w:rsidRPr="00EC1DC4">
        <w:rPr>
          <w:rFonts w:ascii="Arial" w:hAnsi="Arial" w:cs="Arial"/>
          <w:sz w:val="18"/>
          <w:szCs w:val="18"/>
          <w:vertAlign w:val="superscript"/>
        </w:rPr>
        <w:t>TM</w:t>
      </w:r>
      <w:r w:rsidRPr="00EC1DC4">
        <w:rPr>
          <w:rFonts w:ascii="Arial" w:hAnsi="Arial" w:cs="Arial"/>
          <w:sz w:val="18"/>
          <w:szCs w:val="18"/>
        </w:rPr>
        <w:t>, the TIPHON logo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sidRPr="00EC1DC4">
        <w:rPr>
          <w:rFonts w:ascii="Arial" w:hAnsi="Arial" w:cs="Arial"/>
          <w:sz w:val="18"/>
          <w:szCs w:val="18"/>
        </w:rPr>
        <w:t>is a Trade Mark of ETSI registered 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LTE</w:t>
      </w:r>
      <w:r w:rsidRPr="00EC1DC4">
        <w:rPr>
          <w:rFonts w:ascii="Arial" w:hAnsi="Arial" w:cs="Arial"/>
          <w:sz w:val="18"/>
          <w:szCs w:val="18"/>
        </w:rPr>
        <w:t>™ is a Trade Mark of ETSI currently being registered</w:t>
      </w:r>
      <w:r>
        <w:rPr>
          <w:rFonts w:ascii="Arial" w:hAnsi="Arial" w:cs="Arial"/>
          <w:sz w:val="18"/>
          <w:szCs w:val="18"/>
        </w:rPr>
        <w:br/>
      </w:r>
      <w:r w:rsidRPr="00EC1DC4">
        <w:rPr>
          <w:rFonts w:ascii="Arial" w:hAnsi="Arial" w:cs="Arial"/>
          <w:sz w:val="18"/>
          <w:szCs w:val="18"/>
        </w:rPr>
        <w:t>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bookmarkEnd w:id="9"/>
    <w:p w:rsidR="004A6009" w:rsidRPr="00FB1466" w:rsidRDefault="004A6009" w:rsidP="005A4E96"/>
    <w:bookmarkEnd w:id="6"/>
    <w:p w:rsidR="004A6009" w:rsidRPr="00FB1466" w:rsidRDefault="004A6009" w:rsidP="005A4E96">
      <w:pPr>
        <w:pStyle w:val="TT"/>
      </w:pPr>
      <w:r w:rsidRPr="00FB1466">
        <w:br w:type="page"/>
      </w:r>
      <w:bookmarkEnd w:id="2"/>
      <w:r w:rsidRPr="00FB1466">
        <w:lastRenderedPageBreak/>
        <w:t>Contents</w:t>
      </w:r>
    </w:p>
    <w:p w:rsidR="004A6009" w:rsidRDefault="006910C7" w:rsidP="00A8653C">
      <w:pPr>
        <w:pStyle w:val="TOC1"/>
        <w:rPr>
          <w:rFonts w:ascii="Calibri" w:hAnsi="Calibri"/>
          <w:szCs w:val="22"/>
          <w:lang w:eastAsia="en-GB"/>
        </w:rPr>
      </w:pPr>
      <w:r w:rsidRPr="006910C7">
        <w:fldChar w:fldCharType="begin" w:fldLock="1"/>
      </w:r>
      <w:r w:rsidR="004A6009">
        <w:instrText xml:space="preserve"> TOC \o \w "1-9"</w:instrText>
      </w:r>
      <w:r w:rsidRPr="006910C7">
        <w:fldChar w:fldCharType="separate"/>
      </w:r>
      <w:r w:rsidR="004A6009">
        <w:t>Intellectual Property Rights</w:t>
      </w:r>
      <w:r w:rsidR="004A6009">
        <w:tab/>
      </w:r>
      <w:r>
        <w:fldChar w:fldCharType="begin" w:fldLock="1"/>
      </w:r>
      <w:r w:rsidR="004A6009">
        <w:instrText xml:space="preserve"> PAGEREF _Toc233514030 \h </w:instrText>
      </w:r>
      <w:r>
        <w:fldChar w:fldCharType="separate"/>
      </w:r>
      <w:r w:rsidR="004A6009">
        <w:t>4</w:t>
      </w:r>
      <w:r>
        <w:fldChar w:fldCharType="end"/>
      </w:r>
    </w:p>
    <w:p w:rsidR="004A6009" w:rsidRDefault="004A6009" w:rsidP="00A8653C">
      <w:pPr>
        <w:pStyle w:val="TOC1"/>
        <w:rPr>
          <w:rFonts w:ascii="Calibri" w:hAnsi="Calibri"/>
          <w:szCs w:val="22"/>
          <w:lang w:eastAsia="en-GB"/>
        </w:rPr>
      </w:pPr>
      <w:r>
        <w:t>Foreword</w:t>
      </w:r>
      <w:r>
        <w:tab/>
      </w:r>
      <w:r w:rsidR="006910C7">
        <w:fldChar w:fldCharType="begin" w:fldLock="1"/>
      </w:r>
      <w:r>
        <w:instrText xml:space="preserve"> PAGEREF _Toc233514031 \h </w:instrText>
      </w:r>
      <w:r w:rsidR="006910C7">
        <w:fldChar w:fldCharType="separate"/>
      </w:r>
      <w:r>
        <w:t>4</w:t>
      </w:r>
      <w:r w:rsidR="006910C7">
        <w:fldChar w:fldCharType="end"/>
      </w:r>
    </w:p>
    <w:p w:rsidR="004A6009" w:rsidRDefault="004A6009" w:rsidP="00A8653C">
      <w:pPr>
        <w:pStyle w:val="TOC1"/>
        <w:rPr>
          <w:rFonts w:ascii="Calibri" w:hAnsi="Calibri"/>
          <w:szCs w:val="22"/>
          <w:lang w:eastAsia="en-GB"/>
        </w:rPr>
      </w:pPr>
      <w:r>
        <w:t>Executive summary</w:t>
      </w:r>
      <w:r>
        <w:tab/>
      </w:r>
      <w:r w:rsidR="006910C7">
        <w:fldChar w:fldCharType="begin" w:fldLock="1"/>
      </w:r>
      <w:r>
        <w:instrText xml:space="preserve"> PAGEREF _Toc233514032 \h </w:instrText>
      </w:r>
      <w:r w:rsidR="006910C7">
        <w:fldChar w:fldCharType="separate"/>
      </w:r>
      <w:r>
        <w:t>4</w:t>
      </w:r>
      <w:r w:rsidR="006910C7">
        <w:fldChar w:fldCharType="end"/>
      </w:r>
    </w:p>
    <w:p w:rsidR="004A6009" w:rsidRDefault="004A6009" w:rsidP="00A8653C">
      <w:pPr>
        <w:pStyle w:val="TOC1"/>
        <w:rPr>
          <w:rFonts w:ascii="Calibri" w:hAnsi="Calibri"/>
          <w:szCs w:val="22"/>
          <w:lang w:eastAsia="en-GB"/>
        </w:rPr>
      </w:pPr>
      <w:r>
        <w:t>Introduction</w:t>
      </w:r>
      <w:r>
        <w:tab/>
      </w:r>
      <w:r w:rsidR="006910C7">
        <w:fldChar w:fldCharType="begin" w:fldLock="1"/>
      </w:r>
      <w:r>
        <w:instrText xml:space="preserve"> PAGEREF _Toc233514033 \h </w:instrText>
      </w:r>
      <w:r w:rsidR="006910C7">
        <w:fldChar w:fldCharType="separate"/>
      </w:r>
      <w:r>
        <w:t>4</w:t>
      </w:r>
      <w:r w:rsidR="006910C7">
        <w:fldChar w:fldCharType="end"/>
      </w:r>
    </w:p>
    <w:p w:rsidR="004A6009" w:rsidRDefault="004A6009" w:rsidP="00A8653C">
      <w:pPr>
        <w:pStyle w:val="TOC1"/>
        <w:rPr>
          <w:rFonts w:ascii="Calibri" w:hAnsi="Calibri"/>
          <w:szCs w:val="22"/>
          <w:lang w:eastAsia="en-GB"/>
        </w:rPr>
      </w:pPr>
      <w:r>
        <w:t>1</w:t>
      </w:r>
      <w:r>
        <w:tab/>
        <w:t>Scope</w:t>
      </w:r>
      <w:r>
        <w:tab/>
      </w:r>
      <w:r w:rsidR="006910C7">
        <w:fldChar w:fldCharType="begin" w:fldLock="1"/>
      </w:r>
      <w:r>
        <w:instrText xml:space="preserve"> PAGEREF _Toc233514034 \h </w:instrText>
      </w:r>
      <w:r w:rsidR="006910C7">
        <w:fldChar w:fldCharType="separate"/>
      </w:r>
      <w:r>
        <w:t>5</w:t>
      </w:r>
      <w:r w:rsidR="006910C7">
        <w:fldChar w:fldCharType="end"/>
      </w:r>
    </w:p>
    <w:p w:rsidR="004A6009" w:rsidRDefault="004A6009" w:rsidP="00A8653C">
      <w:pPr>
        <w:pStyle w:val="TOC1"/>
        <w:rPr>
          <w:rFonts w:ascii="Calibri" w:hAnsi="Calibri"/>
          <w:szCs w:val="22"/>
          <w:lang w:eastAsia="en-GB"/>
        </w:rPr>
      </w:pPr>
      <w:r>
        <w:t>2</w:t>
      </w:r>
      <w:r>
        <w:tab/>
        <w:t>References</w:t>
      </w:r>
      <w:r>
        <w:tab/>
      </w:r>
      <w:r w:rsidR="006910C7">
        <w:fldChar w:fldCharType="begin" w:fldLock="1"/>
      </w:r>
      <w:r>
        <w:instrText xml:space="preserve"> PAGEREF _Toc233514035 \h </w:instrText>
      </w:r>
      <w:r w:rsidR="006910C7">
        <w:fldChar w:fldCharType="separate"/>
      </w:r>
      <w:r>
        <w:t>5</w:t>
      </w:r>
      <w:r w:rsidR="006910C7">
        <w:fldChar w:fldCharType="end"/>
      </w:r>
    </w:p>
    <w:p w:rsidR="004A6009" w:rsidRDefault="004A6009" w:rsidP="00A8653C">
      <w:pPr>
        <w:pStyle w:val="TOC2"/>
        <w:rPr>
          <w:rFonts w:ascii="Calibri" w:hAnsi="Calibri"/>
          <w:sz w:val="22"/>
          <w:szCs w:val="22"/>
          <w:lang w:eastAsia="en-GB"/>
        </w:rPr>
      </w:pPr>
      <w:r>
        <w:t>2.1</w:t>
      </w:r>
      <w:r>
        <w:tab/>
        <w:t>Normative references</w:t>
      </w:r>
      <w:r>
        <w:tab/>
      </w:r>
      <w:r w:rsidR="006910C7">
        <w:fldChar w:fldCharType="begin" w:fldLock="1"/>
      </w:r>
      <w:r>
        <w:instrText xml:space="preserve"> PAGEREF _Toc233514036 \h </w:instrText>
      </w:r>
      <w:r w:rsidR="006910C7">
        <w:fldChar w:fldCharType="separate"/>
      </w:r>
      <w:r>
        <w:t>5</w:t>
      </w:r>
      <w:r w:rsidR="006910C7">
        <w:fldChar w:fldCharType="end"/>
      </w:r>
    </w:p>
    <w:p w:rsidR="004A6009" w:rsidRDefault="004A6009" w:rsidP="00A8653C">
      <w:pPr>
        <w:pStyle w:val="TOC2"/>
        <w:rPr>
          <w:rFonts w:ascii="Calibri" w:hAnsi="Calibri"/>
          <w:sz w:val="22"/>
          <w:szCs w:val="22"/>
          <w:lang w:eastAsia="en-GB"/>
        </w:rPr>
      </w:pPr>
      <w:r>
        <w:t>2.2</w:t>
      </w:r>
      <w:r>
        <w:tab/>
        <w:t>Informative references</w:t>
      </w:r>
      <w:r>
        <w:tab/>
      </w:r>
      <w:r w:rsidR="006910C7">
        <w:fldChar w:fldCharType="begin" w:fldLock="1"/>
      </w:r>
      <w:r>
        <w:instrText xml:space="preserve"> PAGEREF _Toc233514037 \h </w:instrText>
      </w:r>
      <w:r w:rsidR="006910C7">
        <w:fldChar w:fldCharType="separate"/>
      </w:r>
      <w:r>
        <w:t>5</w:t>
      </w:r>
      <w:r w:rsidR="006910C7">
        <w:fldChar w:fldCharType="end"/>
      </w:r>
    </w:p>
    <w:p w:rsidR="004A6009" w:rsidRDefault="004A6009" w:rsidP="00A8653C">
      <w:pPr>
        <w:pStyle w:val="TOC1"/>
        <w:rPr>
          <w:rFonts w:ascii="Calibri" w:hAnsi="Calibri"/>
          <w:szCs w:val="22"/>
          <w:lang w:eastAsia="en-GB"/>
        </w:rPr>
      </w:pPr>
      <w:r>
        <w:t>3</w:t>
      </w:r>
      <w:r>
        <w:tab/>
        <w:t>Definitions, symbols and abbreviations</w:t>
      </w:r>
      <w:r>
        <w:tab/>
      </w:r>
      <w:r w:rsidR="006910C7">
        <w:fldChar w:fldCharType="begin" w:fldLock="1"/>
      </w:r>
      <w:r>
        <w:instrText xml:space="preserve"> PAGEREF _Toc233514038 \h </w:instrText>
      </w:r>
      <w:r w:rsidR="006910C7">
        <w:fldChar w:fldCharType="separate"/>
      </w:r>
      <w:r>
        <w:t>5</w:t>
      </w:r>
      <w:r w:rsidR="006910C7">
        <w:fldChar w:fldCharType="end"/>
      </w:r>
    </w:p>
    <w:p w:rsidR="004A6009" w:rsidRDefault="004A6009" w:rsidP="00A8653C">
      <w:pPr>
        <w:pStyle w:val="TOC2"/>
        <w:rPr>
          <w:rFonts w:ascii="Calibri" w:hAnsi="Calibri"/>
          <w:sz w:val="22"/>
          <w:szCs w:val="22"/>
          <w:lang w:eastAsia="en-GB"/>
        </w:rPr>
      </w:pPr>
      <w:r>
        <w:t>3.1</w:t>
      </w:r>
      <w:r>
        <w:tab/>
        <w:t>Definitions</w:t>
      </w:r>
      <w:r>
        <w:tab/>
      </w:r>
      <w:r w:rsidR="006910C7">
        <w:fldChar w:fldCharType="begin" w:fldLock="1"/>
      </w:r>
      <w:r>
        <w:instrText xml:space="preserve"> PAGEREF _Toc233514039 \h </w:instrText>
      </w:r>
      <w:r w:rsidR="006910C7">
        <w:fldChar w:fldCharType="separate"/>
      </w:r>
      <w:r>
        <w:t>6</w:t>
      </w:r>
      <w:r w:rsidR="006910C7">
        <w:fldChar w:fldCharType="end"/>
      </w:r>
    </w:p>
    <w:p w:rsidR="004A6009" w:rsidRDefault="004A6009" w:rsidP="00A8653C">
      <w:pPr>
        <w:pStyle w:val="TOC2"/>
        <w:rPr>
          <w:rFonts w:ascii="Calibri" w:hAnsi="Calibri"/>
          <w:sz w:val="22"/>
          <w:szCs w:val="22"/>
          <w:lang w:eastAsia="en-GB"/>
        </w:rPr>
      </w:pPr>
      <w:r>
        <w:t>3.2</w:t>
      </w:r>
      <w:r>
        <w:tab/>
        <w:t>Symbols</w:t>
      </w:r>
      <w:r>
        <w:tab/>
      </w:r>
      <w:r w:rsidR="006910C7">
        <w:fldChar w:fldCharType="begin" w:fldLock="1"/>
      </w:r>
      <w:r>
        <w:instrText xml:space="preserve"> PAGEREF _Toc233514040 \h </w:instrText>
      </w:r>
      <w:r w:rsidR="006910C7">
        <w:fldChar w:fldCharType="separate"/>
      </w:r>
      <w:r>
        <w:t>6</w:t>
      </w:r>
      <w:r w:rsidR="006910C7">
        <w:fldChar w:fldCharType="end"/>
      </w:r>
    </w:p>
    <w:p w:rsidR="004A6009" w:rsidRDefault="004A6009" w:rsidP="00A8653C">
      <w:pPr>
        <w:pStyle w:val="TOC2"/>
        <w:rPr>
          <w:rFonts w:ascii="Calibri" w:hAnsi="Calibri"/>
          <w:sz w:val="22"/>
          <w:szCs w:val="22"/>
          <w:lang w:eastAsia="en-GB"/>
        </w:rPr>
      </w:pPr>
      <w:r>
        <w:t>3.3</w:t>
      </w:r>
      <w:r>
        <w:tab/>
        <w:t>Abbreviations</w:t>
      </w:r>
      <w:r>
        <w:tab/>
      </w:r>
      <w:r w:rsidR="006910C7">
        <w:fldChar w:fldCharType="begin" w:fldLock="1"/>
      </w:r>
      <w:r>
        <w:instrText xml:space="preserve"> PAGEREF _Toc233514041 \h </w:instrText>
      </w:r>
      <w:r w:rsidR="006910C7">
        <w:fldChar w:fldCharType="separate"/>
      </w:r>
      <w:r>
        <w:t>6</w:t>
      </w:r>
      <w:r w:rsidR="006910C7">
        <w:fldChar w:fldCharType="end"/>
      </w:r>
    </w:p>
    <w:p w:rsidR="004A6009" w:rsidRDefault="004A6009" w:rsidP="00A8653C">
      <w:pPr>
        <w:pStyle w:val="TOC1"/>
        <w:rPr>
          <w:rFonts w:ascii="Calibri" w:hAnsi="Calibri"/>
          <w:szCs w:val="22"/>
          <w:lang w:eastAsia="en-GB"/>
        </w:rPr>
      </w:pPr>
      <w:r>
        <w:t>4</w:t>
      </w:r>
      <w:r>
        <w:tab/>
        <w:t>[Comments on the System Reference Document]</w:t>
      </w:r>
      <w:r>
        <w:tab/>
      </w:r>
      <w:r w:rsidR="006910C7">
        <w:fldChar w:fldCharType="begin" w:fldLock="1"/>
      </w:r>
      <w:r>
        <w:instrText xml:space="preserve"> PAGEREF _Toc233514042 \h </w:instrText>
      </w:r>
      <w:r w:rsidR="006910C7">
        <w:fldChar w:fldCharType="separate"/>
      </w:r>
      <w:r>
        <w:t>6</w:t>
      </w:r>
      <w:r w:rsidR="006910C7">
        <w:fldChar w:fldCharType="end"/>
      </w:r>
    </w:p>
    <w:p w:rsidR="004A6009" w:rsidRDefault="004A6009" w:rsidP="00A8653C">
      <w:pPr>
        <w:pStyle w:val="TOC3"/>
        <w:rPr>
          <w:rFonts w:ascii="Calibri" w:hAnsi="Calibri"/>
          <w:sz w:val="22"/>
          <w:szCs w:val="22"/>
          <w:lang w:eastAsia="en-GB"/>
        </w:rPr>
      </w:pPr>
      <w:r>
        <w:t>4.1</w:t>
      </w:r>
      <w:r>
        <w:tab/>
        <w:t>[Statements by ETSI Members]</w:t>
      </w:r>
      <w:r>
        <w:tab/>
      </w:r>
      <w:r w:rsidR="006910C7">
        <w:fldChar w:fldCharType="begin" w:fldLock="1"/>
      </w:r>
      <w:r>
        <w:instrText xml:space="preserve"> PAGEREF _Toc233514043 \h </w:instrText>
      </w:r>
      <w:r w:rsidR="006910C7">
        <w:fldChar w:fldCharType="separate"/>
      </w:r>
      <w:r>
        <w:t>6</w:t>
      </w:r>
      <w:r w:rsidR="006910C7">
        <w:fldChar w:fldCharType="end"/>
      </w:r>
    </w:p>
    <w:p w:rsidR="004A6009" w:rsidRDefault="004A6009" w:rsidP="00A8653C">
      <w:pPr>
        <w:pStyle w:val="TOC1"/>
        <w:rPr>
          <w:rFonts w:ascii="Calibri" w:hAnsi="Calibri"/>
          <w:szCs w:val="22"/>
          <w:lang w:eastAsia="en-GB"/>
        </w:rPr>
      </w:pPr>
      <w:r>
        <w:t>5</w:t>
      </w:r>
      <w:r>
        <w:tab/>
        <w:t>Presentation of the system or technology</w:t>
      </w:r>
      <w:r>
        <w:tab/>
      </w:r>
      <w:r w:rsidR="006910C7">
        <w:fldChar w:fldCharType="begin" w:fldLock="1"/>
      </w:r>
      <w:r>
        <w:instrText xml:space="preserve"> PAGEREF _Toc233514044 \h </w:instrText>
      </w:r>
      <w:r w:rsidR="006910C7">
        <w:fldChar w:fldCharType="separate"/>
      </w:r>
      <w:r>
        <w:t>6</w:t>
      </w:r>
      <w:r w:rsidR="006910C7">
        <w:fldChar w:fldCharType="end"/>
      </w:r>
    </w:p>
    <w:p w:rsidR="004A6009" w:rsidRDefault="004A6009" w:rsidP="00A8653C">
      <w:pPr>
        <w:pStyle w:val="TOC1"/>
        <w:rPr>
          <w:rFonts w:ascii="Calibri" w:hAnsi="Calibri"/>
          <w:szCs w:val="22"/>
          <w:lang w:eastAsia="en-GB"/>
        </w:rPr>
      </w:pPr>
      <w:r>
        <w:t>6</w:t>
      </w:r>
      <w:r>
        <w:tab/>
        <w:t>Market information</w:t>
      </w:r>
      <w:r>
        <w:tab/>
      </w:r>
      <w:r w:rsidR="006910C7">
        <w:fldChar w:fldCharType="begin" w:fldLock="1"/>
      </w:r>
      <w:r>
        <w:instrText xml:space="preserve"> PAGEREF _Toc233514045 \h </w:instrText>
      </w:r>
      <w:r w:rsidR="006910C7">
        <w:fldChar w:fldCharType="separate"/>
      </w:r>
      <w:r>
        <w:t>6</w:t>
      </w:r>
      <w:r w:rsidR="006910C7">
        <w:fldChar w:fldCharType="end"/>
      </w:r>
    </w:p>
    <w:p w:rsidR="004A6009" w:rsidRDefault="004A6009" w:rsidP="00A8653C">
      <w:pPr>
        <w:pStyle w:val="TOC1"/>
        <w:rPr>
          <w:rFonts w:ascii="Calibri" w:hAnsi="Calibri"/>
          <w:szCs w:val="22"/>
          <w:lang w:eastAsia="en-GB"/>
        </w:rPr>
      </w:pPr>
      <w:r>
        <w:t>7</w:t>
      </w:r>
      <w:r>
        <w:tab/>
        <w:t>Technical information</w:t>
      </w:r>
      <w:r>
        <w:tab/>
      </w:r>
      <w:r w:rsidR="006910C7">
        <w:fldChar w:fldCharType="begin" w:fldLock="1"/>
      </w:r>
      <w:r>
        <w:instrText xml:space="preserve"> PAGEREF _Toc233514046 \h </w:instrText>
      </w:r>
      <w:r w:rsidR="006910C7">
        <w:fldChar w:fldCharType="separate"/>
      </w:r>
      <w:r>
        <w:t>6</w:t>
      </w:r>
      <w:r w:rsidR="006910C7">
        <w:fldChar w:fldCharType="end"/>
      </w:r>
    </w:p>
    <w:p w:rsidR="004A6009" w:rsidRDefault="004A6009" w:rsidP="00A8653C">
      <w:pPr>
        <w:pStyle w:val="TOC2"/>
        <w:rPr>
          <w:rFonts w:ascii="Calibri" w:hAnsi="Calibri"/>
          <w:sz w:val="22"/>
          <w:szCs w:val="22"/>
          <w:lang w:eastAsia="en-GB"/>
        </w:rPr>
      </w:pPr>
      <w:r>
        <w:t>7.1</w:t>
      </w:r>
      <w:r>
        <w:tab/>
        <w:t>Detailed technical description</w:t>
      </w:r>
      <w:r>
        <w:tab/>
      </w:r>
      <w:r w:rsidR="006910C7">
        <w:fldChar w:fldCharType="begin" w:fldLock="1"/>
      </w:r>
      <w:r>
        <w:instrText xml:space="preserve"> PAGEREF _Toc233514047 \h </w:instrText>
      </w:r>
      <w:r w:rsidR="006910C7">
        <w:fldChar w:fldCharType="separate"/>
      </w:r>
      <w:r>
        <w:t>6</w:t>
      </w:r>
      <w:r w:rsidR="006910C7">
        <w:fldChar w:fldCharType="end"/>
      </w:r>
    </w:p>
    <w:p w:rsidR="004A6009" w:rsidRDefault="004A6009" w:rsidP="00A8653C">
      <w:pPr>
        <w:pStyle w:val="TOC2"/>
        <w:rPr>
          <w:rFonts w:ascii="Calibri" w:hAnsi="Calibri"/>
          <w:sz w:val="22"/>
          <w:szCs w:val="22"/>
          <w:lang w:eastAsia="en-GB"/>
        </w:rPr>
      </w:pPr>
      <w:r>
        <w:t>7.2</w:t>
      </w:r>
      <w:r>
        <w:tab/>
        <w:t>Technical parameters and implications on spectrum</w:t>
      </w:r>
      <w:r>
        <w:tab/>
      </w:r>
      <w:r w:rsidR="006910C7">
        <w:fldChar w:fldCharType="begin" w:fldLock="1"/>
      </w:r>
      <w:r>
        <w:instrText xml:space="preserve"> PAGEREF _Toc233514048 \h </w:instrText>
      </w:r>
      <w:r w:rsidR="006910C7">
        <w:fldChar w:fldCharType="separate"/>
      </w:r>
      <w:r>
        <w:t>6</w:t>
      </w:r>
      <w:r w:rsidR="006910C7">
        <w:fldChar w:fldCharType="end"/>
      </w:r>
    </w:p>
    <w:p w:rsidR="004A6009" w:rsidRDefault="004A6009" w:rsidP="00A8653C">
      <w:pPr>
        <w:pStyle w:val="TOC3"/>
        <w:rPr>
          <w:rFonts w:ascii="Calibri" w:hAnsi="Calibri"/>
          <w:sz w:val="22"/>
          <w:szCs w:val="22"/>
          <w:lang w:eastAsia="en-GB"/>
        </w:rPr>
      </w:pPr>
      <w:r>
        <w:t>7.2.1</w:t>
      </w:r>
      <w:r>
        <w:tab/>
        <w:t>Status of technical parameters</w:t>
      </w:r>
      <w:r>
        <w:tab/>
      </w:r>
      <w:r w:rsidR="006910C7">
        <w:fldChar w:fldCharType="begin" w:fldLock="1"/>
      </w:r>
      <w:r>
        <w:instrText xml:space="preserve"> PAGEREF _Toc233514049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7.2.1.1</w:t>
      </w:r>
      <w:r>
        <w:tab/>
        <w:t>Current ITU and European Common Allocations</w:t>
      </w:r>
      <w:r>
        <w:tab/>
      </w:r>
      <w:r w:rsidR="006910C7">
        <w:fldChar w:fldCharType="begin" w:fldLock="1"/>
      </w:r>
      <w:r>
        <w:instrText xml:space="preserve"> PAGEREF _Toc233514050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7.2.1.2</w:t>
      </w:r>
      <w:r>
        <w:tab/>
        <w:t>Sharing and compatibility studies (if any) already available</w:t>
      </w:r>
      <w:r>
        <w:tab/>
      </w:r>
      <w:r w:rsidR="006910C7">
        <w:fldChar w:fldCharType="begin" w:fldLock="1"/>
      </w:r>
      <w:r>
        <w:instrText xml:space="preserve"> PAGEREF _Toc233514051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7.2.1.3</w:t>
      </w:r>
      <w:r>
        <w:tab/>
        <w:t>Sharing and compatibility issues still to be considered</w:t>
      </w:r>
      <w:r>
        <w:tab/>
      </w:r>
      <w:r w:rsidR="006910C7">
        <w:fldChar w:fldCharType="begin" w:fldLock="1"/>
      </w:r>
      <w:r>
        <w:instrText xml:space="preserve"> PAGEREF _Toc233514052 \h </w:instrText>
      </w:r>
      <w:r w:rsidR="006910C7">
        <w:fldChar w:fldCharType="separate"/>
      </w:r>
      <w:r>
        <w:t>7</w:t>
      </w:r>
      <w:r w:rsidR="006910C7">
        <w:fldChar w:fldCharType="end"/>
      </w:r>
    </w:p>
    <w:p w:rsidR="004A6009" w:rsidRDefault="004A6009" w:rsidP="00A8653C">
      <w:pPr>
        <w:pStyle w:val="TOC3"/>
        <w:rPr>
          <w:rFonts w:ascii="Calibri" w:hAnsi="Calibri"/>
          <w:sz w:val="22"/>
          <w:szCs w:val="22"/>
          <w:lang w:eastAsia="en-GB"/>
        </w:rPr>
      </w:pPr>
      <w:r>
        <w:t>7.2.2</w:t>
      </w:r>
      <w:r>
        <w:tab/>
        <w:t>Transmitter parameters</w:t>
      </w:r>
      <w:r>
        <w:tab/>
      </w:r>
      <w:r w:rsidR="006910C7">
        <w:fldChar w:fldCharType="begin" w:fldLock="1"/>
      </w:r>
      <w:r>
        <w:instrText xml:space="preserve"> PAGEREF _Toc233514053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7.2.2.1</w:t>
      </w:r>
      <w:r>
        <w:tab/>
        <w:t>Transmitter Output Power / Radiated Power</w:t>
      </w:r>
      <w:r>
        <w:tab/>
      </w:r>
      <w:r w:rsidR="006910C7">
        <w:fldChar w:fldCharType="begin" w:fldLock="1"/>
      </w:r>
      <w:r>
        <w:instrText xml:space="preserve"> PAGEREF _Toc233514054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7.2.2.1a</w:t>
      </w:r>
      <w:r>
        <w:tab/>
        <w:t>Antenna Characteristics</w:t>
      </w:r>
      <w:r>
        <w:tab/>
      </w:r>
      <w:r w:rsidR="006910C7">
        <w:fldChar w:fldCharType="begin" w:fldLock="1"/>
      </w:r>
      <w:r>
        <w:instrText xml:space="preserve"> PAGEREF _Toc233514055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7.2.2.2</w:t>
      </w:r>
      <w:r>
        <w:tab/>
        <w:t>Operating Frequency</w:t>
      </w:r>
      <w:r>
        <w:tab/>
      </w:r>
      <w:r w:rsidR="006910C7">
        <w:fldChar w:fldCharType="begin" w:fldLock="1"/>
      </w:r>
      <w:r>
        <w:instrText xml:space="preserve"> PAGEREF _Toc233514056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7.2.2.3</w:t>
      </w:r>
      <w:r>
        <w:tab/>
        <w:t>Bandwidth</w:t>
      </w:r>
      <w:r>
        <w:tab/>
      </w:r>
      <w:r w:rsidR="006910C7">
        <w:fldChar w:fldCharType="begin" w:fldLock="1"/>
      </w:r>
      <w:r>
        <w:instrText xml:space="preserve"> PAGEREF _Toc233514057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7.2.2.4</w:t>
      </w:r>
      <w:r>
        <w:tab/>
        <w:t>Unwanted emissions</w:t>
      </w:r>
      <w:r>
        <w:tab/>
      </w:r>
      <w:r w:rsidR="006910C7">
        <w:fldChar w:fldCharType="begin" w:fldLock="1"/>
      </w:r>
      <w:r>
        <w:instrText xml:space="preserve"> PAGEREF _Toc233514058 \h </w:instrText>
      </w:r>
      <w:r w:rsidR="006910C7">
        <w:fldChar w:fldCharType="separate"/>
      </w:r>
      <w:r>
        <w:t>7</w:t>
      </w:r>
      <w:r w:rsidR="006910C7">
        <w:fldChar w:fldCharType="end"/>
      </w:r>
    </w:p>
    <w:p w:rsidR="004A6009" w:rsidRDefault="004A6009" w:rsidP="00A8653C">
      <w:pPr>
        <w:pStyle w:val="TOC4"/>
        <w:rPr>
          <w:rFonts w:ascii="Calibri" w:hAnsi="Calibri"/>
          <w:sz w:val="22"/>
          <w:szCs w:val="22"/>
          <w:lang w:eastAsia="en-GB"/>
        </w:rPr>
      </w:pPr>
      <w:r>
        <w:t>7.2.2.&lt;x&gt;</w:t>
      </w:r>
      <w:r>
        <w:tab/>
        <w:t>&lt;Parameter&gt;</w:t>
      </w:r>
      <w:r>
        <w:tab/>
      </w:r>
      <w:r w:rsidR="006910C7">
        <w:fldChar w:fldCharType="begin" w:fldLock="1"/>
      </w:r>
      <w:r>
        <w:instrText xml:space="preserve"> PAGEREF _Toc233514059 \h </w:instrText>
      </w:r>
      <w:r w:rsidR="006910C7">
        <w:fldChar w:fldCharType="separate"/>
      </w:r>
      <w:r>
        <w:t>7</w:t>
      </w:r>
      <w:r w:rsidR="006910C7">
        <w:fldChar w:fldCharType="end"/>
      </w:r>
    </w:p>
    <w:p w:rsidR="004A6009" w:rsidRDefault="004A6009" w:rsidP="00A8653C">
      <w:pPr>
        <w:pStyle w:val="TOC3"/>
        <w:rPr>
          <w:rFonts w:ascii="Calibri" w:hAnsi="Calibri"/>
          <w:sz w:val="22"/>
          <w:szCs w:val="22"/>
          <w:lang w:eastAsia="en-GB"/>
        </w:rPr>
      </w:pPr>
      <w:r>
        <w:t>7.2.3</w:t>
      </w:r>
      <w:r>
        <w:tab/>
        <w:t>Receiver parameters</w:t>
      </w:r>
      <w:r>
        <w:tab/>
      </w:r>
      <w:r w:rsidR="006910C7">
        <w:fldChar w:fldCharType="begin" w:fldLock="1"/>
      </w:r>
      <w:r>
        <w:instrText xml:space="preserve"> PAGEREF _Toc233514060 \h </w:instrText>
      </w:r>
      <w:r w:rsidR="006910C7">
        <w:fldChar w:fldCharType="separate"/>
      </w:r>
      <w:r>
        <w:t>7</w:t>
      </w:r>
      <w:r w:rsidR="006910C7">
        <w:fldChar w:fldCharType="end"/>
      </w:r>
    </w:p>
    <w:p w:rsidR="004A6009" w:rsidRDefault="004A6009" w:rsidP="00A8653C">
      <w:pPr>
        <w:pStyle w:val="TOC3"/>
        <w:rPr>
          <w:rFonts w:ascii="Calibri" w:hAnsi="Calibri"/>
          <w:sz w:val="22"/>
          <w:szCs w:val="22"/>
          <w:lang w:eastAsia="en-GB"/>
        </w:rPr>
      </w:pPr>
      <w:r>
        <w:t>7.2.4</w:t>
      </w:r>
      <w:r>
        <w:tab/>
        <w:t>[Channel access parameters]</w:t>
      </w:r>
      <w:r>
        <w:tab/>
      </w:r>
      <w:r w:rsidR="006910C7">
        <w:fldChar w:fldCharType="begin" w:fldLock="1"/>
      </w:r>
      <w:r>
        <w:instrText xml:space="preserve"> PAGEREF _Toc233514061 \h </w:instrText>
      </w:r>
      <w:r w:rsidR="006910C7">
        <w:fldChar w:fldCharType="separate"/>
      </w:r>
      <w:r>
        <w:t>7</w:t>
      </w:r>
      <w:r w:rsidR="006910C7">
        <w:fldChar w:fldCharType="end"/>
      </w:r>
    </w:p>
    <w:p w:rsidR="004A6009" w:rsidRDefault="004A6009" w:rsidP="00A8653C">
      <w:pPr>
        <w:pStyle w:val="TOC2"/>
        <w:rPr>
          <w:rFonts w:ascii="Calibri" w:hAnsi="Calibri"/>
          <w:sz w:val="22"/>
          <w:szCs w:val="22"/>
          <w:lang w:eastAsia="en-GB"/>
        </w:rPr>
      </w:pPr>
      <w:r>
        <w:t>7.3</w:t>
      </w:r>
      <w:r>
        <w:tab/>
        <w:t>Information on relevant standard(s)</w:t>
      </w:r>
      <w:r>
        <w:tab/>
      </w:r>
      <w:r w:rsidR="006910C7">
        <w:fldChar w:fldCharType="begin" w:fldLock="1"/>
      </w:r>
      <w:r>
        <w:instrText xml:space="preserve"> PAGEREF _Toc233514062 \h </w:instrText>
      </w:r>
      <w:r w:rsidR="006910C7">
        <w:fldChar w:fldCharType="separate"/>
      </w:r>
      <w:r>
        <w:t>7</w:t>
      </w:r>
      <w:r w:rsidR="006910C7">
        <w:fldChar w:fldCharType="end"/>
      </w:r>
    </w:p>
    <w:p w:rsidR="004A6009" w:rsidRDefault="004A6009" w:rsidP="00A8653C">
      <w:pPr>
        <w:pStyle w:val="TOC1"/>
        <w:rPr>
          <w:rFonts w:ascii="Calibri" w:hAnsi="Calibri"/>
          <w:szCs w:val="22"/>
          <w:lang w:eastAsia="en-GB"/>
        </w:rPr>
      </w:pPr>
      <w:r>
        <w:t>8</w:t>
      </w:r>
      <w:r>
        <w:tab/>
        <w:t>Radio spectrum request and justification</w:t>
      </w:r>
      <w:r>
        <w:tab/>
      </w:r>
      <w:r w:rsidR="006910C7">
        <w:fldChar w:fldCharType="begin" w:fldLock="1"/>
      </w:r>
      <w:r>
        <w:instrText xml:space="preserve"> PAGEREF _Toc233514063 \h </w:instrText>
      </w:r>
      <w:r w:rsidR="006910C7">
        <w:fldChar w:fldCharType="separate"/>
      </w:r>
      <w:r>
        <w:t>8</w:t>
      </w:r>
      <w:r w:rsidR="006910C7">
        <w:fldChar w:fldCharType="end"/>
      </w:r>
    </w:p>
    <w:p w:rsidR="004A6009" w:rsidRDefault="004A6009" w:rsidP="00A8653C">
      <w:pPr>
        <w:pStyle w:val="TOC1"/>
        <w:rPr>
          <w:rFonts w:ascii="Calibri" w:hAnsi="Calibri"/>
          <w:szCs w:val="22"/>
          <w:lang w:eastAsia="en-GB"/>
        </w:rPr>
      </w:pPr>
      <w:r>
        <w:t>9</w:t>
      </w:r>
      <w:r>
        <w:tab/>
        <w:t>Regulations</w:t>
      </w:r>
      <w:r>
        <w:tab/>
      </w:r>
      <w:r w:rsidR="006910C7">
        <w:fldChar w:fldCharType="begin" w:fldLock="1"/>
      </w:r>
      <w:r>
        <w:instrText xml:space="preserve"> PAGEREF _Toc233514064 \h </w:instrText>
      </w:r>
      <w:r w:rsidR="006910C7">
        <w:fldChar w:fldCharType="separate"/>
      </w:r>
      <w:r>
        <w:t>8</w:t>
      </w:r>
      <w:r w:rsidR="006910C7">
        <w:fldChar w:fldCharType="end"/>
      </w:r>
    </w:p>
    <w:p w:rsidR="004A6009" w:rsidRDefault="004A6009" w:rsidP="00A8653C">
      <w:pPr>
        <w:pStyle w:val="TOC2"/>
        <w:rPr>
          <w:rFonts w:ascii="Calibri" w:hAnsi="Calibri"/>
          <w:sz w:val="22"/>
          <w:szCs w:val="22"/>
          <w:lang w:eastAsia="en-GB"/>
        </w:rPr>
      </w:pPr>
      <w:r>
        <w:t>9.1</w:t>
      </w:r>
      <w:r>
        <w:tab/>
        <w:t>Current regulations</w:t>
      </w:r>
      <w:r>
        <w:tab/>
      </w:r>
      <w:r w:rsidR="006910C7">
        <w:fldChar w:fldCharType="begin" w:fldLock="1"/>
      </w:r>
      <w:r>
        <w:instrText xml:space="preserve"> PAGEREF _Toc233514065 \h </w:instrText>
      </w:r>
      <w:r w:rsidR="006910C7">
        <w:fldChar w:fldCharType="separate"/>
      </w:r>
      <w:r>
        <w:t>8</w:t>
      </w:r>
      <w:r w:rsidR="006910C7">
        <w:fldChar w:fldCharType="end"/>
      </w:r>
    </w:p>
    <w:p w:rsidR="004A6009" w:rsidRDefault="004A6009" w:rsidP="00A8653C">
      <w:pPr>
        <w:pStyle w:val="TOC2"/>
        <w:rPr>
          <w:rFonts w:ascii="Calibri" w:hAnsi="Calibri"/>
          <w:sz w:val="22"/>
          <w:szCs w:val="22"/>
          <w:lang w:eastAsia="en-GB"/>
        </w:rPr>
      </w:pPr>
      <w:r>
        <w:t>9.2</w:t>
      </w:r>
      <w:r>
        <w:tab/>
        <w:t>Proposed regulation and justification</w:t>
      </w:r>
      <w:r>
        <w:tab/>
      </w:r>
      <w:r w:rsidR="006910C7">
        <w:fldChar w:fldCharType="begin" w:fldLock="1"/>
      </w:r>
      <w:r>
        <w:instrText xml:space="preserve"> PAGEREF _Toc233514066 \h </w:instrText>
      </w:r>
      <w:r w:rsidR="006910C7">
        <w:fldChar w:fldCharType="separate"/>
      </w:r>
      <w:r>
        <w:t>8</w:t>
      </w:r>
      <w:r w:rsidR="006910C7">
        <w:fldChar w:fldCharType="end"/>
      </w:r>
    </w:p>
    <w:p w:rsidR="004A6009" w:rsidRDefault="004A6009" w:rsidP="00A8653C">
      <w:pPr>
        <w:pStyle w:val="TOC9"/>
        <w:rPr>
          <w:rFonts w:ascii="Calibri" w:hAnsi="Calibri"/>
          <w:szCs w:val="22"/>
          <w:lang w:eastAsia="en-GB"/>
        </w:rPr>
      </w:pPr>
      <w:r>
        <w:t>Annex &lt;N&gt;:</w:t>
      </w:r>
      <w:r>
        <w:tab/>
        <w:t>Bibliography</w:t>
      </w:r>
      <w:r>
        <w:tab/>
      </w:r>
      <w:r w:rsidR="006910C7">
        <w:fldChar w:fldCharType="begin" w:fldLock="1"/>
      </w:r>
      <w:r>
        <w:instrText xml:space="preserve"> PAGEREF _Toc233514067 \h </w:instrText>
      </w:r>
      <w:r w:rsidR="006910C7">
        <w:fldChar w:fldCharType="separate"/>
      </w:r>
      <w:r>
        <w:t>9</w:t>
      </w:r>
      <w:r w:rsidR="006910C7">
        <w:fldChar w:fldCharType="end"/>
      </w:r>
    </w:p>
    <w:p w:rsidR="004A6009" w:rsidRDefault="004A6009" w:rsidP="00A8653C">
      <w:pPr>
        <w:pStyle w:val="TOC1"/>
        <w:rPr>
          <w:rFonts w:ascii="Calibri" w:hAnsi="Calibri"/>
          <w:szCs w:val="22"/>
          <w:lang w:eastAsia="en-GB"/>
        </w:rPr>
      </w:pPr>
      <w:r>
        <w:t>History</w:t>
      </w:r>
      <w:r>
        <w:tab/>
      </w:r>
      <w:r w:rsidR="006910C7">
        <w:fldChar w:fldCharType="begin" w:fldLock="1"/>
      </w:r>
      <w:r>
        <w:instrText xml:space="preserve"> PAGEREF _Toc233514068 \h </w:instrText>
      </w:r>
      <w:r w:rsidR="006910C7">
        <w:fldChar w:fldCharType="separate"/>
      </w:r>
      <w:r>
        <w:t>10</w:t>
      </w:r>
      <w:r w:rsidR="006910C7">
        <w:fldChar w:fldCharType="end"/>
      </w:r>
    </w:p>
    <w:p w:rsidR="004A6009" w:rsidRDefault="006910C7" w:rsidP="007D4595">
      <w:pPr>
        <w:rPr>
          <w:noProof/>
          <w:sz w:val="22"/>
        </w:rPr>
      </w:pPr>
      <w:r>
        <w:fldChar w:fldCharType="end"/>
      </w:r>
    </w:p>
    <w:p w:rsidR="004A6009" w:rsidRDefault="004A6009" w:rsidP="007D4595">
      <w:r>
        <w:rPr>
          <w:noProof/>
          <w:sz w:val="22"/>
        </w:rPr>
        <w:br w:type="page"/>
      </w:r>
    </w:p>
    <w:p w:rsidR="004A6009" w:rsidRDefault="004A6009" w:rsidP="003649C7">
      <w:pPr>
        <w:pStyle w:val="Heading1"/>
      </w:pPr>
      <w:bookmarkStart w:id="12" w:name="_Toc233514030"/>
      <w:r w:rsidRPr="00FB1466">
        <w:lastRenderedPageBreak/>
        <w:t>Intellectual Property Rights</w:t>
      </w:r>
      <w:bookmarkEnd w:id="12"/>
    </w:p>
    <w:p w:rsidR="004A6009" w:rsidRPr="003623E2" w:rsidRDefault="004A6009" w:rsidP="003649C7">
      <w:r w:rsidRPr="003623E2">
        <w:t xml:space="preserve">IPRs essential or potentially essential to the present document may have been declared to ETSI. The information pertaining to these essential IPRs, if any, is publicly available for </w:t>
      </w:r>
      <w:r w:rsidRPr="003623E2">
        <w:rPr>
          <w:b/>
        </w:rPr>
        <w:t>ETSI members and non-members</w:t>
      </w:r>
      <w:r w:rsidRPr="003623E2">
        <w:t xml:space="preserve">, and can be found in ETSI SR 000 314: </w:t>
      </w:r>
      <w:r w:rsidRPr="003623E2">
        <w:rPr>
          <w:i/>
        </w:rPr>
        <w:t>"Intellectual Property Rights (IPRs); Essential, or potentially Essential, IPRs notified to ETSI in respect of ETSI standards"</w:t>
      </w:r>
      <w:r w:rsidRPr="003623E2">
        <w:t>, which is available from the ETSI Secretariat. Latest updates are available on the ETSI Web server (</w:t>
      </w:r>
      <w:hyperlink r:id="rId11" w:history="1">
        <w:r w:rsidRPr="003623E2">
          <w:rPr>
            <w:rStyle w:val="Hyperlink"/>
          </w:rPr>
          <w:t>http://webapp.etsi.org/IPR/home.asp</w:t>
        </w:r>
      </w:hyperlink>
      <w:r w:rsidRPr="003623E2">
        <w:t>).</w:t>
      </w:r>
    </w:p>
    <w:p w:rsidR="004A6009" w:rsidRPr="00645889" w:rsidRDefault="004A6009" w:rsidP="003649C7">
      <w:r>
        <w:rPr>
          <w:lang w:val="en-AU"/>
        </w:rP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4A6009" w:rsidRPr="00FB1466" w:rsidRDefault="004A6009" w:rsidP="005A4E96">
      <w:pPr>
        <w:pStyle w:val="Heading1"/>
      </w:pPr>
      <w:bookmarkStart w:id="13" w:name="_Toc233514031"/>
      <w:r w:rsidRPr="00FB1466">
        <w:t>Foreword</w:t>
      </w:r>
      <w:bookmarkEnd w:id="13"/>
    </w:p>
    <w:p w:rsidR="004A6009" w:rsidRDefault="004A6009" w:rsidP="005A4E96">
      <w:r w:rsidRPr="00FB1466">
        <w:t xml:space="preserve">This </w:t>
      </w:r>
      <w:bookmarkStart w:id="14" w:name="For_doctype"/>
      <w:r w:rsidRPr="00FB1466">
        <w:t>Technical Report (TR)</w:t>
      </w:r>
      <w:bookmarkEnd w:id="14"/>
      <w:r w:rsidRPr="00FB1466">
        <w:t xml:space="preserve"> has been produced by </w:t>
      </w:r>
      <w:bookmarkStart w:id="15" w:name="For_tbname"/>
      <w:r w:rsidRPr="00FB1466">
        <w:t>ETSI Technical Committee Electromagnetic compatibility and Radio spectrum Matters (ERM)</w:t>
      </w:r>
      <w:bookmarkEnd w:id="15"/>
      <w:r w:rsidRPr="00FB1466">
        <w:t>.</w:t>
      </w:r>
    </w:p>
    <w:p w:rsidR="004A6009" w:rsidRDefault="004A6009" w:rsidP="00DB37EA">
      <w:pPr>
        <w:pStyle w:val="Heading1"/>
      </w:pPr>
      <w:bookmarkStart w:id="16" w:name="_Toc233514032"/>
      <w:r>
        <w:t>Executive summary</w:t>
      </w:r>
      <w:bookmarkEnd w:id="16"/>
    </w:p>
    <w:p w:rsidR="004A6009" w:rsidRDefault="004A6009" w:rsidP="00414A9E">
      <w:pPr>
        <w:rPr>
          <w:rStyle w:val="Guidance"/>
          <w:i w:val="0"/>
          <w:color w:val="auto"/>
        </w:rPr>
      </w:pPr>
      <w:r>
        <w:rPr>
          <w:rStyle w:val="Guidance"/>
          <w:i w:val="0"/>
          <w:color w:val="auto"/>
        </w:rPr>
        <w:t>The ever-increasing take-up of broadband services around the globe has led to an explosion of data carried over mobile networks over the last few years, as users increasingly expect and demand to be able to access high-speed internet services on their own mobile devices wherever they travel.</w:t>
      </w:r>
    </w:p>
    <w:p w:rsidR="004A6009" w:rsidRDefault="004A6009" w:rsidP="00414A9E">
      <w:pPr>
        <w:rPr>
          <w:rStyle w:val="Guidance"/>
          <w:i w:val="0"/>
          <w:color w:val="auto"/>
        </w:rPr>
      </w:pPr>
      <w:r>
        <w:rPr>
          <w:rStyle w:val="Guidance"/>
          <w:i w:val="0"/>
          <w:color w:val="auto"/>
        </w:rPr>
        <w:t xml:space="preserve">Airline passengers represent a small but important sector of the overall mobile market, since many high-value business customers are frequent travellers and would like to be able to connect to the internet, send and receive e-mails, etc. when travelling on continental, as well as long-haul flights. The provision of information and entertainment services is also a popular service enjoyed by both business and private users during flights.  Last but not least, the availability of broadband connections to aircraft in flight can provide additional </w:t>
      </w:r>
      <w:r w:rsidR="000D1797" w:rsidRPr="001A590E">
        <w:rPr>
          <w:color w:val="000000" w:themeColor="text1"/>
        </w:rPr>
        <w:t>a</w:t>
      </w:r>
      <w:r w:rsidRPr="001A590E">
        <w:rPr>
          <w:color w:val="000000" w:themeColor="text1"/>
        </w:rPr>
        <w:t xml:space="preserve">irline </w:t>
      </w:r>
      <w:r w:rsidR="000D1797" w:rsidRPr="001A590E">
        <w:rPr>
          <w:color w:val="000000" w:themeColor="text1"/>
        </w:rPr>
        <w:t>i</w:t>
      </w:r>
      <w:r w:rsidRPr="001A590E">
        <w:rPr>
          <w:color w:val="000000" w:themeColor="text1"/>
        </w:rPr>
        <w:t>nformation data</w:t>
      </w:r>
      <w:r>
        <w:rPr>
          <w:b/>
          <w:i/>
          <w:color w:val="1F497D"/>
          <w:u w:val="single"/>
        </w:rPr>
        <w:t xml:space="preserve"> </w:t>
      </w:r>
      <w:r>
        <w:rPr>
          <w:rStyle w:val="Guidance"/>
          <w:i w:val="0"/>
          <w:color w:val="auto"/>
        </w:rPr>
        <w:t>to supplement the information already available via existing communications channels</w:t>
      </w:r>
      <w:r w:rsidRPr="0059608D">
        <w:rPr>
          <w:rStyle w:val="Guidance"/>
          <w:i w:val="0"/>
          <w:color w:val="auto"/>
        </w:rPr>
        <w:t>. Such usage would be</w:t>
      </w:r>
      <w:r>
        <w:rPr>
          <w:rStyle w:val="Guidance"/>
          <w:i w:val="0"/>
          <w:color w:val="auto"/>
        </w:rPr>
        <w:t xml:space="preserve"> limited to</w:t>
      </w:r>
      <w:r w:rsidR="00F60CE2">
        <w:rPr>
          <w:rStyle w:val="Guidance"/>
          <w:i w:val="0"/>
          <w:color w:val="auto"/>
        </w:rPr>
        <w:t xml:space="preserve"> non-safety related </w:t>
      </w:r>
      <w:proofErr w:type="spellStart"/>
      <w:r w:rsidR="00F60CE2">
        <w:rPr>
          <w:rStyle w:val="Guidance"/>
          <w:i w:val="0"/>
          <w:color w:val="auto"/>
        </w:rPr>
        <w:t>datastreams</w:t>
      </w:r>
      <w:proofErr w:type="spellEnd"/>
      <w:r w:rsidR="00F60CE2">
        <w:rPr>
          <w:rStyle w:val="Guidance"/>
          <w:i w:val="0"/>
          <w:color w:val="auto"/>
        </w:rPr>
        <w:t xml:space="preserve">, which are known in the aviation industry </w:t>
      </w:r>
      <w:proofErr w:type="gramStart"/>
      <w:r w:rsidR="00F60CE2">
        <w:rPr>
          <w:rStyle w:val="Guidance"/>
          <w:i w:val="0"/>
          <w:color w:val="auto"/>
        </w:rPr>
        <w:t xml:space="preserve">as </w:t>
      </w:r>
      <w:r>
        <w:rPr>
          <w:rStyle w:val="Guidance"/>
          <w:i w:val="0"/>
          <w:color w:val="auto"/>
        </w:rPr>
        <w:t xml:space="preserve"> </w:t>
      </w:r>
      <w:r w:rsidR="00F60CE2">
        <w:rPr>
          <w:rStyle w:val="Guidance"/>
          <w:i w:val="0"/>
          <w:color w:val="auto"/>
        </w:rPr>
        <w:t>“</w:t>
      </w:r>
      <w:proofErr w:type="gramEnd"/>
      <w:r>
        <w:rPr>
          <w:rStyle w:val="Guidance"/>
          <w:i w:val="0"/>
          <w:color w:val="auto"/>
        </w:rPr>
        <w:t>non-mandatory ACARS messages</w:t>
      </w:r>
      <w:r w:rsidR="00F60CE2">
        <w:rPr>
          <w:rStyle w:val="Guidance"/>
          <w:i w:val="0"/>
          <w:color w:val="auto"/>
        </w:rPr>
        <w:t>”(See clause 3.3)</w:t>
      </w:r>
      <w:r>
        <w:rPr>
          <w:rStyle w:val="Guidance"/>
          <w:i w:val="0"/>
          <w:color w:val="auto"/>
        </w:rPr>
        <w:t>In order to meet these user demands, a communications link must be established between the aircraft and the ground which has sufficient capacity to allow for large numbers of passengers to simultaneously access the various services, including streaming video.  Up until now, with the exception of two North American service providers, the only means of providing aircraft backhaul has been through the use of satellite links.  This has several disadvantages, including limited bandwidth, cost of capacity and round-trip delays.  A broadband Direct Air-to-Ground (DA2G) communications solution overcomes these drawbacks and is highly suitable for use over landmasses, including the majority of European routes.  Work has already begun within CEPT to identify spectrum for such an application. Three DA2GC system proposals have been presented to CEPT. One of these proposals is the system described herein.</w:t>
      </w:r>
    </w:p>
    <w:p w:rsidR="004A6009" w:rsidRDefault="004A6009" w:rsidP="00414A9E">
      <w:pPr>
        <w:rPr>
          <w:rStyle w:val="Guidance"/>
          <w:i w:val="0"/>
          <w:color w:val="auto"/>
        </w:rPr>
      </w:pPr>
      <w:r>
        <w:rPr>
          <w:rStyle w:val="Guidance"/>
          <w:i w:val="0"/>
          <w:color w:val="auto"/>
        </w:rPr>
        <w:t xml:space="preserve">The present document describes a novel broadband DA2G communications system which makes use of adaptive beamforming antennas in order to achieve the desired system performance whilst maintaining lower transmit power levels than would otherwise be necessary.  This feature also facilitates co-frequency sharing with other systems by minimising interference into other services and, at the same time, reducing the impact of incoming interference on the achievable link performance.  For these reasons, the described system has initially been designed to be capable of operating in any 20MHz block of contiguous TDD spectrum (or 2 x 10MHz FDD) within the ISM frequency bands around 2,4 GHz and/or at 5,8 GHz (currently used for a number of licence-exempt applications). </w:t>
      </w:r>
    </w:p>
    <w:p w:rsidR="004A6009" w:rsidRDefault="004A6009" w:rsidP="00414A9E">
      <w:pPr>
        <w:rPr>
          <w:rStyle w:val="Guidance"/>
          <w:i w:val="0"/>
          <w:color w:val="auto"/>
        </w:rPr>
      </w:pPr>
      <w:r>
        <w:rPr>
          <w:rStyle w:val="Guidance"/>
          <w:i w:val="0"/>
          <w:color w:val="auto"/>
        </w:rPr>
        <w:t>From the point of view of enabling a timely and cost-effective deployment of the system across Europe, it would be preferable if a licence-exempt or lightly licensed regime could be applied.  However, the appropriate regulatory framework will depend on the outcome of studies being carried out within the CEPT.</w:t>
      </w:r>
    </w:p>
    <w:p w:rsidR="004A6009" w:rsidRDefault="004A6009" w:rsidP="00414A9E">
      <w:pPr>
        <w:rPr>
          <w:rStyle w:val="Guidance"/>
          <w:i w:val="0"/>
          <w:color w:val="auto"/>
        </w:rPr>
      </w:pPr>
      <w:r>
        <w:rPr>
          <w:rStyle w:val="Guidance"/>
          <w:i w:val="0"/>
          <w:color w:val="auto"/>
        </w:rPr>
        <w:t xml:space="preserve">For the system described in the present document, the 5,8 GHz band is currently considered as </w:t>
      </w:r>
      <w:r w:rsidR="00F621EC">
        <w:rPr>
          <w:rStyle w:val="Guidance"/>
          <w:i w:val="0"/>
          <w:color w:val="auto"/>
        </w:rPr>
        <w:t xml:space="preserve">a possible </w:t>
      </w:r>
      <w:r>
        <w:rPr>
          <w:rStyle w:val="Guidance"/>
          <w:i w:val="0"/>
          <w:color w:val="auto"/>
        </w:rPr>
        <w:t xml:space="preserve">band for an early introduction in CEPT countries, and, more specifically, the portion of the band from </w:t>
      </w:r>
      <w:r>
        <w:t xml:space="preserve">5 855 MHz to 5 875 MHz since this upper part of the 5.8GHz band is not designated for radar use in Europe.  (Radar systems operate in the bands immediately below this range, which would present a much more difficult sharing scenario). </w:t>
      </w:r>
      <w:r>
        <w:rPr>
          <w:rStyle w:val="Guidance"/>
          <w:i w:val="0"/>
          <w:color w:val="auto"/>
        </w:rPr>
        <w:t xml:space="preserve"> </w:t>
      </w:r>
      <w:r w:rsidR="004D48FD">
        <w:rPr>
          <w:rStyle w:val="Guidance"/>
          <w:i w:val="0"/>
          <w:color w:val="auto"/>
        </w:rPr>
        <w:t xml:space="preserve">The </w:t>
      </w:r>
      <w:r w:rsidR="00F14F44">
        <w:rPr>
          <w:rStyle w:val="Guidance"/>
          <w:i w:val="0"/>
          <w:color w:val="auto"/>
        </w:rPr>
        <w:t xml:space="preserve">scope of the </w:t>
      </w:r>
      <w:r w:rsidR="004D48FD">
        <w:rPr>
          <w:rStyle w:val="Guidance"/>
          <w:i w:val="0"/>
          <w:color w:val="auto"/>
        </w:rPr>
        <w:t xml:space="preserve">present document </w:t>
      </w:r>
      <w:r w:rsidR="00F14F44">
        <w:rPr>
          <w:rStyle w:val="Guidance"/>
          <w:i w:val="0"/>
          <w:color w:val="auto"/>
        </w:rPr>
        <w:t>is restricted to the aforementioned frequency bands</w:t>
      </w:r>
      <w:r w:rsidR="00F621EC">
        <w:rPr>
          <w:rStyle w:val="Guidance"/>
          <w:i w:val="0"/>
          <w:color w:val="auto"/>
        </w:rPr>
        <w:t xml:space="preserve"> (2.4GHz and 5.8GHz)</w:t>
      </w:r>
      <w:r w:rsidR="00F14F44">
        <w:rPr>
          <w:rStyle w:val="Guidance"/>
          <w:i w:val="0"/>
          <w:color w:val="auto"/>
        </w:rPr>
        <w:t>, for the reasons stated</w:t>
      </w:r>
      <w:r w:rsidR="00F621EC">
        <w:rPr>
          <w:rStyle w:val="Guidance"/>
          <w:i w:val="0"/>
          <w:color w:val="auto"/>
        </w:rPr>
        <w:t>.</w:t>
      </w:r>
      <w:r w:rsidR="00F14F44">
        <w:rPr>
          <w:rStyle w:val="Guidance"/>
          <w:i w:val="0"/>
          <w:color w:val="auto"/>
        </w:rPr>
        <w:t xml:space="preserve">  </w:t>
      </w:r>
      <w:r>
        <w:rPr>
          <w:rStyle w:val="Guidance"/>
          <w:i w:val="0"/>
          <w:color w:val="auto"/>
        </w:rPr>
        <w:t>.</w:t>
      </w:r>
    </w:p>
    <w:p w:rsidR="004A6009" w:rsidRDefault="004A6009" w:rsidP="00414A9E">
      <w:pPr>
        <w:rPr>
          <w:rStyle w:val="Guidance"/>
          <w:i w:val="0"/>
          <w:color w:val="auto"/>
        </w:rPr>
      </w:pPr>
    </w:p>
    <w:p w:rsidR="004A6009" w:rsidRPr="00FB1466" w:rsidRDefault="004A6009" w:rsidP="005A4E96">
      <w:pPr>
        <w:pStyle w:val="Heading1"/>
      </w:pPr>
      <w:bookmarkStart w:id="17" w:name="_Toc233514033"/>
      <w:r w:rsidRPr="00FB1466">
        <w:lastRenderedPageBreak/>
        <w:t>Introduction</w:t>
      </w:r>
      <w:bookmarkEnd w:id="17"/>
    </w:p>
    <w:p w:rsidR="004A6009" w:rsidRDefault="004A6009" w:rsidP="00C94864">
      <w:r w:rsidRPr="00820EB0">
        <w:t>The present document has been developed</w:t>
      </w:r>
      <w:r>
        <w:t xml:space="preserve"> t</w:t>
      </w:r>
      <w:r w:rsidRPr="00820EB0">
        <w:t>o support the co-operation between ETSI and the Electronic Communications Committee (ECC) of the European Conference of Post and Telecommunications Administrations (CEPT</w:t>
      </w:r>
      <w:r>
        <w:t>).</w:t>
      </w:r>
    </w:p>
    <w:p w:rsidR="004A6009" w:rsidRDefault="004A6009" w:rsidP="00C94864">
      <w:r>
        <w:t>The document is intended to provide sufficient information on the design and operational features of the described broadband DA2G communications system to enable due consideration within the relevant CEPT Working Groups and Project Teams and, in particular, to aid in necessary sharing studies in the frequency bands currently under consideration for a new harmonised designation for such systems.</w:t>
      </w:r>
    </w:p>
    <w:p w:rsidR="004A6009" w:rsidRPr="009566FB" w:rsidRDefault="004A6009" w:rsidP="00C94864">
      <w:pPr>
        <w:rPr>
          <w:i/>
        </w:rPr>
      </w:pPr>
      <w:r w:rsidRPr="009566FB">
        <w:rPr>
          <w:i/>
        </w:rPr>
        <w:t xml:space="preserve"> </w:t>
      </w:r>
    </w:p>
    <w:p w:rsidR="004A6009" w:rsidRDefault="004A6009" w:rsidP="004939F7">
      <w:pPr>
        <w:pStyle w:val="H6"/>
      </w:pPr>
      <w:r>
        <w:t>Status of pre-approval draft</w:t>
      </w:r>
    </w:p>
    <w:p w:rsidR="004A6009" w:rsidRDefault="004A6009" w:rsidP="005A4E96">
      <w:r w:rsidRPr="00AD17ED">
        <w:t xml:space="preserve">The present document </w:t>
      </w:r>
      <w:r>
        <w:t>has been</w:t>
      </w:r>
      <w:r w:rsidRPr="00AD17ED">
        <w:t xml:space="preserve"> developed </w:t>
      </w:r>
      <w:r w:rsidR="001412C4">
        <w:t xml:space="preserve">and approved within </w:t>
      </w:r>
      <w:r>
        <w:t xml:space="preserve">TC BRAN, </w:t>
      </w:r>
      <w:r w:rsidR="001412C4">
        <w:t xml:space="preserve">has been subject to an internal enquiry within ERM and is currently undergoing </w:t>
      </w:r>
      <w:r w:rsidR="00D3207C">
        <w:t xml:space="preserve">further revisions to </w:t>
      </w:r>
      <w:r w:rsidR="001412C4">
        <w:t>resol</w:t>
      </w:r>
      <w:r w:rsidR="00D3207C">
        <w:t>ve comments received,</w:t>
      </w:r>
      <w:r w:rsidR="001412C4">
        <w:t xml:space="preserve"> prior to submission for final approval</w:t>
      </w:r>
      <w:r w:rsidR="00F2567A">
        <w:t xml:space="preserve"> </w:t>
      </w:r>
      <w:r w:rsidR="00677FCD">
        <w:t>by ERM</w:t>
      </w:r>
      <w:r w:rsidR="00677FCD">
        <w:t xml:space="preserve"> </w:t>
      </w:r>
      <w:r w:rsidR="00F2567A">
        <w:t>for publication as an ETSI Technical Report</w:t>
      </w:r>
      <w:r>
        <w:t xml:space="preserve">.  </w:t>
      </w:r>
    </w:p>
    <w:p w:rsidR="004A6009" w:rsidRPr="007F5884" w:rsidRDefault="004A6009" w:rsidP="005A4E96">
      <w:pPr>
        <w:rPr>
          <w:b/>
        </w:rPr>
      </w:pPr>
    </w:p>
    <w:p w:rsidR="004A6009" w:rsidRPr="007F5884" w:rsidRDefault="004A6009" w:rsidP="007F5884">
      <w:pPr>
        <w:jc w:val="center"/>
        <w:rPr>
          <w:rStyle w:val="Guidance"/>
          <w:b/>
          <w:i w:val="0"/>
          <w:color w:val="auto"/>
        </w:rPr>
      </w:pPr>
      <w:r w:rsidRPr="007F5884">
        <w:rPr>
          <w:b/>
        </w:rPr>
        <w:t>Table 1: Document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048"/>
        <w:gridCol w:w="840"/>
        <w:gridCol w:w="840"/>
        <w:gridCol w:w="840"/>
        <w:gridCol w:w="2759"/>
        <w:gridCol w:w="2448"/>
      </w:tblGrid>
      <w:tr w:rsidR="004A6009" w:rsidTr="006266A1">
        <w:trPr>
          <w:jc w:val="center"/>
        </w:trPr>
        <w:tc>
          <w:tcPr>
            <w:tcW w:w="2048" w:type="dxa"/>
          </w:tcPr>
          <w:p w:rsidR="004A6009" w:rsidRDefault="004A6009" w:rsidP="00FB3194">
            <w:pPr>
              <w:pStyle w:val="TAH"/>
            </w:pPr>
            <w:r>
              <w:t>Target version</w:t>
            </w:r>
          </w:p>
        </w:tc>
        <w:tc>
          <w:tcPr>
            <w:tcW w:w="2520" w:type="dxa"/>
            <w:gridSpan w:val="3"/>
          </w:tcPr>
          <w:p w:rsidR="004A6009" w:rsidRDefault="004A6009" w:rsidP="00FB3194">
            <w:pPr>
              <w:pStyle w:val="TAH"/>
            </w:pPr>
            <w:r>
              <w:t>Pre-approval date version</w:t>
            </w:r>
          </w:p>
          <w:p w:rsidR="004A6009" w:rsidRDefault="004A6009" w:rsidP="00FB3194">
            <w:pPr>
              <w:pStyle w:val="TAH"/>
            </w:pPr>
            <w:r>
              <w:t>(see note)</w:t>
            </w:r>
          </w:p>
        </w:tc>
        <w:tc>
          <w:tcPr>
            <w:tcW w:w="2759" w:type="dxa"/>
            <w:tcBorders>
              <w:top w:val="nil"/>
              <w:right w:val="nil"/>
            </w:tcBorders>
          </w:tcPr>
          <w:p w:rsidR="004A6009" w:rsidRDefault="004A6009" w:rsidP="00FB3194">
            <w:pPr>
              <w:pStyle w:val="TAH"/>
            </w:pPr>
          </w:p>
        </w:tc>
        <w:tc>
          <w:tcPr>
            <w:tcW w:w="2448" w:type="dxa"/>
            <w:tcBorders>
              <w:top w:val="nil"/>
              <w:left w:val="nil"/>
              <w:right w:val="nil"/>
            </w:tcBorders>
          </w:tcPr>
          <w:p w:rsidR="004A6009" w:rsidRDefault="004A6009" w:rsidP="00FB3194">
            <w:pPr>
              <w:pStyle w:val="TAH"/>
            </w:pPr>
          </w:p>
        </w:tc>
      </w:tr>
      <w:tr w:rsidR="004A6009" w:rsidRPr="006266A1" w:rsidTr="006266A1">
        <w:trPr>
          <w:jc w:val="center"/>
        </w:trPr>
        <w:tc>
          <w:tcPr>
            <w:tcW w:w="2048" w:type="dxa"/>
          </w:tcPr>
          <w:p w:rsidR="004A6009" w:rsidRDefault="004A6009" w:rsidP="00FB3194">
            <w:pPr>
              <w:pStyle w:val="TAH"/>
            </w:pPr>
            <w:proofErr w:type="spellStart"/>
            <w:r>
              <w:t>Vm.a.b</w:t>
            </w:r>
            <w:proofErr w:type="spellEnd"/>
          </w:p>
        </w:tc>
        <w:tc>
          <w:tcPr>
            <w:tcW w:w="840" w:type="dxa"/>
          </w:tcPr>
          <w:p w:rsidR="004A6009" w:rsidRDefault="004A6009" w:rsidP="00FB3194">
            <w:pPr>
              <w:pStyle w:val="TAH"/>
            </w:pPr>
            <w:r>
              <w:t>a</w:t>
            </w:r>
          </w:p>
        </w:tc>
        <w:tc>
          <w:tcPr>
            <w:tcW w:w="840" w:type="dxa"/>
          </w:tcPr>
          <w:p w:rsidR="004A6009" w:rsidRDefault="004A6009" w:rsidP="00FB3194">
            <w:pPr>
              <w:pStyle w:val="TAH"/>
            </w:pPr>
            <w:r>
              <w:t>s</w:t>
            </w:r>
          </w:p>
        </w:tc>
        <w:tc>
          <w:tcPr>
            <w:tcW w:w="840" w:type="dxa"/>
          </w:tcPr>
          <w:p w:rsidR="004A6009" w:rsidRDefault="004A6009" w:rsidP="00FB3194">
            <w:pPr>
              <w:pStyle w:val="TAH"/>
            </w:pPr>
            <w:r>
              <w:t>m</w:t>
            </w:r>
          </w:p>
        </w:tc>
        <w:tc>
          <w:tcPr>
            <w:tcW w:w="2759" w:type="dxa"/>
          </w:tcPr>
          <w:p w:rsidR="004A6009" w:rsidRDefault="004A6009" w:rsidP="00FB3194">
            <w:pPr>
              <w:pStyle w:val="TAH"/>
            </w:pPr>
            <w:r>
              <w:t>Date</w:t>
            </w:r>
          </w:p>
        </w:tc>
        <w:tc>
          <w:tcPr>
            <w:tcW w:w="2448" w:type="dxa"/>
          </w:tcPr>
          <w:p w:rsidR="004A6009" w:rsidRDefault="004A6009" w:rsidP="00FB3194">
            <w:pPr>
              <w:pStyle w:val="TAH"/>
            </w:pPr>
            <w:r>
              <w:t>Description</w:t>
            </w:r>
          </w:p>
        </w:tc>
      </w:tr>
      <w:tr w:rsidR="004A6009" w:rsidTr="006266A1">
        <w:trPr>
          <w:jc w:val="center"/>
        </w:trPr>
        <w:tc>
          <w:tcPr>
            <w:tcW w:w="2048" w:type="dxa"/>
          </w:tcPr>
          <w:p w:rsidR="004A6009" w:rsidRDefault="004A6009" w:rsidP="00FB3194">
            <w:pPr>
              <w:pStyle w:val="TAL"/>
            </w:pPr>
          </w:p>
        </w:tc>
        <w:tc>
          <w:tcPr>
            <w:tcW w:w="2520" w:type="dxa"/>
            <w:gridSpan w:val="3"/>
          </w:tcPr>
          <w:p w:rsidR="004A6009" w:rsidRDefault="004A6009" w:rsidP="00FB3194">
            <w:pPr>
              <w:pStyle w:val="TAL"/>
            </w:pPr>
          </w:p>
        </w:tc>
        <w:tc>
          <w:tcPr>
            <w:tcW w:w="2759" w:type="dxa"/>
          </w:tcPr>
          <w:p w:rsidR="004A6009" w:rsidRDefault="004A6009" w:rsidP="00FB3194">
            <w:pPr>
              <w:pStyle w:val="TAL"/>
            </w:pPr>
          </w:p>
        </w:tc>
        <w:tc>
          <w:tcPr>
            <w:tcW w:w="2448" w:type="dxa"/>
          </w:tcPr>
          <w:p w:rsidR="004A6009" w:rsidRDefault="004A6009" w:rsidP="00FB3194">
            <w:pPr>
              <w:pStyle w:val="TAL"/>
            </w:pPr>
          </w:p>
        </w:tc>
      </w:tr>
      <w:tr w:rsidR="004A6009" w:rsidTr="006266A1">
        <w:trPr>
          <w:jc w:val="center"/>
        </w:trPr>
        <w:tc>
          <w:tcPr>
            <w:tcW w:w="2048" w:type="dxa"/>
          </w:tcPr>
          <w:p w:rsidR="004A6009" w:rsidRDefault="004A6009" w:rsidP="00FB3194">
            <w:pPr>
              <w:pStyle w:val="TAL"/>
            </w:pPr>
          </w:p>
        </w:tc>
        <w:tc>
          <w:tcPr>
            <w:tcW w:w="2520" w:type="dxa"/>
            <w:gridSpan w:val="3"/>
          </w:tcPr>
          <w:p w:rsidR="004A6009" w:rsidRDefault="004A6009" w:rsidP="00FB3194">
            <w:pPr>
              <w:pStyle w:val="TAL"/>
            </w:pPr>
          </w:p>
        </w:tc>
        <w:tc>
          <w:tcPr>
            <w:tcW w:w="2759" w:type="dxa"/>
          </w:tcPr>
          <w:p w:rsidR="004A6009" w:rsidRDefault="004A6009" w:rsidP="00FB3194">
            <w:pPr>
              <w:pStyle w:val="TAL"/>
            </w:pPr>
          </w:p>
        </w:tc>
        <w:tc>
          <w:tcPr>
            <w:tcW w:w="2448" w:type="dxa"/>
          </w:tcPr>
          <w:p w:rsidR="004A6009" w:rsidRDefault="004A6009" w:rsidP="00FB3194">
            <w:pPr>
              <w:pStyle w:val="TAL"/>
            </w:pPr>
          </w:p>
        </w:tc>
      </w:tr>
      <w:tr w:rsidR="004A6009" w:rsidTr="006266A1">
        <w:trPr>
          <w:jc w:val="center"/>
        </w:trPr>
        <w:tc>
          <w:tcPr>
            <w:tcW w:w="2048" w:type="dxa"/>
          </w:tcPr>
          <w:p w:rsidR="004A6009" w:rsidRDefault="004A6009" w:rsidP="00FB3194">
            <w:pPr>
              <w:pStyle w:val="TAL"/>
            </w:pPr>
          </w:p>
        </w:tc>
        <w:tc>
          <w:tcPr>
            <w:tcW w:w="2520" w:type="dxa"/>
            <w:gridSpan w:val="3"/>
          </w:tcPr>
          <w:p w:rsidR="004A6009" w:rsidRDefault="004A6009" w:rsidP="00FB3194">
            <w:pPr>
              <w:pStyle w:val="TAL"/>
            </w:pPr>
          </w:p>
        </w:tc>
        <w:tc>
          <w:tcPr>
            <w:tcW w:w="2759" w:type="dxa"/>
          </w:tcPr>
          <w:p w:rsidR="004A6009" w:rsidRDefault="004A6009" w:rsidP="00FB3194">
            <w:pPr>
              <w:pStyle w:val="TAL"/>
            </w:pPr>
          </w:p>
        </w:tc>
        <w:tc>
          <w:tcPr>
            <w:tcW w:w="2448" w:type="dxa"/>
          </w:tcPr>
          <w:p w:rsidR="004A6009" w:rsidRDefault="004A6009" w:rsidP="00FB3194">
            <w:pPr>
              <w:pStyle w:val="TAL"/>
            </w:pPr>
          </w:p>
        </w:tc>
      </w:tr>
      <w:tr w:rsidR="004A6009" w:rsidTr="006266A1">
        <w:trPr>
          <w:jc w:val="center"/>
        </w:trPr>
        <w:tc>
          <w:tcPr>
            <w:tcW w:w="9775" w:type="dxa"/>
            <w:gridSpan w:val="6"/>
          </w:tcPr>
          <w:p w:rsidR="004A6009" w:rsidRDefault="004A6009" w:rsidP="003C3E18">
            <w:pPr>
              <w:pStyle w:val="TAN"/>
            </w:pPr>
            <w:r>
              <w:t>NOTE:</w:t>
            </w:r>
            <w:r w:rsidRPr="006266A1">
              <w:rPr>
                <w:szCs w:val="18"/>
              </w:rPr>
              <w:tab/>
            </w:r>
            <w:r w:rsidRPr="00ED1AA4">
              <w:t>See EG 201 788</w:t>
            </w:r>
            <w:r>
              <w:t xml:space="preserve"> (V2.1.1), c</w:t>
            </w:r>
            <w:r w:rsidRPr="00ED1AA4">
              <w:t>lause A.2</w:t>
            </w:r>
            <w:r>
              <w:t>.</w:t>
            </w:r>
          </w:p>
        </w:tc>
      </w:tr>
    </w:tbl>
    <w:p w:rsidR="004A6009" w:rsidRDefault="004A6009" w:rsidP="00275A74"/>
    <w:p w:rsidR="004A6009" w:rsidRPr="001464F5" w:rsidRDefault="004A6009" w:rsidP="001464F5"/>
    <w:p w:rsidR="004A6009" w:rsidRPr="00FB1466" w:rsidRDefault="004A6009" w:rsidP="009F69A4">
      <w:pPr>
        <w:pStyle w:val="Heading1"/>
        <w:spacing w:before="0" w:after="0"/>
        <w:ind w:left="0" w:firstLine="0"/>
      </w:pPr>
      <w:r>
        <w:br w:type="page"/>
      </w:r>
      <w:bookmarkStart w:id="18" w:name="_Toc233514034"/>
      <w:r w:rsidRPr="00FB1466">
        <w:lastRenderedPageBreak/>
        <w:t>1</w:t>
      </w:r>
      <w:r w:rsidRPr="00FB1466">
        <w:tab/>
        <w:t>Scope</w:t>
      </w:r>
      <w:bookmarkEnd w:id="18"/>
    </w:p>
    <w:p w:rsidR="004A6009" w:rsidRDefault="004A6009" w:rsidP="005A4E96">
      <w:r w:rsidRPr="00FB1466">
        <w:t xml:space="preserve">The present document </w:t>
      </w:r>
      <w:r>
        <w:t>describes</w:t>
      </w:r>
      <w:r w:rsidRPr="00FB1466">
        <w:t xml:space="preserve"> </w:t>
      </w:r>
      <w:r>
        <w:t xml:space="preserve">a system designed to provide broadband DA2G communications, which may require a change of the present frequency designation / utilisation within CEPT or some changes to the present regulatory framework for the proposed band(s) regarding either intended or unwanted emissions. </w:t>
      </w:r>
    </w:p>
    <w:p w:rsidR="004A6009" w:rsidRDefault="004A6009" w:rsidP="005A4E96">
      <w:r>
        <w:t xml:space="preserve">The preferred regulatory approach would be for this system to operate on a non-interference and unprotected basis within the bands </w:t>
      </w:r>
      <w:r w:rsidRPr="00276CC8">
        <w:t>2</w:t>
      </w:r>
      <w:r>
        <w:t xml:space="preserve"> </w:t>
      </w:r>
      <w:r w:rsidRPr="00276CC8">
        <w:t xml:space="preserve">400 </w:t>
      </w:r>
      <w:r>
        <w:t>MHz to</w:t>
      </w:r>
      <w:r w:rsidRPr="00276CC8">
        <w:t xml:space="preserve"> 2</w:t>
      </w:r>
      <w:r>
        <w:t> </w:t>
      </w:r>
      <w:r w:rsidRPr="00276CC8">
        <w:t>483</w:t>
      </w:r>
      <w:proofErr w:type="gramStart"/>
      <w:r>
        <w:t>,</w:t>
      </w:r>
      <w:r w:rsidRPr="00276CC8">
        <w:t>5</w:t>
      </w:r>
      <w:proofErr w:type="gramEnd"/>
      <w:r w:rsidRPr="00276CC8">
        <w:t xml:space="preserve"> MHz</w:t>
      </w:r>
      <w:r w:rsidDel="002B576B">
        <w:t xml:space="preserve"> </w:t>
      </w:r>
      <w:r>
        <w:t xml:space="preserve">and/or 5 855 MHz to 5 875 MHz.   </w:t>
      </w:r>
      <w:r w:rsidR="009E005E">
        <w:t xml:space="preserve">  </w:t>
      </w:r>
      <w:r w:rsidR="00D047E4">
        <w:t>However,</w:t>
      </w:r>
      <w:r>
        <w:t xml:space="preserve"> it is recognised that there is a high density and large variety of licence-exempt applications already deployed in the 2,4 GHz band in CEPT countries</w:t>
      </w:r>
      <w:r w:rsidR="00537CBB">
        <w:t xml:space="preserve"> and a number of important applications (including ITS applications and BFWA) also are deployed or planned in, or adjacent to, the 5.8GHz band.</w:t>
      </w:r>
      <w:r>
        <w:t>.</w:t>
      </w:r>
    </w:p>
    <w:p w:rsidR="004A6009" w:rsidRDefault="004A6009" w:rsidP="005A4E96">
      <w:r>
        <w:t>The present document includes, in particular:</w:t>
      </w:r>
    </w:p>
    <w:p w:rsidR="004A6009" w:rsidRPr="00FB1466" w:rsidRDefault="004A6009" w:rsidP="003649C7">
      <w:pPr>
        <w:pStyle w:val="B1"/>
        <w:rPr>
          <w:i/>
        </w:rPr>
      </w:pPr>
      <w:r>
        <w:t>Market information</w:t>
      </w:r>
      <w:r w:rsidRPr="00FB1466">
        <w:t>;</w:t>
      </w:r>
    </w:p>
    <w:p w:rsidR="004A6009" w:rsidRPr="00AA3500" w:rsidRDefault="004A6009" w:rsidP="003649C7">
      <w:pPr>
        <w:pStyle w:val="B1"/>
        <w:rPr>
          <w:i/>
        </w:rPr>
      </w:pPr>
      <w:r>
        <w:t>Technical information;</w:t>
      </w:r>
    </w:p>
    <w:p w:rsidR="004A6009" w:rsidRPr="00FB1466" w:rsidRDefault="004A6009" w:rsidP="003649C7">
      <w:pPr>
        <w:pStyle w:val="B1"/>
      </w:pPr>
      <w:r>
        <w:t>Regulatory issues</w:t>
      </w:r>
      <w:r w:rsidRPr="00FB1466">
        <w:t>.</w:t>
      </w:r>
    </w:p>
    <w:p w:rsidR="004A6009" w:rsidRDefault="004A6009" w:rsidP="005A4E96">
      <w:pPr>
        <w:pStyle w:val="Heading1"/>
      </w:pPr>
      <w:bookmarkStart w:id="19" w:name="_Toc233514035"/>
      <w:r w:rsidRPr="00FB1466">
        <w:t>2</w:t>
      </w:r>
      <w:r w:rsidRPr="00FB1466">
        <w:tab/>
        <w:t>References</w:t>
      </w:r>
      <w:bookmarkEnd w:id="19"/>
    </w:p>
    <w:p w:rsidR="004A6009" w:rsidRPr="00055551" w:rsidRDefault="004A6009" w:rsidP="004939F7">
      <w:r w:rsidRPr="00055551">
        <w:t>References are either specific (identified by date of publication and/or edition number or version number) or non</w:t>
      </w:r>
      <w:r w:rsidRPr="00055551">
        <w:noBreakHyphen/>
        <w:t>specific.</w:t>
      </w:r>
    </w:p>
    <w:p w:rsidR="004A6009" w:rsidRPr="00055551" w:rsidRDefault="004A6009" w:rsidP="004939F7">
      <w:pPr>
        <w:pStyle w:val="B1"/>
      </w:pPr>
      <w:r w:rsidRPr="00055551">
        <w:t>For a specific reference, subsequent revisions do not apply.</w:t>
      </w:r>
    </w:p>
    <w:p w:rsidR="004A6009" w:rsidRPr="00055551" w:rsidRDefault="004A6009" w:rsidP="004939F7">
      <w:pPr>
        <w:pStyle w:val="B1"/>
        <w:rPr>
          <w:lang w:eastAsia="en-GB"/>
        </w:rPr>
      </w:pPr>
      <w:r w:rsidRPr="00055551">
        <w:t>Non-specific reference</w:t>
      </w:r>
      <w:r w:rsidRPr="00055551">
        <w:rPr>
          <w:rFonts w:ascii="JGLFCK+ArialMT" w:hAnsi="JGLFCK+ArialMT" w:cs="JGLFCK+ArialMT"/>
          <w:lang w:eastAsia="en-GB"/>
        </w:rPr>
        <w:t xml:space="preserve"> </w:t>
      </w:r>
      <w:r w:rsidRPr="00055551">
        <w:rPr>
          <w:lang w:eastAsia="en-GB"/>
        </w:rPr>
        <w:t xml:space="preserve">may be made only to a complete document or a part thereof and only in the following cases: </w:t>
      </w:r>
    </w:p>
    <w:p w:rsidR="004A6009" w:rsidRPr="00055551" w:rsidRDefault="004A6009" w:rsidP="004939F7">
      <w:pPr>
        <w:pStyle w:val="B2"/>
        <w:rPr>
          <w:lang w:eastAsia="en-GB"/>
        </w:rPr>
      </w:pPr>
      <w:r w:rsidRPr="00055551">
        <w:rPr>
          <w:lang w:eastAsia="en-GB"/>
        </w:rPr>
        <w:t xml:space="preserve">if it is accepted that it will be possible to use all future changes of the referenced document for the purposes of the referring document; </w:t>
      </w:r>
    </w:p>
    <w:p w:rsidR="004A6009" w:rsidRPr="00055551" w:rsidRDefault="004A6009" w:rsidP="004939F7">
      <w:pPr>
        <w:pStyle w:val="B2"/>
        <w:rPr>
          <w:lang w:eastAsia="en-GB"/>
        </w:rPr>
      </w:pPr>
      <w:proofErr w:type="gramStart"/>
      <w:r w:rsidRPr="00055551">
        <w:rPr>
          <w:lang w:eastAsia="en-GB"/>
        </w:rPr>
        <w:t>for</w:t>
      </w:r>
      <w:proofErr w:type="gramEnd"/>
      <w:r w:rsidRPr="00055551">
        <w:rPr>
          <w:lang w:eastAsia="en-GB"/>
        </w:rPr>
        <w:t xml:space="preserve"> informative references.</w:t>
      </w:r>
    </w:p>
    <w:p w:rsidR="004A6009" w:rsidRPr="00055551" w:rsidRDefault="004A6009" w:rsidP="004939F7">
      <w:r w:rsidRPr="00055551">
        <w:t xml:space="preserve">Referenced documents which are not found to be publicly available in the expected location might be found at </w:t>
      </w:r>
      <w:hyperlink r:id="rId12" w:history="1">
        <w:r w:rsidRPr="00055551">
          <w:rPr>
            <w:rStyle w:val="Hyperlink"/>
          </w:rPr>
          <w:t>http://docbox.etsi.org/Reference</w:t>
        </w:r>
      </w:hyperlink>
      <w:r w:rsidRPr="00055551">
        <w:t>.</w:t>
      </w:r>
    </w:p>
    <w:p w:rsidR="004A6009" w:rsidRPr="00055551" w:rsidRDefault="004A6009" w:rsidP="004939F7">
      <w:pPr>
        <w:pStyle w:val="NO"/>
      </w:pPr>
      <w:r w:rsidRPr="00055551">
        <w:t>NOTE:</w:t>
      </w:r>
      <w:r w:rsidRPr="00055551">
        <w:tab/>
        <w:t>While any hyperlinks included in this clause were valid at the time of publication ETSI cannot guarantee their long term validity.</w:t>
      </w:r>
    </w:p>
    <w:p w:rsidR="004A6009" w:rsidRPr="00055551" w:rsidRDefault="004A6009" w:rsidP="004939F7">
      <w:pPr>
        <w:pStyle w:val="Heading2"/>
      </w:pPr>
      <w:bookmarkStart w:id="20" w:name="_Toc233514036"/>
      <w:r w:rsidRPr="00055551">
        <w:t>2.1</w:t>
      </w:r>
      <w:r w:rsidRPr="00055551">
        <w:tab/>
        <w:t>Normative references</w:t>
      </w:r>
      <w:bookmarkEnd w:id="20"/>
    </w:p>
    <w:p w:rsidR="004A6009" w:rsidRDefault="004A6009" w:rsidP="004939F7">
      <w:pPr>
        <w:rPr>
          <w:lang w:eastAsia="en-GB"/>
        </w:rPr>
      </w:pPr>
      <w:r w:rsidRPr="00055551">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rsidR="004A6009" w:rsidRDefault="004A6009" w:rsidP="004939F7">
      <w:pPr>
        <w:rPr>
          <w:lang w:eastAsia="en-GB"/>
        </w:rPr>
      </w:pPr>
      <w:r>
        <w:rPr>
          <w:lang w:eastAsia="en-GB"/>
        </w:rPr>
        <w:t>Not applicable.</w:t>
      </w:r>
    </w:p>
    <w:p w:rsidR="004A6009" w:rsidRPr="00055551" w:rsidRDefault="004A6009" w:rsidP="004939F7">
      <w:pPr>
        <w:pStyle w:val="Heading2"/>
      </w:pPr>
      <w:bookmarkStart w:id="21" w:name="_Toc233514037"/>
      <w:r w:rsidRPr="00055551">
        <w:t>2.2</w:t>
      </w:r>
      <w:r w:rsidRPr="00055551">
        <w:tab/>
        <w:t>Informative references</w:t>
      </w:r>
      <w:bookmarkEnd w:id="21"/>
    </w:p>
    <w:p w:rsidR="004A6009" w:rsidRPr="00F8010A" w:rsidRDefault="004A6009" w:rsidP="004939F7">
      <w:pPr>
        <w:rPr>
          <w:color w:val="000000"/>
        </w:rPr>
      </w:pPr>
      <w:r w:rsidRPr="00F8010A">
        <w:rPr>
          <w:color w:val="000000"/>
          <w:lang w:eastAsia="en-GB"/>
        </w:rPr>
        <w:t xml:space="preserve">The following referenced documents are </w:t>
      </w:r>
      <w:r w:rsidRPr="00F8010A">
        <w:rPr>
          <w:color w:val="000000"/>
        </w:rPr>
        <w:t>not essential to the use of the present document but they assist the user with regard to a particular subject area</w:t>
      </w:r>
      <w:r w:rsidRPr="00F8010A">
        <w:rPr>
          <w:b/>
          <w:color w:val="000000"/>
          <w:lang w:eastAsia="en-GB"/>
        </w:rPr>
        <w:t xml:space="preserve">. </w:t>
      </w:r>
      <w:r w:rsidRPr="00F8010A">
        <w:rPr>
          <w:color w:val="000000"/>
          <w:lang w:eastAsia="en-GB"/>
        </w:rPr>
        <w:t>For non-specific references, the latest version of the referenced document (including any amendments) applies.</w:t>
      </w:r>
    </w:p>
    <w:p w:rsidR="004A6009" w:rsidRDefault="004A6009" w:rsidP="009E57B3">
      <w:pPr>
        <w:pStyle w:val="EX"/>
      </w:pPr>
      <w:r w:rsidRPr="00F70FAB">
        <w:t>[i</w:t>
      </w:r>
      <w:proofErr w:type="gramStart"/>
      <w:r w:rsidRPr="00F70FAB">
        <w:t>.</w:t>
      </w:r>
      <w:proofErr w:type="gramEnd"/>
      <w:r w:rsidR="006910C7">
        <w:fldChar w:fldCharType="begin"/>
      </w:r>
      <w:r w:rsidR="00A058F2">
        <w:instrText>SEQ REFI</w:instrText>
      </w:r>
      <w:r w:rsidR="006910C7">
        <w:fldChar w:fldCharType="separate"/>
      </w:r>
      <w:r>
        <w:rPr>
          <w:noProof/>
        </w:rPr>
        <w:t>1</w:t>
      </w:r>
      <w:r w:rsidR="006910C7">
        <w:fldChar w:fldCharType="end"/>
      </w:r>
      <w:r>
        <w:t>]</w:t>
      </w:r>
      <w:r>
        <w:tab/>
        <w:t xml:space="preserve">EU Document </w:t>
      </w:r>
      <w:r>
        <w:rPr>
          <w:rFonts w:ascii="EUAlbertina" w:hAnsi="EUAlbertina" w:cs="EUAlbertina"/>
          <w:sz w:val="19"/>
          <w:szCs w:val="19"/>
          <w:lang w:eastAsia="en-GB"/>
        </w:rPr>
        <w:t>2008/294/EC:</w:t>
      </w:r>
      <w:r w:rsidRPr="00F70FAB">
        <w:t xml:space="preserve"> </w:t>
      </w:r>
      <w:r>
        <w:t xml:space="preserve"> “</w:t>
      </w:r>
      <w:r w:rsidRPr="00F70FAB">
        <w:t>COMMISSION DECISION of 7 April 2008 on harmonised conditions of spectrum use for the operation of mobile communication services on aircraft (MCA services) in the Community</w:t>
      </w:r>
      <w:r>
        <w:t>”</w:t>
      </w:r>
      <w:r w:rsidRPr="00F70FAB">
        <w:t>.</w:t>
      </w:r>
    </w:p>
    <w:p w:rsidR="004A6009" w:rsidRPr="00F70FAB" w:rsidRDefault="004A6009" w:rsidP="009E57B3">
      <w:pPr>
        <w:pStyle w:val="EX"/>
      </w:pPr>
      <w:r>
        <w:t>[i.2]</w:t>
      </w:r>
      <w:r>
        <w:tab/>
        <w:t>ERC Report 25: “</w:t>
      </w:r>
      <w:r w:rsidRPr="00F70FAB">
        <w:t xml:space="preserve">THE EUROPEAN TABLE OF FREQUENCY ALLOCATIONS AND UTILISATIONS IN THE FREQUENCY RANGE 9 kHz to 3000 GHz”. </w:t>
      </w:r>
    </w:p>
    <w:p w:rsidR="004A6009" w:rsidRDefault="004A6009" w:rsidP="00A512BC">
      <w:pPr>
        <w:ind w:left="1418" w:hanging="1237"/>
      </w:pPr>
      <w:r w:rsidRPr="00F70FAB">
        <w:lastRenderedPageBreak/>
        <w:t>[i.</w:t>
      </w:r>
      <w:r>
        <w:t>3]</w:t>
      </w:r>
      <w:r>
        <w:tab/>
        <w:t>ERC Recommendation 70-03: (</w:t>
      </w:r>
      <w:proofErr w:type="spellStart"/>
      <w:r>
        <w:t>Tromso</w:t>
      </w:r>
      <w:proofErr w:type="spellEnd"/>
      <w:r>
        <w:t xml:space="preserve"> 1997 and subsequent amendments) “RELATING TO THE USE OF SHORT RANGE DEVICES (SRD)”</w:t>
      </w:r>
    </w:p>
    <w:p w:rsidR="004A6009" w:rsidRDefault="004A6009" w:rsidP="00A34EF9">
      <w:pPr>
        <w:pStyle w:val="ZT"/>
        <w:framePr w:wrap="auto" w:hAnchor="text" w:yAlign="inline"/>
        <w:ind w:left="180"/>
        <w:jc w:val="left"/>
        <w:rPr>
          <w:rFonts w:ascii="Times New Roman" w:hAnsi="Times New Roman"/>
          <w:b w:val="0"/>
          <w:sz w:val="20"/>
        </w:rPr>
      </w:pPr>
      <w:r w:rsidRPr="00A34EF9">
        <w:rPr>
          <w:rFonts w:ascii="Times New Roman" w:hAnsi="Times New Roman"/>
          <w:b w:val="0"/>
          <w:sz w:val="20"/>
        </w:rPr>
        <w:t>[i.4]</w:t>
      </w:r>
      <w:r>
        <w:rPr>
          <w:rFonts w:ascii="Times New Roman" w:hAnsi="Times New Roman"/>
          <w:b w:val="0"/>
          <w:sz w:val="20"/>
        </w:rPr>
        <w:tab/>
      </w:r>
      <w:r>
        <w:rPr>
          <w:rFonts w:ascii="Times New Roman" w:hAnsi="Times New Roman"/>
          <w:b w:val="0"/>
          <w:sz w:val="20"/>
        </w:rPr>
        <w:tab/>
      </w:r>
      <w:r w:rsidR="006910C7" w:rsidRPr="00A34EF9">
        <w:rPr>
          <w:rFonts w:ascii="Times New Roman" w:hAnsi="Times New Roman"/>
          <w:b w:val="0"/>
          <w:sz w:val="20"/>
        </w:rPr>
        <w:fldChar w:fldCharType="begin"/>
      </w:r>
      <w:r w:rsidRPr="00A34EF9">
        <w:rPr>
          <w:rFonts w:ascii="Times New Roman" w:hAnsi="Times New Roman"/>
          <w:b w:val="0"/>
          <w:sz w:val="20"/>
        </w:rPr>
        <w:instrText xml:space="preserve">styleref ZA </w:instrText>
      </w:r>
      <w:r w:rsidR="006910C7" w:rsidRPr="00A34EF9">
        <w:rPr>
          <w:rFonts w:ascii="Times New Roman" w:hAnsi="Times New Roman"/>
          <w:b w:val="0"/>
          <w:sz w:val="20"/>
        </w:rPr>
        <w:fldChar w:fldCharType="separate"/>
      </w:r>
      <w:r>
        <w:rPr>
          <w:rFonts w:ascii="Times New Roman" w:hAnsi="Times New Roman"/>
          <w:b w:val="0"/>
          <w:noProof/>
          <w:sz w:val="20"/>
        </w:rPr>
        <w:t>Draft ETSI TR 1xxxxx V 0.0.7_a.s.m (2011-12)</w:t>
      </w:r>
      <w:r w:rsidR="006910C7" w:rsidRPr="00A34EF9">
        <w:rPr>
          <w:rFonts w:ascii="Times New Roman" w:hAnsi="Times New Roman"/>
          <w:b w:val="0"/>
          <w:sz w:val="20"/>
        </w:rPr>
        <w:fldChar w:fldCharType="end"/>
      </w:r>
      <w:r w:rsidRPr="00A34EF9">
        <w:rPr>
          <w:rFonts w:ascii="Times New Roman" w:hAnsi="Times New Roman"/>
          <w:b w:val="0"/>
          <w:sz w:val="20"/>
        </w:rPr>
        <w:t>: “</w:t>
      </w:r>
      <w:r w:rsidRPr="00751F79">
        <w:rPr>
          <w:rFonts w:ascii="Times New Roman" w:hAnsi="Times New Roman"/>
          <w:b w:val="0"/>
          <w:sz w:val="20"/>
        </w:rPr>
        <w:t>Electromagnetic compatibility</w:t>
      </w:r>
      <w:r>
        <w:rPr>
          <w:rFonts w:ascii="Times New Roman" w:hAnsi="Times New Roman"/>
          <w:b w:val="0"/>
          <w:sz w:val="20"/>
        </w:rPr>
        <w:t xml:space="preserve"> </w:t>
      </w:r>
      <w:r w:rsidRPr="00751F79">
        <w:rPr>
          <w:rFonts w:ascii="Times New Roman" w:hAnsi="Times New Roman"/>
          <w:b w:val="0"/>
          <w:sz w:val="20"/>
        </w:rPr>
        <w:t xml:space="preserve">and Radio spectrum </w:t>
      </w:r>
      <w:r>
        <w:rPr>
          <w:rFonts w:ascii="Times New Roman" w:hAnsi="Times New Roman"/>
          <w:b w:val="0"/>
          <w:sz w:val="20"/>
        </w:rPr>
        <w:tab/>
      </w:r>
      <w:r>
        <w:rPr>
          <w:rFonts w:ascii="Times New Roman" w:hAnsi="Times New Roman"/>
          <w:b w:val="0"/>
          <w:sz w:val="20"/>
        </w:rPr>
        <w:tab/>
      </w:r>
      <w:r w:rsidRPr="00751F79">
        <w:rPr>
          <w:rFonts w:ascii="Times New Roman" w:hAnsi="Times New Roman"/>
          <w:b w:val="0"/>
          <w:sz w:val="20"/>
        </w:rPr>
        <w:t xml:space="preserve">Matters </w:t>
      </w:r>
      <w:r>
        <w:rPr>
          <w:rFonts w:ascii="Times New Roman" w:hAnsi="Times New Roman"/>
          <w:b w:val="0"/>
          <w:sz w:val="20"/>
        </w:rPr>
        <w:t xml:space="preserve"> </w:t>
      </w:r>
      <w:r w:rsidRPr="00751F79">
        <w:rPr>
          <w:rFonts w:ascii="Times New Roman" w:hAnsi="Times New Roman"/>
          <w:b w:val="0"/>
          <w:sz w:val="20"/>
        </w:rPr>
        <w:t>(ERM);</w:t>
      </w:r>
      <w:r>
        <w:rPr>
          <w:rFonts w:ascii="Times New Roman" w:hAnsi="Times New Roman"/>
          <w:b w:val="0"/>
          <w:sz w:val="20"/>
        </w:rPr>
        <w:t xml:space="preserve"> </w:t>
      </w:r>
      <w:r w:rsidRPr="00751F79">
        <w:rPr>
          <w:rFonts w:ascii="Times New Roman" w:hAnsi="Times New Roman"/>
          <w:b w:val="0"/>
          <w:sz w:val="20"/>
        </w:rPr>
        <w:t>System Reference Document;</w:t>
      </w:r>
      <w:r>
        <w:rPr>
          <w:rFonts w:ascii="Times New Roman" w:hAnsi="Times New Roman"/>
          <w:b w:val="0"/>
          <w:sz w:val="20"/>
        </w:rPr>
        <w:t xml:space="preserve"> </w:t>
      </w:r>
      <w:r w:rsidRPr="00751F79">
        <w:rPr>
          <w:rFonts w:ascii="Times New Roman" w:hAnsi="Times New Roman"/>
          <w:b w:val="0"/>
          <w:sz w:val="20"/>
        </w:rPr>
        <w:t xml:space="preserve">Broadband Direct-Air-to-Ground </w:t>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sidRPr="00751F79">
        <w:rPr>
          <w:rFonts w:ascii="Times New Roman" w:hAnsi="Times New Roman"/>
          <w:b w:val="0"/>
          <w:sz w:val="20"/>
        </w:rPr>
        <w:t>Communications operating in part of the frequency range from 790 MHz to 5150 MHz</w:t>
      </w:r>
    </w:p>
    <w:p w:rsidR="004A6009" w:rsidRPr="00751F79" w:rsidRDefault="004A6009" w:rsidP="00A34EF9">
      <w:pPr>
        <w:pStyle w:val="ZT"/>
        <w:framePr w:wrap="auto" w:hAnchor="text" w:yAlign="inline"/>
        <w:ind w:left="180"/>
        <w:jc w:val="left"/>
        <w:rPr>
          <w:rFonts w:ascii="Times New Roman" w:hAnsi="Times New Roman"/>
          <w:b w:val="0"/>
          <w:sz w:val="20"/>
        </w:rPr>
      </w:pPr>
    </w:p>
    <w:p w:rsidR="004A6009" w:rsidRPr="00702155" w:rsidRDefault="004A6009" w:rsidP="00F04FE0">
      <w:pPr>
        <w:spacing w:after="0"/>
        <w:rPr>
          <w:bCs/>
        </w:rPr>
      </w:pPr>
      <w:r>
        <w:t xml:space="preserve">    [i.5]</w:t>
      </w:r>
      <w:r>
        <w:tab/>
      </w:r>
      <w:r>
        <w:tab/>
        <w:t>ETSI EN 300 328 V1.8.1 (2011-07): “</w:t>
      </w:r>
      <w:r w:rsidRPr="00702155">
        <w:rPr>
          <w:bCs/>
        </w:rPr>
        <w:t>Electromagnetic compatibility</w:t>
      </w:r>
      <w:r>
        <w:rPr>
          <w:bCs/>
        </w:rPr>
        <w:t xml:space="preserve"> </w:t>
      </w:r>
      <w:r w:rsidRPr="00702155">
        <w:rPr>
          <w:bCs/>
        </w:rPr>
        <w:t xml:space="preserve">and Radio spectrum Matters </w:t>
      </w:r>
      <w:r>
        <w:rPr>
          <w:bCs/>
        </w:rPr>
        <w:tab/>
      </w:r>
      <w:r>
        <w:rPr>
          <w:bCs/>
        </w:rPr>
        <w:tab/>
      </w:r>
      <w:r>
        <w:rPr>
          <w:bCs/>
        </w:rPr>
        <w:tab/>
      </w:r>
      <w:r w:rsidRPr="00702155">
        <w:rPr>
          <w:bCs/>
        </w:rPr>
        <w:t>(ERM);</w:t>
      </w:r>
      <w:r>
        <w:rPr>
          <w:bCs/>
        </w:rPr>
        <w:t xml:space="preserve"> </w:t>
      </w:r>
      <w:r w:rsidRPr="00702155">
        <w:rPr>
          <w:bCs/>
        </w:rPr>
        <w:t>Wideband transmission systems;</w:t>
      </w:r>
      <w:r>
        <w:rPr>
          <w:bCs/>
        </w:rPr>
        <w:t xml:space="preserve"> </w:t>
      </w:r>
      <w:r w:rsidRPr="00702155">
        <w:rPr>
          <w:bCs/>
        </w:rPr>
        <w:t>Data transmission equipment operating</w:t>
      </w:r>
      <w:r>
        <w:rPr>
          <w:bCs/>
        </w:rPr>
        <w:t xml:space="preserve"> </w:t>
      </w:r>
      <w:r w:rsidRPr="00702155">
        <w:rPr>
          <w:bCs/>
        </w:rPr>
        <w:t xml:space="preserve">in the 2,4 GHz ISM </w:t>
      </w:r>
      <w:r>
        <w:rPr>
          <w:bCs/>
        </w:rPr>
        <w:tab/>
      </w:r>
      <w:r>
        <w:rPr>
          <w:bCs/>
        </w:rPr>
        <w:tab/>
      </w:r>
      <w:r w:rsidRPr="00702155">
        <w:rPr>
          <w:bCs/>
        </w:rPr>
        <w:t>band and</w:t>
      </w:r>
      <w:r>
        <w:rPr>
          <w:bCs/>
        </w:rPr>
        <w:t xml:space="preserve"> </w:t>
      </w:r>
      <w:r w:rsidRPr="00702155">
        <w:rPr>
          <w:bCs/>
        </w:rPr>
        <w:t>using wide band modulation techniques;</w:t>
      </w:r>
      <w:r>
        <w:rPr>
          <w:bCs/>
        </w:rPr>
        <w:t xml:space="preserve"> </w:t>
      </w:r>
      <w:r w:rsidRPr="00702155">
        <w:rPr>
          <w:bCs/>
        </w:rPr>
        <w:t>Harmonized EN covering essential requirements</w:t>
      </w:r>
      <w:r>
        <w:rPr>
          <w:bCs/>
        </w:rPr>
        <w:t xml:space="preserve"> </w:t>
      </w:r>
      <w:r>
        <w:rPr>
          <w:bCs/>
        </w:rPr>
        <w:tab/>
      </w:r>
      <w:r>
        <w:rPr>
          <w:bCs/>
        </w:rPr>
        <w:tab/>
      </w:r>
      <w:r w:rsidRPr="00702155">
        <w:rPr>
          <w:bCs/>
        </w:rPr>
        <w:t>under article 3.2 of the R&amp;TTE Directive</w:t>
      </w:r>
      <w:r>
        <w:rPr>
          <w:bCs/>
        </w:rPr>
        <w:t>”</w:t>
      </w:r>
    </w:p>
    <w:p w:rsidR="004A6009" w:rsidRPr="00702155" w:rsidRDefault="004A6009" w:rsidP="00F04FE0">
      <w:pPr>
        <w:spacing w:after="0"/>
      </w:pPr>
    </w:p>
    <w:p w:rsidR="004A6009" w:rsidRDefault="004A6009" w:rsidP="00F9367D">
      <w:pPr>
        <w:ind w:left="180"/>
        <w:rPr>
          <w:bCs/>
        </w:rPr>
      </w:pPr>
      <w:r>
        <w:t>[i.6]</w:t>
      </w:r>
      <w:r>
        <w:tab/>
      </w:r>
      <w:r>
        <w:tab/>
        <w:t xml:space="preserve">ETSI EN 302 502 V1.2.1 (2008-07): “Broadband Radio Access Networks (BRAN); </w:t>
      </w:r>
      <w:r w:rsidRPr="00702155">
        <w:rPr>
          <w:bCs/>
        </w:rPr>
        <w:t>5</w:t>
      </w:r>
      <w:proofErr w:type="gramStart"/>
      <w:r w:rsidRPr="00702155">
        <w:rPr>
          <w:bCs/>
        </w:rPr>
        <w:t>,8</w:t>
      </w:r>
      <w:proofErr w:type="gramEnd"/>
      <w:r w:rsidRPr="00702155">
        <w:rPr>
          <w:bCs/>
        </w:rPr>
        <w:t xml:space="preserve"> GHz fixed </w:t>
      </w:r>
      <w:r>
        <w:rPr>
          <w:bCs/>
        </w:rPr>
        <w:tab/>
      </w:r>
      <w:r>
        <w:rPr>
          <w:bCs/>
        </w:rPr>
        <w:tab/>
      </w:r>
      <w:r w:rsidRPr="00702155">
        <w:rPr>
          <w:bCs/>
        </w:rPr>
        <w:t>broadband data transmitting systems;</w:t>
      </w:r>
      <w:r>
        <w:rPr>
          <w:bCs/>
        </w:rPr>
        <w:t xml:space="preserve"> </w:t>
      </w:r>
      <w:r w:rsidRPr="00702155">
        <w:rPr>
          <w:bCs/>
        </w:rPr>
        <w:t>Harmonized EN covering the essential requirements</w:t>
      </w:r>
      <w:r>
        <w:rPr>
          <w:bCs/>
        </w:rPr>
        <w:t xml:space="preserve"> </w:t>
      </w:r>
      <w:r w:rsidRPr="00702155">
        <w:rPr>
          <w:bCs/>
        </w:rPr>
        <w:t xml:space="preserve">of article </w:t>
      </w:r>
      <w:r>
        <w:rPr>
          <w:bCs/>
        </w:rPr>
        <w:tab/>
      </w:r>
      <w:r>
        <w:rPr>
          <w:bCs/>
        </w:rPr>
        <w:tab/>
      </w:r>
      <w:r w:rsidRPr="00702155">
        <w:rPr>
          <w:bCs/>
        </w:rPr>
        <w:t>3.2 of the R&amp;TTE Directive</w:t>
      </w:r>
      <w:r>
        <w:rPr>
          <w:bCs/>
        </w:rPr>
        <w:t>”</w:t>
      </w:r>
    </w:p>
    <w:p w:rsidR="004A6009" w:rsidRDefault="004A6009" w:rsidP="00F9367D">
      <w:pPr>
        <w:ind w:left="180"/>
      </w:pPr>
      <w:r>
        <w:rPr>
          <w:bCs/>
        </w:rPr>
        <w:t>[i.7]</w:t>
      </w:r>
      <w:r>
        <w:rPr>
          <w:bCs/>
        </w:rPr>
        <w:tab/>
      </w:r>
      <w:r>
        <w:rPr>
          <w:bCs/>
        </w:rPr>
        <w:tab/>
      </w:r>
      <w:r w:rsidRPr="00F70FAB">
        <w:t xml:space="preserve">3GPP TS 36.104: “Evolved Universal Terrestrial Radio Access (E-UTRA); Base Station (BS) radio </w:t>
      </w:r>
      <w:r>
        <w:tab/>
      </w:r>
      <w:r>
        <w:tab/>
      </w:r>
      <w:r w:rsidRPr="00F70FAB">
        <w:t>transmission and reception”</w:t>
      </w:r>
    </w:p>
    <w:p w:rsidR="004A6009" w:rsidRDefault="004A6009" w:rsidP="00F9367D">
      <w:pPr>
        <w:ind w:left="180"/>
      </w:pPr>
      <w:r>
        <w:t>[i.8]</w:t>
      </w:r>
      <w:r>
        <w:tab/>
      </w:r>
      <w:r>
        <w:tab/>
      </w:r>
      <w:r w:rsidRPr="00F70FAB">
        <w:t>3GPP TS 36.101</w:t>
      </w:r>
      <w:r>
        <w:t>:</w:t>
      </w:r>
      <w:r w:rsidRPr="00F70FAB">
        <w:t xml:space="preserve"> “Evolved Universal Terrestrial Radio Access (E-UTRA); User Equipment (UE) </w:t>
      </w:r>
      <w:r>
        <w:tab/>
      </w:r>
      <w:r>
        <w:tab/>
      </w:r>
      <w:r>
        <w:tab/>
      </w:r>
      <w:r w:rsidRPr="00F70FAB">
        <w:t>radio transmission and reception”</w:t>
      </w:r>
    </w:p>
    <w:p w:rsidR="004A6009" w:rsidRDefault="004A6009" w:rsidP="00F9367D">
      <w:pPr>
        <w:ind w:left="180"/>
      </w:pPr>
      <w:r>
        <w:t>[i.9]</w:t>
      </w:r>
      <w:r>
        <w:tab/>
      </w:r>
      <w:r>
        <w:tab/>
        <w:t xml:space="preserve">ECC Document </w:t>
      </w:r>
      <w:proofErr w:type="gramStart"/>
      <w:r>
        <w:t>FM48(</w:t>
      </w:r>
      <w:proofErr w:type="gramEnd"/>
      <w:r>
        <w:t>11)024 and its Annex: “Spectrum demand for Broadband Direct Air-to-</w:t>
      </w:r>
      <w:r>
        <w:tab/>
      </w:r>
      <w:r>
        <w:tab/>
      </w:r>
      <w:r>
        <w:tab/>
        <w:t>Ground Communications (DA2GC)”</w:t>
      </w:r>
    </w:p>
    <w:p w:rsidR="004A6009" w:rsidRDefault="004A6009" w:rsidP="00F9367D">
      <w:pPr>
        <w:ind w:left="180"/>
      </w:pPr>
      <w:r>
        <w:t>[i.10]</w:t>
      </w:r>
      <w:r>
        <w:tab/>
      </w:r>
      <w:r>
        <w:tab/>
        <w:t>ITU Radio Regulations (Edition of 2008)</w:t>
      </w:r>
    </w:p>
    <w:p w:rsidR="004A6009" w:rsidRDefault="004A6009" w:rsidP="00F9367D">
      <w:pPr>
        <w:ind w:left="180"/>
      </w:pPr>
      <w:r>
        <w:t>[i.11]</w:t>
      </w:r>
      <w:r>
        <w:tab/>
      </w:r>
      <w:r>
        <w:tab/>
        <w:t xml:space="preserve">ECC Document </w:t>
      </w:r>
      <w:proofErr w:type="gramStart"/>
      <w:r>
        <w:t>FM48(</w:t>
      </w:r>
      <w:proofErr w:type="gramEnd"/>
      <w:r>
        <w:t>11)043 Annex 6: “</w:t>
      </w:r>
      <w:r w:rsidRPr="00CE056F">
        <w:t>Candidate bands for Broadband DA2GC</w:t>
      </w:r>
      <w:r>
        <w:t>”</w:t>
      </w:r>
    </w:p>
    <w:p w:rsidR="004A6009" w:rsidRDefault="004A6009" w:rsidP="003661FE">
      <w:pPr>
        <w:ind w:left="180"/>
      </w:pPr>
      <w:r>
        <w:t>[i.12]</w:t>
      </w:r>
      <w:r>
        <w:tab/>
      </w:r>
      <w:r>
        <w:tab/>
        <w:t xml:space="preserve">ECC Document </w:t>
      </w:r>
      <w:proofErr w:type="gramStart"/>
      <w:r>
        <w:t>SE44(</w:t>
      </w:r>
      <w:proofErr w:type="gramEnd"/>
      <w:r>
        <w:t>12)013 Annex 1: “</w:t>
      </w:r>
      <w:r w:rsidRPr="003661FE">
        <w:t xml:space="preserve">Results of the compatibility studies between Broadband </w:t>
      </w:r>
      <w:r>
        <w:br/>
      </w:r>
      <w:r>
        <w:tab/>
      </w:r>
      <w:r>
        <w:tab/>
      </w:r>
      <w:r w:rsidRPr="003661FE">
        <w:t>Direct-Air-to-Ground Communications (BDA2GC) as described in ETSI TR 103 054 and outdoor</w:t>
      </w:r>
      <w:r>
        <w:br/>
        <w:t xml:space="preserve"> </w:t>
      </w:r>
      <w:r>
        <w:tab/>
      </w:r>
      <w:r>
        <w:tab/>
      </w:r>
      <w:r w:rsidRPr="003661FE">
        <w:t>RLANs in the frequency band 2400-2483.5 MHz</w:t>
      </w:r>
      <w:r>
        <w:t>”</w:t>
      </w:r>
    </w:p>
    <w:p w:rsidR="004A6009" w:rsidRDefault="004A6009" w:rsidP="004A5130">
      <w:pPr>
        <w:ind w:left="1440" w:hanging="1260"/>
      </w:pPr>
      <w:r>
        <w:t>[i.13]</w:t>
      </w:r>
      <w:r>
        <w:tab/>
        <w:t xml:space="preserve">ECC Document </w:t>
      </w:r>
      <w:proofErr w:type="gramStart"/>
      <w:r>
        <w:t>SE44(</w:t>
      </w:r>
      <w:proofErr w:type="gramEnd"/>
      <w:r>
        <w:t xml:space="preserve">11)019: LS from SE24 on </w:t>
      </w:r>
      <w:r w:rsidRPr="004A5130">
        <w:t xml:space="preserve">technical information on RLAN systems in the </w:t>
      </w:r>
      <w:r>
        <w:br/>
      </w:r>
      <w:r w:rsidRPr="004A5130">
        <w:t>frequency band 2400-2483.5 MHz</w:t>
      </w:r>
    </w:p>
    <w:p w:rsidR="004A6009" w:rsidRPr="004A5130" w:rsidRDefault="004A6009" w:rsidP="004A5130">
      <w:pPr>
        <w:ind w:left="1440" w:hanging="1260"/>
      </w:pPr>
      <w:r>
        <w:t>[i.14]</w:t>
      </w:r>
      <w:r>
        <w:tab/>
        <w:t>ECC Recommendation (06)04: USE OF THE BAND 5 725-5 875 MHz FOR BROADBAND FIXED WIRELESS ACCESS (BFWA)</w:t>
      </w:r>
    </w:p>
    <w:p w:rsidR="004A6009" w:rsidRDefault="004A6009" w:rsidP="00B275A2">
      <w:pPr>
        <w:ind w:left="180"/>
      </w:pPr>
      <w:r w:rsidRPr="00B275A2">
        <w:t>[i.15]</w:t>
      </w:r>
      <w:r w:rsidRPr="00B275A2">
        <w:tab/>
      </w:r>
      <w:r w:rsidRPr="00B275A2">
        <w:tab/>
        <w:t xml:space="preserve">CARMEN project on </w:t>
      </w:r>
      <w:proofErr w:type="spellStart"/>
      <w:r w:rsidRPr="00B275A2">
        <w:t>CARrier</w:t>
      </w:r>
      <w:proofErr w:type="spellEnd"/>
      <w:r w:rsidRPr="00B275A2">
        <w:t xml:space="preserve"> grade Mesh Networks: </w:t>
      </w:r>
      <w:hyperlink r:id="rId13" w:history="1">
        <w:r w:rsidRPr="00B275A2">
          <w:rPr>
            <w:rStyle w:val="Hyperlink"/>
          </w:rPr>
          <w:t>http://www.ict-carmen.eu/</w:t>
        </w:r>
      </w:hyperlink>
      <w:r w:rsidRPr="00B275A2">
        <w:t>)</w:t>
      </w:r>
    </w:p>
    <w:p w:rsidR="0054089C" w:rsidRDefault="0054089C" w:rsidP="00B275A2">
      <w:pPr>
        <w:ind w:left="180"/>
      </w:pPr>
      <w:r>
        <w:t>[i.16]</w:t>
      </w:r>
      <w:r>
        <w:tab/>
      </w:r>
      <w:r>
        <w:tab/>
        <w:t xml:space="preserve">EC Decision of 5 August 2008 on “the harmonised use of radio spectrum in the 5875-5905 MHz </w:t>
      </w:r>
      <w:r>
        <w:tab/>
      </w:r>
      <w:r>
        <w:tab/>
      </w:r>
      <w:r>
        <w:tab/>
        <w:t>frequency band for safety-related applications of intelligent transport systems</w:t>
      </w:r>
      <w:r w:rsidR="003A1DAE">
        <w:t>” 2008</w:t>
      </w:r>
      <w:r>
        <w:t>/671/EC</w:t>
      </w:r>
    </w:p>
    <w:p w:rsidR="00FE7222" w:rsidRDefault="003A1DAE" w:rsidP="00FE7222">
      <w:pPr>
        <w:pStyle w:val="PlainText"/>
        <w:ind w:firstLine="180"/>
        <w:rPr>
          <w:rFonts w:ascii="Times New Roman" w:eastAsia="Times New Roman" w:hAnsi="Times New Roman"/>
          <w:sz w:val="20"/>
          <w:szCs w:val="20"/>
          <w:lang w:val="en-GB"/>
        </w:rPr>
      </w:pPr>
      <w:r w:rsidRPr="00FE7222">
        <w:rPr>
          <w:rFonts w:ascii="Times New Roman" w:eastAsia="Times New Roman" w:hAnsi="Times New Roman"/>
          <w:sz w:val="20"/>
          <w:szCs w:val="20"/>
          <w:lang w:val="en-GB"/>
        </w:rPr>
        <w:t>[1.17]</w:t>
      </w:r>
      <w:r w:rsidR="00FE7222" w:rsidRPr="00FE7222">
        <w:rPr>
          <w:rFonts w:ascii="Times New Roman" w:eastAsia="Times New Roman" w:hAnsi="Times New Roman"/>
          <w:sz w:val="20"/>
          <w:szCs w:val="20"/>
          <w:lang w:val="en-GB"/>
        </w:rPr>
        <w:tab/>
      </w:r>
      <w:r w:rsidR="00FE7222">
        <w:tab/>
      </w:r>
      <w:r w:rsidR="00FE7222" w:rsidRPr="00FE7222">
        <w:rPr>
          <w:rFonts w:ascii="Times New Roman" w:eastAsia="Times New Roman" w:hAnsi="Times New Roman"/>
          <w:sz w:val="20"/>
          <w:szCs w:val="20"/>
          <w:lang w:val="en-GB"/>
        </w:rPr>
        <w:t xml:space="preserve">DIRECTIVE 2004/52/EC OF THE EUROPEAN PARLIAMENT AND OF THE COUNCIL of 29 </w:t>
      </w:r>
      <w:r w:rsidR="00FE7222">
        <w:rPr>
          <w:rFonts w:ascii="Times New Roman" w:eastAsia="Times New Roman" w:hAnsi="Times New Roman"/>
          <w:sz w:val="20"/>
          <w:szCs w:val="20"/>
          <w:lang w:val="en-GB"/>
        </w:rPr>
        <w:tab/>
      </w:r>
      <w:r w:rsidR="00FE7222">
        <w:rPr>
          <w:rFonts w:ascii="Times New Roman" w:eastAsia="Times New Roman" w:hAnsi="Times New Roman"/>
          <w:sz w:val="20"/>
          <w:szCs w:val="20"/>
          <w:lang w:val="en-GB"/>
        </w:rPr>
        <w:tab/>
      </w:r>
      <w:r w:rsidR="00FE7222" w:rsidRPr="00FE7222">
        <w:rPr>
          <w:rFonts w:ascii="Times New Roman" w:eastAsia="Times New Roman" w:hAnsi="Times New Roman"/>
          <w:sz w:val="20"/>
          <w:szCs w:val="20"/>
          <w:lang w:val="en-GB"/>
        </w:rPr>
        <w:t>April 2004 on the interoperability of electronic road toll systems in the Community</w:t>
      </w:r>
    </w:p>
    <w:p w:rsidR="00FE7222" w:rsidRPr="00FE7222" w:rsidRDefault="00FE7222" w:rsidP="00FE7222">
      <w:pPr>
        <w:pStyle w:val="PlainText"/>
        <w:ind w:firstLine="180"/>
        <w:rPr>
          <w:rFonts w:ascii="Times New Roman" w:eastAsia="Times New Roman" w:hAnsi="Times New Roman"/>
          <w:sz w:val="20"/>
          <w:szCs w:val="20"/>
          <w:lang w:val="en-GB"/>
        </w:rPr>
      </w:pPr>
    </w:p>
    <w:p w:rsidR="00FE7222" w:rsidRPr="00B275A2" w:rsidRDefault="00FE7222" w:rsidP="00B275A2">
      <w:pPr>
        <w:ind w:left="180"/>
      </w:pPr>
      <w:r>
        <w:t>[i.18]</w:t>
      </w:r>
      <w:r>
        <w:tab/>
      </w:r>
      <w:r>
        <w:tab/>
        <w:t xml:space="preserve">COMMISSION DECISION 2009/750/EC of 6 October 2009 on the definition of the European </w:t>
      </w:r>
      <w:r>
        <w:tab/>
      </w:r>
      <w:r>
        <w:tab/>
      </w:r>
      <w:r>
        <w:tab/>
        <w:t>Electronic Toll Service and its technical elements</w:t>
      </w:r>
    </w:p>
    <w:p w:rsidR="004A6009" w:rsidRPr="00756554" w:rsidRDefault="004A6009" w:rsidP="003661FE">
      <w:pPr>
        <w:ind w:left="180"/>
      </w:pPr>
    </w:p>
    <w:p w:rsidR="004A6009" w:rsidRPr="00FB1466" w:rsidRDefault="004A6009" w:rsidP="005A4E96">
      <w:pPr>
        <w:pStyle w:val="Heading1"/>
      </w:pPr>
      <w:bookmarkStart w:id="22" w:name="_Toc233514038"/>
      <w:r w:rsidRPr="00FB1466">
        <w:lastRenderedPageBreak/>
        <w:t>3</w:t>
      </w:r>
      <w:r w:rsidRPr="00FB1466">
        <w:tab/>
        <w:t>Definitions, symbols and abbreviations</w:t>
      </w:r>
      <w:bookmarkEnd w:id="22"/>
    </w:p>
    <w:p w:rsidR="004A6009" w:rsidRDefault="004A6009" w:rsidP="005A4E96">
      <w:pPr>
        <w:pStyle w:val="Heading2"/>
      </w:pPr>
      <w:bookmarkStart w:id="23" w:name="_Toc233514039"/>
      <w:r w:rsidRPr="00FB1466">
        <w:t>3.1</w:t>
      </w:r>
      <w:r w:rsidRPr="00FB1466">
        <w:tab/>
        <w:t>Definitions</w:t>
      </w:r>
      <w:bookmarkEnd w:id="23"/>
    </w:p>
    <w:p w:rsidR="004A6009" w:rsidRDefault="004A6009" w:rsidP="002B0118">
      <w:pPr>
        <w:keepNext/>
      </w:pPr>
      <w:r w:rsidRPr="003623E2">
        <w:t>For the purpose</w:t>
      </w:r>
      <w:r>
        <w:t xml:space="preserve">s of the present document, the </w:t>
      </w:r>
      <w:r w:rsidRPr="003623E2">
        <w:t>following terms and definitions apply:</w:t>
      </w:r>
    </w:p>
    <w:p w:rsidR="004A6009" w:rsidRDefault="004A6009" w:rsidP="002B0118">
      <w:pPr>
        <w:keepNext/>
      </w:pPr>
      <w:r w:rsidRPr="00F70FAB">
        <w:rPr>
          <w:b/>
        </w:rPr>
        <w:t>Direct Air-to-Ground (DA2G):</w:t>
      </w:r>
      <w:r w:rsidRPr="00F70FAB">
        <w:t xml:space="preserve"> a direct radio link between an Aircraft Station (AS) and a Ground Station (GS)</w:t>
      </w:r>
    </w:p>
    <w:p w:rsidR="004A6009" w:rsidRPr="00F70FAB" w:rsidRDefault="004A6009" w:rsidP="00002900">
      <w:pPr>
        <w:keepNext/>
      </w:pPr>
      <w:r w:rsidRPr="00F70FAB">
        <w:rPr>
          <w:b/>
        </w:rPr>
        <w:t>Aircraft Station (AS):</w:t>
      </w:r>
      <w:r w:rsidRPr="00F70FAB">
        <w:t xml:space="preserve"> an entity onboard aircraft providing the radio, control and telecommunication functionalities for broadband DA2G communication</w:t>
      </w:r>
    </w:p>
    <w:p w:rsidR="004A6009" w:rsidRPr="00F70FAB" w:rsidRDefault="004A6009" w:rsidP="00002900">
      <w:pPr>
        <w:keepNext/>
      </w:pPr>
      <w:r w:rsidRPr="00F70FAB">
        <w:rPr>
          <w:b/>
        </w:rPr>
        <w:t>Ground Station (GS):</w:t>
      </w:r>
      <w:r w:rsidRPr="00F70FAB">
        <w:t xml:space="preserve"> an entity on the ground providing the radio, control and telecommunication functionalities for broadband DA2G communication</w:t>
      </w:r>
    </w:p>
    <w:p w:rsidR="004A6009" w:rsidRPr="00F70FAB" w:rsidRDefault="004A6009" w:rsidP="00002900">
      <w:pPr>
        <w:keepNext/>
      </w:pPr>
      <w:r w:rsidRPr="00F70FAB">
        <w:rPr>
          <w:b/>
        </w:rPr>
        <w:t>Forward Link (FL):</w:t>
      </w:r>
      <w:r w:rsidRPr="00F70FAB">
        <w:t xml:space="preserve"> within the DA2G communication system the link from the Ground Station to the Aircraft Station</w:t>
      </w:r>
    </w:p>
    <w:p w:rsidR="004A6009" w:rsidRDefault="004A6009" w:rsidP="00002900">
      <w:pPr>
        <w:keepNext/>
      </w:pPr>
      <w:r w:rsidRPr="00F70FAB">
        <w:rPr>
          <w:b/>
        </w:rPr>
        <w:t>Reverse Link (RL):</w:t>
      </w:r>
      <w:r w:rsidRPr="00F70FAB">
        <w:t xml:space="preserve"> within the DA2G communication system the link from the Aircraft Station to the Ground Station</w:t>
      </w:r>
    </w:p>
    <w:p w:rsidR="004A6009" w:rsidRDefault="004A6009" w:rsidP="00002900">
      <w:pPr>
        <w:keepNext/>
      </w:pPr>
      <w:r w:rsidRPr="00002900">
        <w:rPr>
          <w:b/>
        </w:rPr>
        <w:t>ISM</w:t>
      </w:r>
      <w:r>
        <w:rPr>
          <w:b/>
        </w:rPr>
        <w:t xml:space="preserve"> frequency bands</w:t>
      </w:r>
      <w:r w:rsidRPr="00002900">
        <w:rPr>
          <w:b/>
        </w:rPr>
        <w:t xml:space="preserve">: </w:t>
      </w:r>
      <w:r>
        <w:t>bands which are designated in the ITU Radio Regulations [i.10] to industrial, scientific and medical applications</w:t>
      </w:r>
    </w:p>
    <w:p w:rsidR="004A6009" w:rsidRPr="00F9367D" w:rsidRDefault="004A6009" w:rsidP="00002900">
      <w:pPr>
        <w:keepNext/>
      </w:pPr>
      <w:r>
        <w:rPr>
          <w:b/>
        </w:rPr>
        <w:t xml:space="preserve">ATM: </w:t>
      </w:r>
      <w:r>
        <w:t>Air Traffic Management</w:t>
      </w:r>
    </w:p>
    <w:p w:rsidR="004A6009" w:rsidRDefault="004A6009" w:rsidP="005A4E96">
      <w:pPr>
        <w:pStyle w:val="Heading2"/>
      </w:pPr>
      <w:bookmarkStart w:id="24" w:name="_Toc233514040"/>
    </w:p>
    <w:p w:rsidR="004A6009" w:rsidRDefault="004A6009" w:rsidP="005A4E96">
      <w:pPr>
        <w:pStyle w:val="Heading2"/>
      </w:pPr>
      <w:r w:rsidRPr="00FB1466">
        <w:t>3.2</w:t>
      </w:r>
      <w:r w:rsidRPr="00FB1466">
        <w:tab/>
        <w:t>Symbols</w:t>
      </w:r>
      <w:bookmarkEnd w:id="24"/>
    </w:p>
    <w:p w:rsidR="004A6009" w:rsidRDefault="004A6009" w:rsidP="003649C7">
      <w:r>
        <w:t>No symbols are used in the present document</w:t>
      </w:r>
    </w:p>
    <w:p w:rsidR="004A6009" w:rsidRDefault="004A6009" w:rsidP="005A4E96">
      <w:pPr>
        <w:pStyle w:val="Heading2"/>
      </w:pPr>
      <w:bookmarkStart w:id="25" w:name="_Toc233514041"/>
      <w:r w:rsidRPr="00FB1466">
        <w:t>3.3</w:t>
      </w:r>
      <w:r w:rsidRPr="00FB1466">
        <w:tab/>
        <w:t>Abbreviations</w:t>
      </w:r>
      <w:bookmarkEnd w:id="25"/>
    </w:p>
    <w:p w:rsidR="004A6009" w:rsidRDefault="004A6009" w:rsidP="002B0118">
      <w:pPr>
        <w:keepNext/>
      </w:pPr>
      <w:r w:rsidRPr="003623E2">
        <w:t>For the purposes of the present document, the following abbreviations</w:t>
      </w:r>
      <w:r>
        <w:t xml:space="preserve"> </w:t>
      </w:r>
      <w:r w:rsidRPr="003623E2">
        <w:t>apply:</w:t>
      </w:r>
    </w:p>
    <w:tbl>
      <w:tblPr>
        <w:tblW w:w="0" w:type="auto"/>
        <w:tblInd w:w="392" w:type="dxa"/>
        <w:tblLook w:val="00A0"/>
      </w:tblPr>
      <w:tblGrid>
        <w:gridCol w:w="1984"/>
        <w:gridCol w:w="6836"/>
      </w:tblGrid>
      <w:tr w:rsidR="004A6009" w:rsidRPr="00723C20" w:rsidTr="00B648BD">
        <w:tc>
          <w:tcPr>
            <w:tcW w:w="1984" w:type="dxa"/>
          </w:tcPr>
          <w:p w:rsidR="004A6009" w:rsidRDefault="004A6009" w:rsidP="001A4435">
            <w:pPr>
              <w:pStyle w:val="NoSpacing"/>
              <w:rPr>
                <w:color w:val="000000"/>
                <w:lang w:val="en-GB"/>
              </w:rPr>
            </w:pPr>
            <w:r>
              <w:rPr>
                <w:color w:val="000000"/>
                <w:lang w:val="en-GB"/>
              </w:rPr>
              <w:t>ACARS</w:t>
            </w:r>
          </w:p>
          <w:p w:rsidR="004A6009" w:rsidRDefault="004A6009" w:rsidP="001A4435">
            <w:pPr>
              <w:pStyle w:val="NoSpacing"/>
              <w:rPr>
                <w:color w:val="000000"/>
                <w:lang w:val="en-GB"/>
              </w:rPr>
            </w:pPr>
            <w:r>
              <w:rPr>
                <w:color w:val="000000"/>
                <w:lang w:val="en-GB"/>
              </w:rPr>
              <w:t>AMS</w:t>
            </w:r>
          </w:p>
          <w:p w:rsidR="004A6009" w:rsidRPr="00723C20" w:rsidRDefault="004A6009" w:rsidP="001A4435">
            <w:pPr>
              <w:pStyle w:val="NoSpacing"/>
              <w:rPr>
                <w:color w:val="000000"/>
                <w:lang w:val="en-GB"/>
              </w:rPr>
            </w:pPr>
            <w:r>
              <w:rPr>
                <w:color w:val="000000"/>
                <w:lang w:val="en-GB"/>
              </w:rPr>
              <w:t>ATPC</w:t>
            </w:r>
          </w:p>
        </w:tc>
        <w:tc>
          <w:tcPr>
            <w:tcW w:w="6836" w:type="dxa"/>
          </w:tcPr>
          <w:p w:rsidR="004A6009" w:rsidRDefault="004A6009" w:rsidP="001A4435">
            <w:pPr>
              <w:pStyle w:val="NoSpacing"/>
              <w:rPr>
                <w:color w:val="000000"/>
                <w:lang w:val="en-GB"/>
              </w:rPr>
            </w:pPr>
            <w:r w:rsidRPr="008D5BC2">
              <w:rPr>
                <w:color w:val="000000"/>
                <w:lang w:val="en-GB"/>
              </w:rPr>
              <w:t>Aircraft Communications Addressing and Reporting System</w:t>
            </w:r>
          </w:p>
          <w:p w:rsidR="004A6009" w:rsidRDefault="004A6009" w:rsidP="001A4435">
            <w:pPr>
              <w:pStyle w:val="NoSpacing"/>
              <w:rPr>
                <w:color w:val="000000"/>
                <w:lang w:val="en-GB"/>
              </w:rPr>
            </w:pPr>
            <w:r>
              <w:rPr>
                <w:color w:val="000000"/>
                <w:lang w:val="en-GB"/>
              </w:rPr>
              <w:t>Aeronautical Mobile Service</w:t>
            </w:r>
          </w:p>
          <w:p w:rsidR="004A6009" w:rsidRPr="00723C20" w:rsidRDefault="004A6009" w:rsidP="001A4435">
            <w:pPr>
              <w:pStyle w:val="NoSpacing"/>
              <w:rPr>
                <w:color w:val="000000"/>
                <w:lang w:val="en-GB"/>
              </w:rPr>
            </w:pPr>
            <w:r>
              <w:rPr>
                <w:color w:val="000000"/>
                <w:lang w:val="en-GB"/>
              </w:rPr>
              <w:t>Automatic Transmit Power Control</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BFWA</w:t>
            </w:r>
          </w:p>
        </w:tc>
        <w:tc>
          <w:tcPr>
            <w:tcW w:w="6836" w:type="dxa"/>
          </w:tcPr>
          <w:p w:rsidR="004A6009" w:rsidRPr="00723C20" w:rsidRDefault="004A6009" w:rsidP="001A4435">
            <w:pPr>
              <w:pStyle w:val="NoSpacing"/>
              <w:rPr>
                <w:color w:val="000000"/>
                <w:lang w:val="en-GB"/>
              </w:rPr>
            </w:pPr>
            <w:r w:rsidRPr="00723C20">
              <w:rPr>
                <w:color w:val="000000"/>
                <w:lang w:val="en-GB"/>
              </w:rPr>
              <w:t>Broadband Fixed Wireless Access</w:t>
            </w:r>
          </w:p>
        </w:tc>
      </w:tr>
      <w:tr w:rsidR="004A6009" w:rsidRPr="00723C20" w:rsidTr="00B648BD">
        <w:tc>
          <w:tcPr>
            <w:tcW w:w="1984" w:type="dxa"/>
          </w:tcPr>
          <w:p w:rsidR="004A6009" w:rsidRDefault="004A6009" w:rsidP="001A4435">
            <w:pPr>
              <w:pStyle w:val="NoSpacing"/>
              <w:rPr>
                <w:color w:val="000000"/>
                <w:lang w:val="en-GB"/>
              </w:rPr>
            </w:pPr>
            <w:r w:rsidRPr="00723C20">
              <w:rPr>
                <w:color w:val="000000"/>
                <w:lang w:val="en-GB"/>
              </w:rPr>
              <w:t>BWA</w:t>
            </w:r>
          </w:p>
          <w:p w:rsidR="004A6009" w:rsidRPr="00723C20" w:rsidRDefault="004A6009" w:rsidP="001A4435">
            <w:pPr>
              <w:pStyle w:val="NoSpacing"/>
              <w:rPr>
                <w:color w:val="000000"/>
                <w:lang w:val="en-GB"/>
              </w:rPr>
            </w:pPr>
            <w:r>
              <w:rPr>
                <w:color w:val="000000"/>
                <w:lang w:val="en-GB"/>
              </w:rPr>
              <w:t>CEPT</w:t>
            </w:r>
          </w:p>
        </w:tc>
        <w:tc>
          <w:tcPr>
            <w:tcW w:w="6836" w:type="dxa"/>
          </w:tcPr>
          <w:p w:rsidR="004A6009" w:rsidRDefault="004A6009" w:rsidP="001A4435">
            <w:pPr>
              <w:pStyle w:val="NoSpacing"/>
              <w:rPr>
                <w:color w:val="000000"/>
                <w:lang w:val="en-GB"/>
              </w:rPr>
            </w:pPr>
            <w:r w:rsidRPr="00723C20">
              <w:rPr>
                <w:color w:val="000000"/>
                <w:lang w:val="en-GB"/>
              </w:rPr>
              <w:t>Broadband Wireless Access</w:t>
            </w:r>
          </w:p>
          <w:p w:rsidR="004A6009" w:rsidRPr="00723C20" w:rsidRDefault="004A6009" w:rsidP="00040746">
            <w:pPr>
              <w:pStyle w:val="NoSpacing"/>
              <w:rPr>
                <w:color w:val="000000"/>
                <w:lang w:val="en-GB"/>
              </w:rPr>
            </w:pPr>
            <w:r>
              <w:rPr>
                <w:color w:val="000000"/>
                <w:lang w:val="en-GB"/>
              </w:rPr>
              <w:t>European Conference of Postal and Telecommunications Administrations</w:t>
            </w:r>
          </w:p>
        </w:tc>
      </w:tr>
      <w:tr w:rsidR="004A6009" w:rsidRPr="00723C20" w:rsidTr="00B648BD">
        <w:tc>
          <w:tcPr>
            <w:tcW w:w="1984" w:type="dxa"/>
          </w:tcPr>
          <w:p w:rsidR="004A6009" w:rsidRDefault="004A6009" w:rsidP="003C30CB">
            <w:pPr>
              <w:pStyle w:val="NoSpacing"/>
              <w:rPr>
                <w:color w:val="000000"/>
                <w:lang w:val="en-GB"/>
              </w:rPr>
            </w:pPr>
            <w:r>
              <w:rPr>
                <w:color w:val="000000"/>
                <w:lang w:val="en-GB"/>
              </w:rPr>
              <w:t>DA2G</w:t>
            </w:r>
          </w:p>
          <w:p w:rsidR="004A6009" w:rsidRPr="00723C20" w:rsidRDefault="004A6009" w:rsidP="003C30CB">
            <w:pPr>
              <w:pStyle w:val="NoSpacing"/>
              <w:rPr>
                <w:color w:val="000000"/>
                <w:lang w:val="en-GB"/>
              </w:rPr>
            </w:pPr>
            <w:r>
              <w:rPr>
                <w:color w:val="000000"/>
                <w:lang w:val="en-GB"/>
              </w:rPr>
              <w:t>DA2GC</w:t>
            </w:r>
          </w:p>
        </w:tc>
        <w:tc>
          <w:tcPr>
            <w:tcW w:w="6836" w:type="dxa"/>
          </w:tcPr>
          <w:p w:rsidR="004A6009" w:rsidRDefault="004A6009" w:rsidP="003C30CB">
            <w:pPr>
              <w:pStyle w:val="NoSpacing"/>
              <w:rPr>
                <w:color w:val="000000"/>
                <w:lang w:val="en-GB"/>
              </w:rPr>
            </w:pPr>
            <w:r>
              <w:rPr>
                <w:color w:val="000000"/>
                <w:lang w:val="en-GB"/>
              </w:rPr>
              <w:t xml:space="preserve">Direct-Air-to-Ground </w:t>
            </w:r>
          </w:p>
          <w:p w:rsidR="004A6009" w:rsidRPr="00723C20" w:rsidRDefault="004A6009" w:rsidP="003C30CB">
            <w:pPr>
              <w:pStyle w:val="NoSpacing"/>
              <w:rPr>
                <w:color w:val="000000"/>
                <w:lang w:val="en-GB"/>
              </w:rPr>
            </w:pPr>
            <w:r>
              <w:rPr>
                <w:color w:val="000000"/>
                <w:lang w:val="en-GB"/>
              </w:rPr>
              <w:t>Direct-Air-to-Ground Communications</w:t>
            </w:r>
          </w:p>
        </w:tc>
      </w:tr>
      <w:tr w:rsidR="004A6009" w:rsidRPr="00723C20" w:rsidTr="00B648BD">
        <w:tc>
          <w:tcPr>
            <w:tcW w:w="1984" w:type="dxa"/>
          </w:tcPr>
          <w:p w:rsidR="004A6009" w:rsidRDefault="004A6009" w:rsidP="001A4435">
            <w:pPr>
              <w:pStyle w:val="NoSpacing"/>
              <w:rPr>
                <w:color w:val="000000"/>
                <w:lang w:val="en-GB"/>
              </w:rPr>
            </w:pPr>
            <w:r w:rsidRPr="00723C20">
              <w:rPr>
                <w:color w:val="000000"/>
                <w:lang w:val="en-GB"/>
              </w:rPr>
              <w:t>DECT</w:t>
            </w:r>
          </w:p>
          <w:p w:rsidR="004A6009" w:rsidRPr="00723C20" w:rsidRDefault="004A6009" w:rsidP="001A4435">
            <w:pPr>
              <w:pStyle w:val="NoSpacing"/>
              <w:rPr>
                <w:color w:val="000000"/>
                <w:lang w:val="en-GB"/>
              </w:rPr>
            </w:pPr>
            <w:r>
              <w:rPr>
                <w:color w:val="000000"/>
                <w:lang w:val="en-GB"/>
              </w:rPr>
              <w:t>ECC</w:t>
            </w:r>
          </w:p>
        </w:tc>
        <w:tc>
          <w:tcPr>
            <w:tcW w:w="6836" w:type="dxa"/>
          </w:tcPr>
          <w:p w:rsidR="004A6009" w:rsidRDefault="004A6009" w:rsidP="001A4435">
            <w:pPr>
              <w:pStyle w:val="NoSpacing"/>
              <w:rPr>
                <w:color w:val="000000"/>
                <w:lang w:val="en-GB"/>
              </w:rPr>
            </w:pPr>
            <w:r w:rsidRPr="00723C20">
              <w:rPr>
                <w:color w:val="000000"/>
                <w:lang w:val="en-GB"/>
              </w:rPr>
              <w:t>Digital Enhanced Cordless Telecommunications</w:t>
            </w:r>
          </w:p>
          <w:p w:rsidR="004A6009" w:rsidRPr="00723C20" w:rsidRDefault="004A6009" w:rsidP="001A4435">
            <w:pPr>
              <w:pStyle w:val="NoSpacing"/>
              <w:rPr>
                <w:color w:val="000000"/>
                <w:lang w:val="en-GB"/>
              </w:rPr>
            </w:pPr>
            <w:r>
              <w:rPr>
                <w:color w:val="000000"/>
                <w:lang w:val="en-GB"/>
              </w:rPr>
              <w:t>Electronic Communications Committee</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ECS</w:t>
            </w:r>
          </w:p>
        </w:tc>
        <w:tc>
          <w:tcPr>
            <w:tcW w:w="6836" w:type="dxa"/>
          </w:tcPr>
          <w:p w:rsidR="004A6009" w:rsidRPr="00723C20" w:rsidRDefault="004A6009" w:rsidP="001A4435">
            <w:pPr>
              <w:pStyle w:val="NoSpacing"/>
              <w:rPr>
                <w:color w:val="000000"/>
                <w:lang w:val="en-GB"/>
              </w:rPr>
            </w:pPr>
            <w:r w:rsidRPr="00723C20">
              <w:rPr>
                <w:color w:val="000000"/>
                <w:lang w:val="en-GB"/>
              </w:rPr>
              <w:t>Electronic Communications Services</w:t>
            </w:r>
          </w:p>
        </w:tc>
      </w:tr>
      <w:tr w:rsidR="004A6009" w:rsidRPr="00723C20" w:rsidTr="00B648BD">
        <w:tc>
          <w:tcPr>
            <w:tcW w:w="1984" w:type="dxa"/>
          </w:tcPr>
          <w:p w:rsidR="004A6009" w:rsidRDefault="004A6009" w:rsidP="001A4435">
            <w:pPr>
              <w:pStyle w:val="NoSpacing"/>
              <w:rPr>
                <w:color w:val="000000"/>
                <w:lang w:val="en-GB"/>
              </w:rPr>
            </w:pPr>
            <w:r w:rsidRPr="00723C20">
              <w:rPr>
                <w:color w:val="000000"/>
                <w:lang w:val="en-GB"/>
              </w:rPr>
              <w:t>EESS</w:t>
            </w:r>
          </w:p>
          <w:p w:rsidR="004A6009" w:rsidRDefault="004A6009" w:rsidP="001A4435">
            <w:pPr>
              <w:pStyle w:val="NoSpacing"/>
              <w:rPr>
                <w:color w:val="000000"/>
                <w:lang w:val="en-GB"/>
              </w:rPr>
            </w:pPr>
            <w:r>
              <w:rPr>
                <w:color w:val="000000"/>
                <w:lang w:val="en-GB"/>
              </w:rPr>
              <w:t>e.i.r.p.</w:t>
            </w:r>
          </w:p>
          <w:p w:rsidR="004A6009" w:rsidRPr="00723C20" w:rsidRDefault="004A6009" w:rsidP="001A4435">
            <w:pPr>
              <w:pStyle w:val="NoSpacing"/>
              <w:rPr>
                <w:color w:val="000000"/>
                <w:lang w:val="en-GB"/>
              </w:rPr>
            </w:pPr>
            <w:r>
              <w:rPr>
                <w:color w:val="000000"/>
                <w:lang w:val="en-GB"/>
              </w:rPr>
              <w:t>FCC</w:t>
            </w:r>
          </w:p>
        </w:tc>
        <w:tc>
          <w:tcPr>
            <w:tcW w:w="6836" w:type="dxa"/>
          </w:tcPr>
          <w:p w:rsidR="004A6009" w:rsidRDefault="004A6009" w:rsidP="001A4435">
            <w:pPr>
              <w:pStyle w:val="NoSpacing"/>
              <w:rPr>
                <w:color w:val="000000"/>
                <w:lang w:val="en-GB"/>
              </w:rPr>
            </w:pPr>
            <w:r w:rsidRPr="00723C20">
              <w:rPr>
                <w:color w:val="000000"/>
                <w:lang w:val="en-GB"/>
              </w:rPr>
              <w:t>Earth Exploration-Satellite Service</w:t>
            </w:r>
          </w:p>
          <w:p w:rsidR="004A6009" w:rsidRDefault="004A6009" w:rsidP="00040746">
            <w:pPr>
              <w:pStyle w:val="NoSpacing"/>
              <w:rPr>
                <w:color w:val="000000"/>
                <w:lang w:val="en-GB"/>
              </w:rPr>
            </w:pPr>
            <w:r>
              <w:rPr>
                <w:color w:val="000000"/>
                <w:lang w:val="en-GB"/>
              </w:rPr>
              <w:t>Effective Isotropic Radiated Power</w:t>
            </w:r>
          </w:p>
          <w:p w:rsidR="004A6009" w:rsidRPr="00723C20" w:rsidRDefault="004A6009" w:rsidP="00040746">
            <w:pPr>
              <w:pStyle w:val="NoSpacing"/>
              <w:rPr>
                <w:color w:val="000000"/>
                <w:lang w:val="en-GB"/>
              </w:rPr>
            </w:pPr>
            <w:r>
              <w:rPr>
                <w:color w:val="000000"/>
                <w:lang w:val="en-GB"/>
              </w:rPr>
              <w:t>Federal Communications Commission</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FDD</w:t>
            </w:r>
          </w:p>
        </w:tc>
        <w:tc>
          <w:tcPr>
            <w:tcW w:w="6836" w:type="dxa"/>
          </w:tcPr>
          <w:p w:rsidR="004A6009" w:rsidRPr="00723C20" w:rsidRDefault="004A6009" w:rsidP="001A4435">
            <w:pPr>
              <w:pStyle w:val="NoSpacing"/>
              <w:rPr>
                <w:color w:val="000000"/>
                <w:lang w:val="en-GB"/>
              </w:rPr>
            </w:pPr>
            <w:r w:rsidRPr="00723C20">
              <w:rPr>
                <w:color w:val="000000"/>
                <w:lang w:val="en-GB"/>
              </w:rPr>
              <w:t>Frequency Division Duplex</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FS</w:t>
            </w:r>
          </w:p>
        </w:tc>
        <w:tc>
          <w:tcPr>
            <w:tcW w:w="6836" w:type="dxa"/>
          </w:tcPr>
          <w:p w:rsidR="004A6009" w:rsidRPr="00723C20" w:rsidRDefault="004A6009" w:rsidP="001A4435">
            <w:pPr>
              <w:pStyle w:val="NoSpacing"/>
              <w:rPr>
                <w:color w:val="000000"/>
                <w:lang w:val="en-GB"/>
              </w:rPr>
            </w:pPr>
            <w:r w:rsidRPr="00723C20">
              <w:rPr>
                <w:color w:val="000000"/>
                <w:lang w:val="en-GB"/>
              </w:rPr>
              <w:t>Fixed Service</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FSS</w:t>
            </w:r>
          </w:p>
        </w:tc>
        <w:tc>
          <w:tcPr>
            <w:tcW w:w="6836" w:type="dxa"/>
          </w:tcPr>
          <w:p w:rsidR="004A6009" w:rsidRPr="00723C20" w:rsidRDefault="004A6009" w:rsidP="001A4435">
            <w:pPr>
              <w:pStyle w:val="NoSpacing"/>
              <w:rPr>
                <w:color w:val="000000"/>
                <w:lang w:val="en-GB"/>
              </w:rPr>
            </w:pPr>
            <w:r w:rsidRPr="00723C20">
              <w:rPr>
                <w:color w:val="000000"/>
                <w:lang w:val="en-GB"/>
              </w:rPr>
              <w:t>Fixed-Satellite Service</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ISM</w:t>
            </w:r>
          </w:p>
        </w:tc>
        <w:tc>
          <w:tcPr>
            <w:tcW w:w="6836" w:type="dxa"/>
          </w:tcPr>
          <w:p w:rsidR="004A6009" w:rsidRPr="00723C20" w:rsidRDefault="004A6009" w:rsidP="001A4435">
            <w:pPr>
              <w:pStyle w:val="NoSpacing"/>
              <w:rPr>
                <w:color w:val="000000"/>
                <w:lang w:val="en-GB"/>
              </w:rPr>
            </w:pPr>
            <w:r w:rsidRPr="00723C20">
              <w:rPr>
                <w:color w:val="000000"/>
                <w:lang w:val="en-GB"/>
              </w:rPr>
              <w:t>Industrial, scientific and medical applications</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ITS</w:t>
            </w:r>
          </w:p>
        </w:tc>
        <w:tc>
          <w:tcPr>
            <w:tcW w:w="6836" w:type="dxa"/>
          </w:tcPr>
          <w:p w:rsidR="004A6009" w:rsidRPr="00723C20" w:rsidRDefault="004A6009" w:rsidP="001A4435">
            <w:pPr>
              <w:pStyle w:val="NoSpacing"/>
              <w:rPr>
                <w:color w:val="000000"/>
                <w:lang w:val="en-GB"/>
              </w:rPr>
            </w:pPr>
            <w:r w:rsidRPr="00723C20">
              <w:rPr>
                <w:color w:val="000000"/>
                <w:lang w:val="en-GB"/>
              </w:rPr>
              <w:t>Intelligent Transport Systems</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MS</w:t>
            </w:r>
          </w:p>
        </w:tc>
        <w:tc>
          <w:tcPr>
            <w:tcW w:w="6836" w:type="dxa"/>
          </w:tcPr>
          <w:p w:rsidR="004A6009" w:rsidRPr="00723C20" w:rsidRDefault="004A6009" w:rsidP="001A4435">
            <w:pPr>
              <w:pStyle w:val="NoSpacing"/>
              <w:rPr>
                <w:color w:val="000000"/>
                <w:lang w:val="en-GB"/>
              </w:rPr>
            </w:pPr>
            <w:r w:rsidRPr="00723C20">
              <w:rPr>
                <w:color w:val="000000"/>
                <w:lang w:val="en-GB"/>
              </w:rPr>
              <w:t>Mobile Service</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MSS</w:t>
            </w:r>
          </w:p>
        </w:tc>
        <w:tc>
          <w:tcPr>
            <w:tcW w:w="6836" w:type="dxa"/>
          </w:tcPr>
          <w:p w:rsidR="004A6009" w:rsidRPr="00723C20" w:rsidRDefault="004A6009" w:rsidP="001A4435">
            <w:pPr>
              <w:pStyle w:val="NoSpacing"/>
              <w:rPr>
                <w:color w:val="000000"/>
                <w:lang w:val="en-GB"/>
              </w:rPr>
            </w:pPr>
            <w:r w:rsidRPr="00723C20">
              <w:rPr>
                <w:color w:val="000000"/>
                <w:lang w:val="en-GB"/>
              </w:rPr>
              <w:t>Mobile Satellite-Service</w:t>
            </w:r>
          </w:p>
        </w:tc>
      </w:tr>
      <w:tr w:rsidR="004A6009" w:rsidRPr="007B3E5B" w:rsidTr="00B648BD">
        <w:tc>
          <w:tcPr>
            <w:tcW w:w="1984" w:type="dxa"/>
          </w:tcPr>
          <w:p w:rsidR="004A6009" w:rsidRPr="007B3E5B" w:rsidRDefault="004A6009" w:rsidP="001A4435">
            <w:pPr>
              <w:pStyle w:val="NoSpacing"/>
              <w:rPr>
                <w:color w:val="000000"/>
                <w:lang w:val="en-GB"/>
              </w:rPr>
            </w:pPr>
            <w:r w:rsidRPr="007B3E5B">
              <w:rPr>
                <w:color w:val="000000"/>
                <w:lang w:val="en-GB"/>
              </w:rPr>
              <w:t>RFIDs</w:t>
            </w:r>
          </w:p>
        </w:tc>
        <w:tc>
          <w:tcPr>
            <w:tcW w:w="6836" w:type="dxa"/>
          </w:tcPr>
          <w:p w:rsidR="004A6009" w:rsidRPr="007B3E5B" w:rsidRDefault="004A6009" w:rsidP="001A4435">
            <w:pPr>
              <w:pStyle w:val="NoSpacing"/>
              <w:rPr>
                <w:color w:val="000000"/>
                <w:lang w:val="en-GB"/>
              </w:rPr>
            </w:pPr>
            <w:r w:rsidRPr="007B3E5B">
              <w:rPr>
                <w:color w:val="000000"/>
                <w:lang w:val="en-GB"/>
              </w:rPr>
              <w:t>Radio frequency identification devices</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RLANs</w:t>
            </w:r>
          </w:p>
        </w:tc>
        <w:tc>
          <w:tcPr>
            <w:tcW w:w="6836" w:type="dxa"/>
          </w:tcPr>
          <w:p w:rsidR="004A6009" w:rsidRPr="00723C20" w:rsidRDefault="004A6009" w:rsidP="001A4435">
            <w:pPr>
              <w:pStyle w:val="NoSpacing"/>
              <w:rPr>
                <w:color w:val="000000"/>
                <w:lang w:val="en-GB"/>
              </w:rPr>
            </w:pPr>
            <w:r w:rsidRPr="00723C20">
              <w:rPr>
                <w:color w:val="000000"/>
                <w:lang w:val="en-GB"/>
              </w:rPr>
              <w:t>Radio Local Area Networks</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RLS</w:t>
            </w:r>
          </w:p>
        </w:tc>
        <w:tc>
          <w:tcPr>
            <w:tcW w:w="6836" w:type="dxa"/>
          </w:tcPr>
          <w:p w:rsidR="004A6009" w:rsidRPr="00723C20" w:rsidRDefault="004A6009" w:rsidP="001A4435">
            <w:pPr>
              <w:pStyle w:val="NoSpacing"/>
              <w:rPr>
                <w:color w:val="000000"/>
                <w:lang w:val="en-GB"/>
              </w:rPr>
            </w:pPr>
            <w:r w:rsidRPr="00723C20">
              <w:rPr>
                <w:color w:val="000000"/>
                <w:lang w:val="en-GB"/>
              </w:rPr>
              <w:t>Radiolocation Service</w:t>
            </w:r>
          </w:p>
        </w:tc>
      </w:tr>
      <w:tr w:rsidR="004A6009" w:rsidRPr="00723C20" w:rsidTr="00B648BD">
        <w:tc>
          <w:tcPr>
            <w:tcW w:w="1984" w:type="dxa"/>
          </w:tcPr>
          <w:p w:rsidR="004A6009" w:rsidRDefault="004A6009" w:rsidP="001A4435">
            <w:pPr>
              <w:pStyle w:val="NoSpacing"/>
              <w:rPr>
                <w:color w:val="000000"/>
                <w:lang w:val="en-GB"/>
              </w:rPr>
            </w:pPr>
            <w:r w:rsidRPr="00723C20">
              <w:rPr>
                <w:color w:val="000000"/>
                <w:lang w:val="en-GB"/>
              </w:rPr>
              <w:t>RTTT</w:t>
            </w:r>
          </w:p>
          <w:p w:rsidR="004A6009" w:rsidRPr="00723C20" w:rsidRDefault="004A6009" w:rsidP="001A4435">
            <w:pPr>
              <w:pStyle w:val="NoSpacing"/>
              <w:rPr>
                <w:color w:val="000000"/>
                <w:lang w:val="en-GB"/>
              </w:rPr>
            </w:pPr>
            <w:r>
              <w:rPr>
                <w:color w:val="000000"/>
                <w:lang w:val="en-GB"/>
              </w:rPr>
              <w:lastRenderedPageBreak/>
              <w:t>R&amp;TTE</w:t>
            </w:r>
          </w:p>
        </w:tc>
        <w:tc>
          <w:tcPr>
            <w:tcW w:w="6836" w:type="dxa"/>
          </w:tcPr>
          <w:p w:rsidR="004A6009" w:rsidRDefault="004A6009" w:rsidP="001A4435">
            <w:pPr>
              <w:pStyle w:val="NoSpacing"/>
              <w:rPr>
                <w:color w:val="000000"/>
                <w:lang w:val="en-GB"/>
              </w:rPr>
            </w:pPr>
            <w:r w:rsidRPr="00723C20">
              <w:rPr>
                <w:color w:val="000000"/>
                <w:lang w:val="en-GB"/>
              </w:rPr>
              <w:lastRenderedPageBreak/>
              <w:t>Road Transport and Traffic Telematics</w:t>
            </w:r>
          </w:p>
          <w:p w:rsidR="004A6009" w:rsidRPr="00723C20" w:rsidRDefault="004A6009" w:rsidP="001A4435">
            <w:pPr>
              <w:pStyle w:val="NoSpacing"/>
              <w:rPr>
                <w:color w:val="000000"/>
                <w:lang w:val="en-GB"/>
              </w:rPr>
            </w:pPr>
            <w:r>
              <w:rPr>
                <w:color w:val="000000"/>
                <w:lang w:val="en-GB"/>
              </w:rPr>
              <w:lastRenderedPageBreak/>
              <w:t>Radio and Telecommunications Terminal Equipment</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lastRenderedPageBreak/>
              <w:t>SAP/SAB</w:t>
            </w:r>
          </w:p>
        </w:tc>
        <w:tc>
          <w:tcPr>
            <w:tcW w:w="6836" w:type="dxa"/>
          </w:tcPr>
          <w:p w:rsidR="004A6009" w:rsidRPr="00723C20" w:rsidRDefault="004A6009" w:rsidP="001A4435">
            <w:pPr>
              <w:pStyle w:val="NoSpacing"/>
              <w:rPr>
                <w:color w:val="000000"/>
                <w:lang w:val="en-GB"/>
              </w:rPr>
            </w:pPr>
            <w:r w:rsidRPr="00723C20">
              <w:rPr>
                <w:color w:val="000000"/>
                <w:lang w:val="en-GB"/>
              </w:rPr>
              <w:t>Services Ancillary to Programme making / Services Ancillary to Broadcasting</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SRDs</w:t>
            </w:r>
          </w:p>
        </w:tc>
        <w:tc>
          <w:tcPr>
            <w:tcW w:w="6836" w:type="dxa"/>
          </w:tcPr>
          <w:p w:rsidR="004A6009" w:rsidRPr="00723C20" w:rsidRDefault="004A6009" w:rsidP="001A4435">
            <w:pPr>
              <w:pStyle w:val="NoSpacing"/>
              <w:rPr>
                <w:color w:val="000000"/>
                <w:lang w:val="en-GB"/>
              </w:rPr>
            </w:pPr>
            <w:r w:rsidRPr="00723C20">
              <w:rPr>
                <w:color w:val="000000"/>
                <w:lang w:val="en-GB"/>
              </w:rPr>
              <w:t>Short Range Devices</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SRS</w:t>
            </w:r>
          </w:p>
        </w:tc>
        <w:tc>
          <w:tcPr>
            <w:tcW w:w="6836" w:type="dxa"/>
          </w:tcPr>
          <w:p w:rsidR="004A6009" w:rsidRPr="00723C20" w:rsidRDefault="004A6009" w:rsidP="001A4435">
            <w:pPr>
              <w:pStyle w:val="NoSpacing"/>
              <w:rPr>
                <w:color w:val="000000"/>
                <w:lang w:val="en-GB"/>
              </w:rPr>
            </w:pPr>
            <w:r w:rsidRPr="00723C20">
              <w:rPr>
                <w:color w:val="000000"/>
                <w:lang w:val="en-GB"/>
              </w:rPr>
              <w:t>Space Research Service</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TDD</w:t>
            </w:r>
          </w:p>
        </w:tc>
        <w:tc>
          <w:tcPr>
            <w:tcW w:w="6836" w:type="dxa"/>
          </w:tcPr>
          <w:p w:rsidR="004A6009" w:rsidRPr="00723C20" w:rsidRDefault="004A6009" w:rsidP="001A4435">
            <w:pPr>
              <w:pStyle w:val="NoSpacing"/>
              <w:rPr>
                <w:color w:val="000000"/>
                <w:lang w:val="en-GB"/>
              </w:rPr>
            </w:pPr>
            <w:r w:rsidRPr="00723C20">
              <w:rPr>
                <w:color w:val="000000"/>
                <w:lang w:val="en-GB"/>
              </w:rPr>
              <w:t>Time Division Duplex</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TRA-ECS</w:t>
            </w:r>
          </w:p>
        </w:tc>
        <w:tc>
          <w:tcPr>
            <w:tcW w:w="6836" w:type="dxa"/>
          </w:tcPr>
          <w:p w:rsidR="004A6009" w:rsidRPr="00723C20" w:rsidRDefault="004A6009" w:rsidP="001A4435">
            <w:pPr>
              <w:pStyle w:val="NoSpacing"/>
              <w:rPr>
                <w:color w:val="000000"/>
                <w:lang w:val="en-GB"/>
              </w:rPr>
            </w:pPr>
            <w:r w:rsidRPr="00723C20">
              <w:rPr>
                <w:color w:val="000000"/>
                <w:lang w:val="en-GB"/>
              </w:rPr>
              <w:t>Terrestrial radio applications capable of providing Electronic Communications Services</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UMTS</w:t>
            </w:r>
          </w:p>
        </w:tc>
        <w:tc>
          <w:tcPr>
            <w:tcW w:w="6836" w:type="dxa"/>
          </w:tcPr>
          <w:p w:rsidR="004A6009" w:rsidRPr="00723C20" w:rsidRDefault="004A6009" w:rsidP="001A4435">
            <w:pPr>
              <w:pStyle w:val="NoSpacing"/>
              <w:rPr>
                <w:color w:val="000000"/>
                <w:lang w:val="en-GB"/>
              </w:rPr>
            </w:pPr>
            <w:r w:rsidRPr="00723C20">
              <w:rPr>
                <w:color w:val="000000"/>
                <w:lang w:val="en-GB"/>
              </w:rPr>
              <w:t>Universal Mobile Telecommunications System</w:t>
            </w:r>
          </w:p>
        </w:tc>
      </w:tr>
      <w:tr w:rsidR="004A6009" w:rsidRPr="00723C20" w:rsidTr="00B648BD">
        <w:tc>
          <w:tcPr>
            <w:tcW w:w="1984" w:type="dxa"/>
          </w:tcPr>
          <w:p w:rsidR="004A6009" w:rsidRPr="00723C20" w:rsidRDefault="004A6009" w:rsidP="001A4435">
            <w:pPr>
              <w:pStyle w:val="NoSpacing"/>
              <w:rPr>
                <w:color w:val="000000"/>
                <w:lang w:val="en-GB"/>
              </w:rPr>
            </w:pPr>
            <w:r w:rsidRPr="00723C20">
              <w:rPr>
                <w:color w:val="000000"/>
                <w:lang w:val="en-GB"/>
              </w:rPr>
              <w:t>WAPECS</w:t>
            </w:r>
          </w:p>
        </w:tc>
        <w:tc>
          <w:tcPr>
            <w:tcW w:w="6836" w:type="dxa"/>
          </w:tcPr>
          <w:p w:rsidR="004A6009" w:rsidRPr="00723C20" w:rsidRDefault="004A6009" w:rsidP="001A4435">
            <w:pPr>
              <w:pStyle w:val="NoSpacing"/>
              <w:rPr>
                <w:color w:val="000000"/>
                <w:lang w:val="en-GB"/>
              </w:rPr>
            </w:pPr>
            <w:r w:rsidRPr="00723C20">
              <w:rPr>
                <w:color w:val="000000"/>
                <w:lang w:val="en-GB"/>
              </w:rPr>
              <w:t>Wireless Access Policy for Electronic Communications Services</w:t>
            </w:r>
          </w:p>
        </w:tc>
      </w:tr>
    </w:tbl>
    <w:p w:rsidR="004A6009" w:rsidRPr="00DC236E" w:rsidRDefault="004A6009" w:rsidP="005A4E96">
      <w:pPr>
        <w:pStyle w:val="Heading1"/>
      </w:pPr>
      <w:bookmarkStart w:id="26" w:name="_Toc233514042"/>
      <w:r w:rsidRPr="00DC236E">
        <w:t>4</w:t>
      </w:r>
      <w:r>
        <w:tab/>
      </w:r>
      <w:r w:rsidRPr="00DC236E">
        <w:t>Comments on the System Reference Document</w:t>
      </w:r>
      <w:bookmarkEnd w:id="26"/>
    </w:p>
    <w:p w:rsidR="004A6009" w:rsidRPr="00C24162" w:rsidRDefault="00180138" w:rsidP="005A4E96">
      <w:pPr>
        <w:rPr>
          <w:rStyle w:val="Guidance"/>
          <w:color w:val="auto"/>
        </w:rPr>
      </w:pPr>
      <w:r w:rsidRPr="00C24162" w:rsidDel="00180138">
        <w:rPr>
          <w:rStyle w:val="Guidance"/>
          <w:color w:val="auto"/>
        </w:rPr>
        <w:t xml:space="preserve"> </w:t>
      </w:r>
      <w:r w:rsidR="004A6009" w:rsidRPr="00C24162">
        <w:rPr>
          <w:rStyle w:val="Guidance"/>
          <w:color w:val="auto"/>
        </w:rPr>
        <w:t>The statements in clause</w:t>
      </w:r>
      <w:r w:rsidR="00D17B82">
        <w:rPr>
          <w:rStyle w:val="Guidance"/>
          <w:color w:val="auto"/>
        </w:rPr>
        <w:t>s</w:t>
      </w:r>
      <w:r w:rsidR="004A6009" w:rsidRPr="00C24162">
        <w:rPr>
          <w:rStyle w:val="Guidance"/>
          <w:color w:val="auto"/>
        </w:rPr>
        <w:t xml:space="preserve"> 4.1</w:t>
      </w:r>
      <w:r w:rsidR="00D17B82">
        <w:rPr>
          <w:rStyle w:val="Guidance"/>
          <w:color w:val="auto"/>
        </w:rPr>
        <w:t>to 4.4</w:t>
      </w:r>
      <w:r w:rsidR="004A6009" w:rsidRPr="00C24162">
        <w:rPr>
          <w:rStyle w:val="Guidance"/>
          <w:color w:val="auto"/>
        </w:rPr>
        <w:t xml:space="preserve"> have been recorded.</w:t>
      </w:r>
    </w:p>
    <w:p w:rsidR="004A6009" w:rsidRPr="00C24162" w:rsidRDefault="004A6009" w:rsidP="005A4E96">
      <w:pPr>
        <w:pStyle w:val="Heading3"/>
      </w:pPr>
      <w:bookmarkStart w:id="27" w:name="_Toc233514043"/>
      <w:r w:rsidRPr="00C24162">
        <w:t>4.1</w:t>
      </w:r>
      <w:r w:rsidRPr="00C24162">
        <w:tab/>
        <w:t>Statement by</w:t>
      </w:r>
      <w:bookmarkEnd w:id="27"/>
      <w:r w:rsidR="00D75D4B">
        <w:t xml:space="preserve"> Cisco Systems Belgium, CSR, Broadcom Corporation, Research in Motion UK Limited</w:t>
      </w:r>
      <w:r w:rsidR="00C041B0">
        <w:t>, Qualcomm UK Ltd</w:t>
      </w:r>
      <w:r w:rsidR="00D01031">
        <w:t xml:space="preserve"> and</w:t>
      </w:r>
      <w:r w:rsidR="00AD0BBB">
        <w:t xml:space="preserve"> </w:t>
      </w:r>
      <w:r w:rsidR="00EE5DE7" w:rsidRPr="003A1DAE">
        <w:t>BIPT</w:t>
      </w:r>
      <w:r w:rsidR="00D75D4B">
        <w:t>:</w:t>
      </w:r>
    </w:p>
    <w:p w:rsidR="00C041B0" w:rsidRPr="00A512BC" w:rsidRDefault="00C041B0" w:rsidP="00C041B0">
      <w:pPr>
        <w:rPr>
          <w:rStyle w:val="Guidance"/>
          <w:i w:val="0"/>
          <w:color w:val="auto"/>
        </w:rPr>
      </w:pPr>
      <w:r w:rsidRPr="00A512BC">
        <w:rPr>
          <w:rStyle w:val="Guidance"/>
          <w:i w:val="0"/>
          <w:color w:val="auto"/>
        </w:rPr>
        <w:t xml:space="preserve">WiFi and Bluetooth (BT) usage in the 2.4 GHz band has a huge economic and social value. 1 billion WiFi chipsets and 2 billion BT chipsets have been shipped in 2011 alone. </w:t>
      </w:r>
      <w:r w:rsidRPr="00A512BC">
        <w:t>The forecasts</w:t>
      </w:r>
      <w:r w:rsidRPr="00A512BC">
        <w:rPr>
          <w:i/>
        </w:rPr>
        <w:t xml:space="preserve"> (Reference: Cisco White Paper on “Cisco Visual Networking Index: Global Mobile Data Traffic Forecast Update, 2011–2016”</w:t>
      </w:r>
      <w:r w:rsidR="009178ED" w:rsidRPr="00A512BC">
        <w:rPr>
          <w:i/>
        </w:rPr>
        <w:t>)</w:t>
      </w:r>
      <w:r w:rsidRPr="00A512BC">
        <w:t xml:space="preserve"> demonstrate that mobile data traffic will double in 2012 and will have </w:t>
      </w:r>
      <w:proofErr w:type="gramStart"/>
      <w:r w:rsidRPr="00A512BC">
        <w:t>a</w:t>
      </w:r>
      <w:proofErr w:type="gramEnd"/>
      <w:r w:rsidRPr="00A512BC">
        <w:t xml:space="preserve"> 18-fold growth in 2016, where Europe accounts for a considerable amount of this growth. As a result, WiFi networks in Europe will play a crucial role as a complement to cellular networks in responding to this tremendous need for mobile data traffic. Currently, there is a trend towards offloading mobile data in urban hotspots from cellular networks to smaller cells, WiFi-based and </w:t>
      </w:r>
      <w:proofErr w:type="spellStart"/>
      <w:r w:rsidRPr="00A512BC">
        <w:t>femtos</w:t>
      </w:r>
      <w:proofErr w:type="spellEnd"/>
      <w:r w:rsidRPr="00A512BC">
        <w:t xml:space="preserve">. This trend will be accelerated in the future and a considerable amount of </w:t>
      </w:r>
      <w:proofErr w:type="spellStart"/>
      <w:r w:rsidRPr="00A512BC">
        <w:t>smartphone</w:t>
      </w:r>
      <w:proofErr w:type="spellEnd"/>
      <w:r w:rsidRPr="00A512BC">
        <w:t xml:space="preserve"> traffic will be routed over WiFi networks.</w:t>
      </w:r>
      <w:r w:rsidR="00AD0BBB" w:rsidRPr="00A512BC">
        <w:t xml:space="preserve"> </w:t>
      </w:r>
      <w:r w:rsidRPr="00A512BC">
        <w:t xml:space="preserve"> </w:t>
      </w:r>
      <w:r w:rsidR="00AD0BBB" w:rsidRPr="00A512BC">
        <w:t>T</w:t>
      </w:r>
      <w:r w:rsidRPr="00A512BC">
        <w:t xml:space="preserve">he role of WiFi for data traffic over fixed networks is even much more important. In this sector, WiFi networks carry in Europe more than 20 times as much Internet data as carried over cellular networks. </w:t>
      </w:r>
      <w:r w:rsidRPr="00A512BC">
        <w:rPr>
          <w:rStyle w:val="Guidance"/>
          <w:i w:val="0"/>
          <w:color w:val="auto"/>
        </w:rPr>
        <w:t>Global sales of WiFi based equipment is expected to reach 3,5 billion euro in 2014</w:t>
      </w:r>
      <w:r w:rsidRPr="00A512BC">
        <w:rPr>
          <w:rStyle w:val="Guidance"/>
          <w:color w:val="auto"/>
        </w:rPr>
        <w:t xml:space="preserve"> (Reference: ‘Promoting the Shared Use of Radio Spectrum’ by Pearse O’Donohu</w:t>
      </w:r>
      <w:r w:rsidR="003E6186">
        <w:rPr>
          <w:rStyle w:val="Guidance"/>
          <w:color w:val="auto"/>
        </w:rPr>
        <w:t>e</w:t>
      </w:r>
      <w:r w:rsidRPr="00A512BC">
        <w:rPr>
          <w:rStyle w:val="Guidance"/>
          <w:color w:val="auto"/>
        </w:rPr>
        <w:t>, Head of Unit, Radio Spectrum Policy, DG Information Society and Media, European Commission).</w:t>
      </w:r>
    </w:p>
    <w:p w:rsidR="00C041B0" w:rsidRPr="00A512BC" w:rsidRDefault="00C041B0" w:rsidP="00C041B0">
      <w:pPr>
        <w:overflowPunct/>
        <w:autoSpaceDE/>
        <w:autoSpaceDN/>
        <w:adjustRightInd/>
        <w:spacing w:after="200"/>
        <w:textAlignment w:val="auto"/>
        <w:rPr>
          <w:lang w:val="en-US" w:eastAsia="en-GB"/>
        </w:rPr>
      </w:pPr>
      <w:r w:rsidRPr="00A512BC">
        <w:rPr>
          <w:lang w:val="en-US" w:eastAsia="en-GB"/>
        </w:rPr>
        <w:t>With increasing penetration of Bluetooth in the automotive, consumer electronics and mobile phone markets as well as emerging market</w:t>
      </w:r>
      <w:r w:rsidR="001966EA" w:rsidRPr="00A512BC">
        <w:rPr>
          <w:lang w:val="en-US" w:eastAsia="en-GB"/>
        </w:rPr>
        <w:t>s</w:t>
      </w:r>
      <w:r w:rsidRPr="00A512BC">
        <w:rPr>
          <w:lang w:val="en-US" w:eastAsia="en-GB"/>
        </w:rPr>
        <w:t xml:space="preserve"> such as health and fitness, smart home and industrial the technology is expected to continue to evolve and expand, taking advantage of the small-form factor radio, low power, low cost, built-in security, robustness, ease-of-use, and ad-hoc networking abilities. By 2016 it is expected that the number of Bluetooth chipsets shipped in that year </w:t>
      </w:r>
      <w:r w:rsidR="001966EA" w:rsidRPr="00A512BC">
        <w:rPr>
          <w:lang w:val="en-US" w:eastAsia="en-GB"/>
        </w:rPr>
        <w:t xml:space="preserve">alone </w:t>
      </w:r>
      <w:r w:rsidRPr="00A512BC">
        <w:rPr>
          <w:lang w:val="en-US" w:eastAsia="en-GB"/>
        </w:rPr>
        <w:t>will have increased to 7 billion.</w:t>
      </w:r>
    </w:p>
    <w:p w:rsidR="00C041B0" w:rsidRPr="00A512BC" w:rsidRDefault="00C041B0" w:rsidP="00C041B0">
      <w:pPr>
        <w:overflowPunct/>
        <w:autoSpaceDE/>
        <w:autoSpaceDN/>
        <w:adjustRightInd/>
        <w:spacing w:after="200"/>
        <w:textAlignment w:val="auto"/>
        <w:rPr>
          <w:rStyle w:val="Guidance"/>
          <w:i w:val="0"/>
          <w:color w:val="auto"/>
          <w:szCs w:val="22"/>
          <w:lang w:val="en-US" w:eastAsia="en-GB"/>
        </w:rPr>
      </w:pPr>
      <w:r w:rsidRPr="00A512BC">
        <w:rPr>
          <w:rStyle w:val="Guidance"/>
          <w:i w:val="0"/>
          <w:color w:val="auto"/>
          <w:szCs w:val="22"/>
          <w:lang w:val="en-US" w:eastAsia="en-GB"/>
        </w:rPr>
        <w:t xml:space="preserve">Until now radio equipment in the 2400-2483.5 </w:t>
      </w:r>
      <w:proofErr w:type="gramStart"/>
      <w:r w:rsidRPr="00A512BC">
        <w:rPr>
          <w:rStyle w:val="Guidance"/>
          <w:i w:val="0"/>
          <w:color w:val="auto"/>
          <w:szCs w:val="22"/>
          <w:lang w:val="en-US" w:eastAsia="en-GB"/>
        </w:rPr>
        <w:t>MHz  band</w:t>
      </w:r>
      <w:proofErr w:type="gramEnd"/>
      <w:r w:rsidRPr="00A512BC">
        <w:rPr>
          <w:rStyle w:val="Guidance"/>
          <w:i w:val="0"/>
          <w:color w:val="auto"/>
          <w:szCs w:val="22"/>
          <w:lang w:val="en-US" w:eastAsia="en-GB"/>
        </w:rPr>
        <w:t xml:space="preserve"> has been used  on the ground (terrestrial). This has enabled public operators as well as private (commercial and non-commercial</w:t>
      </w:r>
      <w:r w:rsidR="009178ED" w:rsidRPr="00A512BC">
        <w:rPr>
          <w:rStyle w:val="Guidance"/>
          <w:i w:val="0"/>
          <w:color w:val="auto"/>
          <w:szCs w:val="22"/>
          <w:lang w:val="en-US" w:eastAsia="en-GB"/>
        </w:rPr>
        <w:t xml:space="preserve">) owners </w:t>
      </w:r>
      <w:proofErr w:type="gramStart"/>
      <w:r w:rsidR="009178ED" w:rsidRPr="00A512BC">
        <w:rPr>
          <w:rStyle w:val="Guidance"/>
          <w:i w:val="0"/>
          <w:color w:val="auto"/>
          <w:szCs w:val="22"/>
          <w:lang w:val="en-US" w:eastAsia="en-GB"/>
        </w:rPr>
        <w:t>of  larger</w:t>
      </w:r>
      <w:proofErr w:type="gramEnd"/>
      <w:r w:rsidR="009178ED" w:rsidRPr="00A512BC">
        <w:rPr>
          <w:rStyle w:val="Guidance"/>
          <w:i w:val="0"/>
          <w:color w:val="auto"/>
          <w:szCs w:val="22"/>
          <w:lang w:val="en-US" w:eastAsia="en-GB"/>
        </w:rPr>
        <w:t xml:space="preserve"> properties  (e.g. university campus, airports, train stations, city centers, hospitals, shopping malls, industrial production areas, supply chain areas, forestry, agriculture and research areas)  to plan their local area wireless networks (e.g. based on Wi-Fi, Bluetooth, ZigBee, active and passive RFID etc.) without uncontrolled in</w:t>
      </w:r>
      <w:r w:rsidR="001966EA" w:rsidRPr="00A512BC">
        <w:rPr>
          <w:rStyle w:val="Guidance"/>
          <w:i w:val="0"/>
          <w:color w:val="auto"/>
          <w:szCs w:val="22"/>
          <w:lang w:val="en-US" w:eastAsia="en-GB"/>
        </w:rPr>
        <w:t>ter</w:t>
      </w:r>
      <w:r w:rsidR="009178ED" w:rsidRPr="00A512BC">
        <w:rPr>
          <w:rStyle w:val="Guidance"/>
          <w:i w:val="0"/>
          <w:color w:val="auto"/>
          <w:szCs w:val="22"/>
          <w:lang w:val="en-US" w:eastAsia="en-GB"/>
        </w:rPr>
        <w:t xml:space="preserve">ference from outside of  their property.  DA2GC deployment  operating in this band would act as an uncontrollable interferer (from the base stations as well as from the planes) to these wireless networks and would limit the currently existing freedom of network configuration and arrangement in these areas, which are very important and  more significant to the economy than DA2GC. </w:t>
      </w:r>
      <w:proofErr w:type="gramStart"/>
      <w:r w:rsidR="009178ED" w:rsidRPr="00A512BC">
        <w:rPr>
          <w:rStyle w:val="Guidance"/>
          <w:i w:val="0"/>
          <w:color w:val="auto"/>
          <w:szCs w:val="22"/>
          <w:lang w:val="en-US" w:eastAsia="en-GB"/>
        </w:rPr>
        <w:t>This  potentially</w:t>
      </w:r>
      <w:proofErr w:type="gramEnd"/>
      <w:r w:rsidR="009178ED" w:rsidRPr="00A512BC">
        <w:rPr>
          <w:rStyle w:val="Guidance"/>
          <w:i w:val="0"/>
          <w:color w:val="auto"/>
          <w:szCs w:val="22"/>
          <w:lang w:val="en-US" w:eastAsia="en-GB"/>
        </w:rPr>
        <w:t xml:space="preserve">  introduces requirements for more robust planning of wireless networks in these areas and would result in unpredictably higher costs for these  sectors.</w:t>
      </w:r>
    </w:p>
    <w:p w:rsidR="00C041B0" w:rsidRPr="00A512BC" w:rsidRDefault="009178ED" w:rsidP="00C041B0">
      <w:pPr>
        <w:rPr>
          <w:rStyle w:val="Guidance"/>
          <w:i w:val="0"/>
          <w:color w:val="auto"/>
        </w:rPr>
      </w:pPr>
      <w:r w:rsidRPr="00A512BC">
        <w:rPr>
          <w:rStyle w:val="Guidance"/>
          <w:i w:val="0"/>
          <w:color w:val="auto"/>
        </w:rPr>
        <w:t xml:space="preserve">In 1993, ETSI published the very first edition of EN 300 328. No one could at that moment predict that this technology would enable the development of such an important business that has changed the way we work, live and communicate. We trust that CEPT administrations will make the right decision and will ensure the future of the spectrum currently in use by WiFi and Bluetooth will remain available to support further growth of WiFi and Bluetooth business. The economic value and growth potential that WiFi and Bluetooth represents today, and will represent in the future, should not be put at risk by allowing an outdoor DA2GC network of high power base stations operating in license exempt spectrum such as the 2.4 GHz band and covering the whole European territory. Compared to what is put at risk, the economic value of such application is very low. </w:t>
      </w:r>
    </w:p>
    <w:p w:rsidR="00C041B0" w:rsidRPr="00A512BC" w:rsidRDefault="009178ED" w:rsidP="00C041B0">
      <w:pPr>
        <w:rPr>
          <w:rStyle w:val="Guidance"/>
          <w:i w:val="0"/>
          <w:color w:val="auto"/>
        </w:rPr>
      </w:pPr>
      <w:r w:rsidRPr="00A512BC">
        <w:rPr>
          <w:rStyle w:val="Guidance"/>
          <w:i w:val="0"/>
          <w:color w:val="auto"/>
        </w:rPr>
        <w:t>Therefore Cisco Systems Belgium, CSR, Broadcom Corporation, Research in Motion UK Limited</w:t>
      </w:r>
      <w:r w:rsidR="005F1AD6" w:rsidRPr="00A512BC">
        <w:rPr>
          <w:rStyle w:val="Guidance"/>
          <w:i w:val="0"/>
          <w:color w:val="auto"/>
        </w:rPr>
        <w:t>, BIPT</w:t>
      </w:r>
      <w:r w:rsidRPr="00A512BC">
        <w:rPr>
          <w:rStyle w:val="Guidance"/>
          <w:i w:val="0"/>
          <w:color w:val="auto"/>
        </w:rPr>
        <w:t xml:space="preserve"> and </w:t>
      </w:r>
      <w:r w:rsidRPr="00A512BC">
        <w:t>Qualcomm UK Ltd.</w:t>
      </w:r>
      <w:r w:rsidRPr="00A512BC">
        <w:rPr>
          <w:rStyle w:val="Guidance"/>
          <w:i w:val="0"/>
          <w:color w:val="auto"/>
        </w:rPr>
        <w:t xml:space="preserve"> do not support the consideration of the 2.4 GHz band for DA2GC.</w:t>
      </w:r>
    </w:p>
    <w:p w:rsidR="003A1DAE" w:rsidRPr="00A512BC" w:rsidRDefault="003A1DAE" w:rsidP="003A1DAE">
      <w:r w:rsidRPr="00A512BC">
        <w:lastRenderedPageBreak/>
        <w:t>ETSI members Cisco Systems Belgium, CSR, Broadcom Corporation, Research in Motion UK Limited and Qualcomm UK Ltd. propose the below power density mask to apply on the ground stations for both the 2.4 GHz and the 5.8 GHz bands (or any other license exempt band being proposed for DA2GC usage). However, this mask does not fully address interference concerns in the 2.4GHz band and therefore even with the addition of the mask we still do not support the consideration of the 2.4GHz band for DA2GC.</w:t>
      </w:r>
    </w:p>
    <w:p w:rsidR="003A1DAE" w:rsidRDefault="003A1DAE" w:rsidP="003A1DAE">
      <w:r>
        <w:t xml:space="preserve">The -3 dBm/MHz is based on a 10 dBm signal using a 20 MHz channel bandwidth being transmitted in the horizontal plane. </w:t>
      </w:r>
    </w:p>
    <w:p w:rsidR="003A1DAE" w:rsidRDefault="00E60EDB" w:rsidP="003A1DAE">
      <w:pPr>
        <w:jc w:val="center"/>
      </w:pPr>
      <w:r>
        <w:rPr>
          <w:noProof/>
          <w:lang w:eastAsia="en-GB"/>
        </w:rPr>
        <w:drawing>
          <wp:inline distT="0" distB="0" distL="0" distR="0">
            <wp:extent cx="5078984" cy="2744724"/>
            <wp:effectExtent l="12192" t="6096" r="7239"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A1DAE" w:rsidRPr="00E60EDB" w:rsidRDefault="003A1DAE" w:rsidP="003A1DAE">
      <w:pPr>
        <w:jc w:val="center"/>
        <w:rPr>
          <w:rStyle w:val="Guidance"/>
          <w:b/>
          <w:i w:val="0"/>
          <w:iCs/>
          <w:color w:val="auto"/>
        </w:rPr>
      </w:pPr>
      <w:proofErr w:type="gramStart"/>
      <w:r w:rsidRPr="00E60EDB">
        <w:rPr>
          <w:rStyle w:val="Guidance"/>
          <w:b/>
          <w:i w:val="0"/>
          <w:iCs/>
          <w:color w:val="auto"/>
        </w:rPr>
        <w:t>Figure x – Max.</w:t>
      </w:r>
      <w:proofErr w:type="gramEnd"/>
      <w:r w:rsidRPr="00E60EDB">
        <w:rPr>
          <w:rStyle w:val="Guidance"/>
          <w:b/>
          <w:i w:val="0"/>
          <w:iCs/>
          <w:color w:val="auto"/>
        </w:rPr>
        <w:t xml:space="preserve"> </w:t>
      </w:r>
      <w:proofErr w:type="spellStart"/>
      <w:r w:rsidRPr="00E60EDB">
        <w:rPr>
          <w:rStyle w:val="Guidance"/>
          <w:b/>
          <w:i w:val="0"/>
          <w:iCs/>
          <w:color w:val="auto"/>
        </w:rPr>
        <w:t>Eirp</w:t>
      </w:r>
      <w:proofErr w:type="spellEnd"/>
      <w:r w:rsidRPr="00E60EDB">
        <w:rPr>
          <w:rStyle w:val="Guidance"/>
          <w:b/>
          <w:i w:val="0"/>
          <w:iCs/>
          <w:color w:val="auto"/>
        </w:rPr>
        <w:t xml:space="preserve"> density (dBm/MHz) versus Elevation angle (deg)</w:t>
      </w:r>
    </w:p>
    <w:p w:rsidR="00D37E56" w:rsidRDefault="00D37E56" w:rsidP="00C041B0">
      <w:pPr>
        <w:rPr>
          <w:rStyle w:val="Guidance"/>
          <w:i w:val="0"/>
        </w:rPr>
      </w:pPr>
    </w:p>
    <w:p w:rsidR="00180138" w:rsidRDefault="00180138" w:rsidP="00C041B0">
      <w:pPr>
        <w:rPr>
          <w:rFonts w:ascii="Arial" w:hAnsi="Arial"/>
          <w:sz w:val="28"/>
        </w:rPr>
      </w:pPr>
      <w:r w:rsidRPr="00127FF1">
        <w:rPr>
          <w:rFonts w:ascii="Arial" w:hAnsi="Arial"/>
          <w:sz w:val="28"/>
        </w:rPr>
        <w:t>4.2</w:t>
      </w:r>
      <w:r w:rsidR="00127FF1" w:rsidRPr="00127FF1">
        <w:rPr>
          <w:rFonts w:ascii="Arial" w:hAnsi="Arial"/>
          <w:sz w:val="28"/>
        </w:rPr>
        <w:tab/>
        <w:t>Statement by Bluetooth SIG</w:t>
      </w:r>
    </w:p>
    <w:p w:rsidR="00127FF1" w:rsidRPr="00127FF1" w:rsidRDefault="00127FF1" w:rsidP="00127FF1">
      <w:r w:rsidRPr="00127FF1">
        <w:rPr>
          <w:b/>
        </w:rPr>
        <w:t>Background on the Bluetooth SIG</w:t>
      </w:r>
      <w:r w:rsidRPr="00127FF1">
        <w:t xml:space="preserve"> (</w:t>
      </w:r>
      <w:hyperlink r:id="rId15" w:history="1">
        <w:r w:rsidRPr="00127FF1">
          <w:rPr>
            <w:rStyle w:val="Hyperlink"/>
          </w:rPr>
          <w:t>www.bluetooth.org</w:t>
        </w:r>
      </w:hyperlink>
      <w:r w:rsidRPr="00127FF1">
        <w:t xml:space="preserve">) </w:t>
      </w:r>
    </w:p>
    <w:p w:rsidR="00127FF1" w:rsidRPr="00127FF1" w:rsidRDefault="00127FF1" w:rsidP="00127FF1">
      <w:pPr>
        <w:rPr>
          <w:rFonts w:cs="Arial"/>
        </w:rPr>
      </w:pPr>
      <w:r w:rsidRPr="00127FF1">
        <w:rPr>
          <w:rFonts w:cs="Arial"/>
        </w:rPr>
        <w:t xml:space="preserve">The Bluetooth Special Interest Group (SIG) is a not-for-profit trade association serving over 15000 member companies including the leaders in the telecommunications, computing, consumer electronics, automotive, industrial automation, and network industries. Representing very diverse devices and market segments the SIG members are devoted to drive the development of </w:t>
      </w:r>
      <w:r w:rsidRPr="00127FF1">
        <w:rPr>
          <w:rFonts w:cs="Arial"/>
          <w:i/>
          <w:iCs/>
        </w:rPr>
        <w:t xml:space="preserve">Bluetooth </w:t>
      </w:r>
      <w:r w:rsidRPr="00127FF1">
        <w:rPr>
          <w:rFonts w:cs="Arial"/>
        </w:rPr>
        <w:t>wireless technology, and implement and market the technology in their products.</w:t>
      </w:r>
    </w:p>
    <w:p w:rsidR="00127FF1" w:rsidRPr="00127FF1" w:rsidRDefault="00127FF1" w:rsidP="00127FF1">
      <w:pPr>
        <w:rPr>
          <w:rFonts w:cs="Arial"/>
        </w:rPr>
      </w:pPr>
      <w:r w:rsidRPr="00127FF1">
        <w:rPr>
          <w:rFonts w:cs="Arial"/>
          <w:i/>
          <w:iCs/>
        </w:rPr>
        <w:t>Bluetooth</w:t>
      </w:r>
      <w:r w:rsidRPr="00127FF1">
        <w:rPr>
          <w:rFonts w:cs="Arial"/>
        </w:rPr>
        <w:t xml:space="preserve"> wireless technology is the global short-range wireless standard enabling connectivity for a broad range of electronic devices. The technology continues to evolve, building on its inherent strengths – small-form factor radio, low power, low cost, built-in security, robustness, ease-of-use, and ad hoc networking abilities. </w:t>
      </w:r>
      <w:r w:rsidRPr="00127FF1">
        <w:rPr>
          <w:rFonts w:cs="Arial"/>
          <w:i/>
          <w:iCs/>
        </w:rPr>
        <w:t>Bluetooth</w:t>
      </w:r>
      <w:r w:rsidRPr="00127FF1">
        <w:rPr>
          <w:rFonts w:cs="Arial"/>
        </w:rPr>
        <w:t xml:space="preserve"> v4.0 unifies these evolutionary advancements and provides manufacturers and consumers with low energy and high speed features for connecting devices wirelessly. Manufacturers and consumers can choose to activate one or all of these features in </w:t>
      </w:r>
      <w:r w:rsidRPr="00127FF1">
        <w:rPr>
          <w:rFonts w:cs="Arial"/>
          <w:i/>
          <w:iCs/>
        </w:rPr>
        <w:t>Bluetooth</w:t>
      </w:r>
      <w:r w:rsidRPr="00127FF1">
        <w:rPr>
          <w:rFonts w:cs="Arial"/>
        </w:rPr>
        <w:t xml:space="preserve"> enabled devices, depending on device functionality. </w:t>
      </w:r>
    </w:p>
    <w:p w:rsidR="00127FF1" w:rsidRPr="00127FF1" w:rsidRDefault="00127FF1" w:rsidP="00127FF1">
      <w:r w:rsidRPr="00127FF1">
        <w:rPr>
          <w:rFonts w:cs="Arial"/>
        </w:rPr>
        <w:t xml:space="preserve">The Bluetooth SIG members are committed to enable interoperability in the market place. This is achieved via extensive testing during prototyping of the specifications, verification of product prototypes during recurring verification testing events (named Bluetooth </w:t>
      </w:r>
      <w:proofErr w:type="spellStart"/>
      <w:r w:rsidRPr="00127FF1">
        <w:rPr>
          <w:rFonts w:cs="Arial"/>
        </w:rPr>
        <w:t>Unplugfests</w:t>
      </w:r>
      <w:proofErr w:type="spellEnd"/>
      <w:r w:rsidRPr="00127FF1">
        <w:rPr>
          <w:rFonts w:cs="Arial"/>
        </w:rPr>
        <w:t>) and finally through certification testing within the Bluetooth Qualification program. Via the Bluetooth Qualification program, the Bluetooth SIG has to this date completed over 25,000 product certifications, encouraging the expanded use of Bluetooth products and services in new and established markets. Bluetooth SIG</w:t>
      </w:r>
      <w:r w:rsidRPr="00127FF1">
        <w:rPr>
          <w:rFonts w:cs="Arial"/>
          <w:b/>
          <w:bCs/>
          <w:color w:val="800080"/>
        </w:rPr>
        <w:t xml:space="preserve"> </w:t>
      </w:r>
      <w:r w:rsidRPr="00127FF1">
        <w:rPr>
          <w:rFonts w:cs="Arial"/>
        </w:rPr>
        <w:t>estimates that more than two billion Bluetooth products were shipped in 2011. By 2016 it is expected that the number of Bluetooth chipsets shipped in that single year will have increased to 7 billion.</w:t>
      </w:r>
    </w:p>
    <w:p w:rsidR="00127FF1" w:rsidRPr="00127FF1" w:rsidRDefault="00127FF1" w:rsidP="00127FF1">
      <w:r w:rsidRPr="00127FF1">
        <w:rPr>
          <w:b/>
        </w:rPr>
        <w:t xml:space="preserve">Bluetooth SIG response on the </w:t>
      </w:r>
      <w:proofErr w:type="spellStart"/>
      <w:r w:rsidRPr="00127FF1">
        <w:rPr>
          <w:b/>
        </w:rPr>
        <w:t>SRdoc</w:t>
      </w:r>
      <w:proofErr w:type="spellEnd"/>
      <w:r w:rsidRPr="00127FF1">
        <w:rPr>
          <w:b/>
        </w:rPr>
        <w:t xml:space="preserve"> </w:t>
      </w:r>
    </w:p>
    <w:p w:rsidR="00127FF1" w:rsidRPr="00127FF1" w:rsidRDefault="00127FF1" w:rsidP="00127FF1">
      <w:bookmarkStart w:id="28" w:name="OLE_LINK1"/>
      <w:bookmarkStart w:id="29" w:name="OLE_LINK2"/>
      <w:r w:rsidRPr="00127FF1">
        <w:t xml:space="preserve">Since the first edition of EN 300 328 in 1993 we have seen tremendous pickup of wireless technology in the license exempt spectrum. Due to the imposed politeness rules different technologies such as Bluetooth and WiFi, for example, coexist in the spectrum. Despite high device density and high volume of data transferred the end user has good quality of service. Although the personal wireless applications still are in their adolescence years there were more than 2 billion Bluetooth devices and 1 billion WiFi devices shipped in 2011. </w:t>
      </w:r>
    </w:p>
    <w:p w:rsidR="00127FF1" w:rsidRPr="00127FF1" w:rsidRDefault="00127FF1" w:rsidP="00127FF1">
      <w:r w:rsidRPr="00127FF1">
        <w:lastRenderedPageBreak/>
        <w:t xml:space="preserve">The </w:t>
      </w:r>
      <w:proofErr w:type="spellStart"/>
      <w:r w:rsidRPr="00127FF1">
        <w:t>SRdoc</w:t>
      </w:r>
      <w:proofErr w:type="spellEnd"/>
      <w:r w:rsidRPr="00127FF1">
        <w:t xml:space="preserve"> discusses that there is an increasing expectation amongst airline passengers to be able to access the Internet from their mobile devices during flight, provided that the pricing of the services was sufficiently attractive. This is a conclusion that is consistent with our experience that people expect wireless to be accessible in all environments. We welcome the initiative from the flight industry to provide WiFi access</w:t>
      </w:r>
      <w:r w:rsidRPr="00127FF1" w:rsidDel="005372B1">
        <w:t xml:space="preserve"> </w:t>
      </w:r>
      <w:r w:rsidRPr="00127FF1">
        <w:t xml:space="preserve">in that environment and acknowledge that to accomplish this there is need for a broadband link to ground. In order to achieve the anticipated quality of service we would expect that such a link should be possible to maintain wherever in the world a plane may fly and not only in Europe or whilst flying over land. As presented we do not see that the Direct-Air-to-Ground Communications system discussed in the </w:t>
      </w:r>
      <w:proofErr w:type="spellStart"/>
      <w:r w:rsidRPr="00127FF1">
        <w:t>SRdoc</w:t>
      </w:r>
      <w:proofErr w:type="spellEnd"/>
      <w:r w:rsidRPr="00127FF1">
        <w:t xml:space="preserve"> has the capabilities to </w:t>
      </w:r>
      <w:proofErr w:type="spellStart"/>
      <w:r w:rsidRPr="00127FF1">
        <w:t>fulfill</w:t>
      </w:r>
      <w:proofErr w:type="spellEnd"/>
      <w:r w:rsidRPr="00127FF1">
        <w:t xml:space="preserve"> that requirement.</w:t>
      </w:r>
    </w:p>
    <w:p w:rsidR="00127FF1" w:rsidRPr="00127FF1" w:rsidRDefault="00127FF1" w:rsidP="00127FF1">
      <w:r w:rsidRPr="00127FF1">
        <w:t xml:space="preserve">Our reading of the </w:t>
      </w:r>
      <w:proofErr w:type="spellStart"/>
      <w:r w:rsidRPr="00127FF1">
        <w:t>SRdoc</w:t>
      </w:r>
      <w:proofErr w:type="spellEnd"/>
      <w:r w:rsidRPr="00127FF1">
        <w:t xml:space="preserve"> implies additionally that if accepted, there would potentially be multiple DA2GC systems in operation on any given flight route in order to service different airlines or airline alliances. We therefore think that the sharing studies also need to consider scenarios where there are multiple operating DA2GC systems side by side, and that given the competition, the systems would have no coordination between themselves. </w:t>
      </w:r>
    </w:p>
    <w:p w:rsidR="00127FF1" w:rsidRPr="00127FF1" w:rsidRDefault="00127FF1" w:rsidP="00127FF1">
      <w:r w:rsidRPr="00127FF1">
        <w:t xml:space="preserve">In order to achieve the experience that wireless works in the 2.4 GHz band the industry has invested heavily in enabling interoperability between different Bluetooth platforms as well as coexisting with other technologies in the 2.4 GHz band such as WiFi. We are very concerned about the imbalance DA2GC would introduce in the now heavily used 2.4 GHz band. To maintain the balance in the intensively used 2.4 GHz band, the requirements such as maximum output power and the need for a polite sharing mechanism must be identical for all license exempt users of this band. No single license exempt application should be allowed to transmit at a higher power than others.  Although the proponents are planning to use directional antenna systems, the high </w:t>
      </w:r>
      <w:proofErr w:type="spellStart"/>
      <w:proofErr w:type="gramStart"/>
      <w:r w:rsidRPr="00127FF1">
        <w:t>Tx</w:t>
      </w:r>
      <w:proofErr w:type="spellEnd"/>
      <w:proofErr w:type="gramEnd"/>
      <w:r w:rsidRPr="00127FF1">
        <w:t xml:space="preserve"> power of the ground stations makes it extremely unlikely that there will not be cases in which the EIRP on the ground or in buildings will exceed the allowed levels.  DA2GC as presented in System Reference document 00311v007 cannot be considered a short range technology and therefore it simply does not belong together with Bluetooth, WiFi and other short range technologies using the 2.4 GHz licensed exempt spectrum. </w:t>
      </w:r>
    </w:p>
    <w:p w:rsidR="00127FF1" w:rsidRPr="00127FF1" w:rsidRDefault="00127FF1" w:rsidP="00127FF1">
      <w:r w:rsidRPr="00127FF1">
        <w:t>Market estimates indicate a growth potential for Bluetooth technology to realize annual shipments in 2016 in the range of 7 to 10 billion units. The expected growth will partly happen within already established markets such as automotive, consumer electronics and mobile phone but will also expand Bluetooth technology into emerging markets such as health and fitness, smart home, industrial and machine to machine. The economic value and growth potential that this represents, and will represent in the future, should not be put at risk by allowing an outdoor DA2GC network of high power base stations operating in license exempt spectrum such as the 2.4 GHz band and covering the whole European territory. Compared to what is put at risk, the economic value of DA2GC is very low.</w:t>
      </w:r>
    </w:p>
    <w:bookmarkEnd w:id="28"/>
    <w:bookmarkEnd w:id="29"/>
    <w:p w:rsidR="00127FF1" w:rsidRDefault="00127FF1" w:rsidP="00127FF1">
      <w:pPr>
        <w:rPr>
          <w:sz w:val="22"/>
          <w:szCs w:val="22"/>
        </w:rPr>
      </w:pPr>
      <w:r w:rsidRPr="00127FF1">
        <w:t>Unless DA2GC can comply with existing regulations including complying with the current transmission power limits (EIRP), medium utilization limits and the requirement to implement a sharing mechanism, the DA2GC systems shall not be accommodated in the 2.4 GHz band</w:t>
      </w:r>
      <w:r w:rsidRPr="00F6582D">
        <w:rPr>
          <w:sz w:val="22"/>
          <w:szCs w:val="22"/>
        </w:rPr>
        <w:t>.</w:t>
      </w:r>
    </w:p>
    <w:p w:rsidR="00D37E56" w:rsidRDefault="00D37E56" w:rsidP="00127FF1">
      <w:pPr>
        <w:rPr>
          <w:rStyle w:val="Guidance"/>
          <w:i w:val="0"/>
        </w:rPr>
      </w:pPr>
    </w:p>
    <w:p w:rsidR="00370FA0" w:rsidRPr="00897E9D" w:rsidRDefault="00180138" w:rsidP="00370FA0">
      <w:pPr>
        <w:jc w:val="both"/>
        <w:rPr>
          <w:rFonts w:ascii="Arial" w:hAnsi="Arial" w:cs="Arial"/>
          <w:color w:val="0070C0"/>
          <w:sz w:val="22"/>
          <w:szCs w:val="22"/>
        </w:rPr>
      </w:pPr>
      <w:r w:rsidRPr="00370FA0">
        <w:rPr>
          <w:rFonts w:ascii="Arial" w:hAnsi="Arial"/>
          <w:sz w:val="28"/>
        </w:rPr>
        <w:t>4.3</w:t>
      </w:r>
      <w:r w:rsidR="00127FF1" w:rsidRPr="00370FA0">
        <w:rPr>
          <w:rFonts w:ascii="Arial" w:hAnsi="Arial"/>
          <w:sz w:val="28"/>
        </w:rPr>
        <w:tab/>
        <w:t xml:space="preserve">Statement by </w:t>
      </w:r>
      <w:r w:rsidR="00370FA0" w:rsidRPr="00370FA0">
        <w:rPr>
          <w:rFonts w:ascii="Arial" w:hAnsi="Arial"/>
          <w:sz w:val="28"/>
        </w:rPr>
        <w:t>Federal Ministry for Transport, Innovation and</w:t>
      </w:r>
      <w:r w:rsidR="0066582F">
        <w:rPr>
          <w:rFonts w:ascii="Arial" w:hAnsi="Arial"/>
          <w:sz w:val="28"/>
        </w:rPr>
        <w:tab/>
      </w:r>
      <w:r w:rsidR="00370FA0" w:rsidRPr="00370FA0">
        <w:rPr>
          <w:rFonts w:ascii="Arial" w:hAnsi="Arial"/>
          <w:sz w:val="28"/>
        </w:rPr>
        <w:t>Technology</w:t>
      </w:r>
      <w:r w:rsidR="0066582F">
        <w:rPr>
          <w:rFonts w:ascii="Arial" w:hAnsi="Arial"/>
          <w:sz w:val="28"/>
        </w:rPr>
        <w:t xml:space="preserve"> </w:t>
      </w:r>
      <w:r w:rsidR="00370FA0" w:rsidRPr="00370FA0">
        <w:rPr>
          <w:rFonts w:ascii="Arial" w:hAnsi="Arial"/>
          <w:sz w:val="28"/>
        </w:rPr>
        <w:t>(AUSTRIA):</w:t>
      </w:r>
    </w:p>
    <w:p w:rsidR="00370FA0" w:rsidRPr="00370FA0" w:rsidRDefault="00370FA0" w:rsidP="00370FA0">
      <w:pPr>
        <w:pStyle w:val="Plain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The Federal Ministry for Transport, Innovation and Technology is of the opinion, that the description of the parameters for Broadband Direct-Air-to-Ground Communications System in TR 101 599 is too imprecise for a serious compatibility study. Severe impairments to other systems are expected. Therefore, an unlicensed operation in this band, as for Short Range Devices (SRD) with less than 25mW e.i.r.p., is impossible. </w:t>
      </w:r>
    </w:p>
    <w:p w:rsidR="00370FA0" w:rsidRPr="00370FA0" w:rsidRDefault="00370FA0" w:rsidP="00370FA0">
      <w:pPr>
        <w:pStyle w:val="PlainText"/>
        <w:jc w:val="both"/>
        <w:rPr>
          <w:rFonts w:ascii="Times New Roman" w:eastAsia="Times New Roman" w:hAnsi="Times New Roman"/>
          <w:sz w:val="20"/>
          <w:szCs w:val="20"/>
          <w:lang w:val="en-GB"/>
        </w:rPr>
      </w:pPr>
    </w:p>
    <w:p w:rsidR="00370FA0" w:rsidRPr="00370FA0" w:rsidRDefault="00370FA0" w:rsidP="00370FA0">
      <w:pPr>
        <w:pStyle w:val="Plain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TC BRAN is requested to consider additionally the following arguments in the further treatment of the TR 101 599:</w:t>
      </w:r>
    </w:p>
    <w:p w:rsidR="00370FA0" w:rsidRPr="00370FA0" w:rsidRDefault="00370FA0" w:rsidP="00370FA0">
      <w:pPr>
        <w:pStyle w:val="PlainText"/>
        <w:jc w:val="both"/>
        <w:rPr>
          <w:rFonts w:ascii="Times New Roman" w:eastAsia="Times New Roman" w:hAnsi="Times New Roman"/>
          <w:sz w:val="20"/>
          <w:szCs w:val="20"/>
          <w:lang w:val="en-GB"/>
        </w:rPr>
      </w:pPr>
    </w:p>
    <w:p w:rsidR="00370FA0" w:rsidRPr="00370FA0" w:rsidRDefault="00370FA0" w:rsidP="00E60EDB">
      <w:pPr>
        <w:pStyle w:val="PlainText"/>
        <w:tabs>
          <w:tab w:val="left" w:pos="426"/>
        </w:tabs>
        <w:ind w:left="426"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1) </w:t>
      </w:r>
      <w:r w:rsidR="00E60EDB">
        <w:rPr>
          <w:rFonts w:ascii="Times New Roman" w:eastAsia="Times New Roman" w:hAnsi="Times New Roman"/>
          <w:sz w:val="20"/>
          <w:szCs w:val="20"/>
          <w:lang w:val="en-GB"/>
        </w:rPr>
        <w:tab/>
      </w:r>
      <w:r w:rsidRPr="00370FA0">
        <w:rPr>
          <w:rFonts w:ascii="Times New Roman" w:eastAsia="Times New Roman" w:hAnsi="Times New Roman"/>
          <w:sz w:val="20"/>
          <w:szCs w:val="20"/>
          <w:lang w:val="en-GB"/>
        </w:rPr>
        <w:t xml:space="preserve">The CEPT/ECC “Compatibility analysis between DA2G and Systems in the Band 5850-5870 MHz” </w:t>
      </w:r>
      <w:proofErr w:type="gramStart"/>
      <w:r w:rsidRPr="00370FA0">
        <w:rPr>
          <w:rFonts w:ascii="Times New Roman" w:eastAsia="Times New Roman" w:hAnsi="Times New Roman"/>
          <w:sz w:val="20"/>
          <w:szCs w:val="20"/>
          <w:lang w:val="en-GB"/>
        </w:rPr>
        <w:t>FM48(</w:t>
      </w:r>
      <w:proofErr w:type="gramEnd"/>
      <w:r w:rsidRPr="00370FA0">
        <w:rPr>
          <w:rFonts w:ascii="Times New Roman" w:eastAsia="Times New Roman" w:hAnsi="Times New Roman"/>
          <w:sz w:val="20"/>
          <w:szCs w:val="20"/>
          <w:lang w:val="en-GB"/>
        </w:rPr>
        <w:t xml:space="preserve">11)038 uses obviously different transmit parameters than TR 101 599 and therefore the interference to other systems is strongly underestimated. Either </w:t>
      </w:r>
      <w:proofErr w:type="gramStart"/>
      <w:r w:rsidRPr="00370FA0">
        <w:rPr>
          <w:rFonts w:ascii="Times New Roman" w:eastAsia="Times New Roman" w:hAnsi="Times New Roman"/>
          <w:sz w:val="20"/>
          <w:szCs w:val="20"/>
          <w:lang w:val="en-GB"/>
        </w:rPr>
        <w:t>FM48(</w:t>
      </w:r>
      <w:proofErr w:type="gramEnd"/>
      <w:r w:rsidRPr="00370FA0">
        <w:rPr>
          <w:rFonts w:ascii="Times New Roman" w:eastAsia="Times New Roman" w:hAnsi="Times New Roman"/>
          <w:sz w:val="20"/>
          <w:szCs w:val="20"/>
          <w:lang w:val="en-GB"/>
        </w:rPr>
        <w:t>11)038 or TR 101 599 has to be updated.</w:t>
      </w:r>
    </w:p>
    <w:p w:rsidR="00370FA0" w:rsidRPr="00370FA0" w:rsidRDefault="00370FA0" w:rsidP="00E60EDB">
      <w:pPr>
        <w:pStyle w:val="PlainText"/>
        <w:tabs>
          <w:tab w:val="left" w:pos="426"/>
        </w:tabs>
        <w:ind w:left="426"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w:t>
      </w:r>
    </w:p>
    <w:p w:rsidR="00370FA0" w:rsidRPr="00370FA0" w:rsidRDefault="00370FA0" w:rsidP="00E60EDB">
      <w:pPr>
        <w:pStyle w:val="PlainText"/>
        <w:tabs>
          <w:tab w:val="left" w:pos="426"/>
        </w:tabs>
        <w:ind w:left="426"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2)</w:t>
      </w:r>
      <w:r w:rsidR="00E60EDB">
        <w:rPr>
          <w:rFonts w:ascii="Times New Roman" w:eastAsia="Times New Roman" w:hAnsi="Times New Roman"/>
          <w:sz w:val="20"/>
          <w:szCs w:val="20"/>
          <w:lang w:val="en-GB"/>
        </w:rPr>
        <w:tab/>
      </w:r>
      <w:r w:rsidRPr="00370FA0">
        <w:rPr>
          <w:rFonts w:ascii="Times New Roman" w:eastAsia="Times New Roman" w:hAnsi="Times New Roman"/>
          <w:sz w:val="20"/>
          <w:szCs w:val="20"/>
          <w:lang w:val="en-GB"/>
        </w:rPr>
        <w:t xml:space="preserve">Even the description of the transmit parameters for DA2G in TR 101 599 is too imprecise for a serious compatibility study, severe threads to other systems like </w:t>
      </w:r>
    </w:p>
    <w:p w:rsidR="00C60E44" w:rsidRDefault="00370FA0" w:rsidP="00E60EDB">
      <w:pPr>
        <w:pStyle w:val="PlainText"/>
        <w:numPr>
          <w:ilvl w:val="0"/>
          <w:numId w:val="6"/>
        </w:numPr>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DSRC road tolling, </w:t>
      </w:r>
      <w:r w:rsidR="00FE7222">
        <w:rPr>
          <w:rFonts w:ascii="Times New Roman" w:eastAsia="Times New Roman" w:hAnsi="Times New Roman"/>
          <w:sz w:val="20"/>
          <w:szCs w:val="20"/>
          <w:lang w:val="en-GB"/>
        </w:rPr>
        <w:t>as described in [1.17] and [i.18]</w:t>
      </w:r>
    </w:p>
    <w:p w:rsidR="00C60E44" w:rsidRDefault="00370FA0" w:rsidP="00E60EDB">
      <w:pPr>
        <w:pStyle w:val="PlainText"/>
        <w:numPr>
          <w:ilvl w:val="0"/>
          <w:numId w:val="6"/>
        </w:numPr>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ITS safety and non-safety communication</w:t>
      </w:r>
      <w:r w:rsidR="003A1DAE">
        <w:rPr>
          <w:rFonts w:ascii="Times New Roman" w:eastAsia="Times New Roman" w:hAnsi="Times New Roman"/>
          <w:sz w:val="20"/>
          <w:szCs w:val="20"/>
          <w:lang w:val="en-GB"/>
        </w:rPr>
        <w:t xml:space="preserve"> as described in [1.16]</w:t>
      </w:r>
      <w:r w:rsidRPr="00370FA0">
        <w:rPr>
          <w:rFonts w:ascii="Times New Roman" w:eastAsia="Times New Roman" w:hAnsi="Times New Roman"/>
          <w:sz w:val="20"/>
          <w:szCs w:val="20"/>
          <w:lang w:val="en-GB"/>
        </w:rPr>
        <w:t xml:space="preserve">, and </w:t>
      </w:r>
    </w:p>
    <w:p w:rsidR="00C60E44" w:rsidRDefault="00370FA0" w:rsidP="00E60EDB">
      <w:pPr>
        <w:pStyle w:val="PlainText"/>
        <w:numPr>
          <w:ilvl w:val="0"/>
          <w:numId w:val="6"/>
        </w:numPr>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radio location </w:t>
      </w:r>
    </w:p>
    <w:p w:rsidR="00370FA0" w:rsidRPr="00370FA0" w:rsidRDefault="00370FA0" w:rsidP="00E60EDB">
      <w:pPr>
        <w:pStyle w:val="PlainText"/>
        <w:tabs>
          <w:tab w:val="left" w:pos="426"/>
        </w:tabs>
        <w:ind w:left="852" w:hanging="426"/>
        <w:jc w:val="both"/>
        <w:rPr>
          <w:rFonts w:ascii="Times New Roman" w:eastAsia="Times New Roman" w:hAnsi="Times New Roman"/>
          <w:sz w:val="20"/>
          <w:szCs w:val="20"/>
          <w:lang w:val="en-GB"/>
        </w:rPr>
      </w:pPr>
      <w:proofErr w:type="gramStart"/>
      <w:r w:rsidRPr="00370FA0">
        <w:rPr>
          <w:rFonts w:ascii="Times New Roman" w:eastAsia="Times New Roman" w:hAnsi="Times New Roman"/>
          <w:sz w:val="20"/>
          <w:szCs w:val="20"/>
          <w:lang w:val="en-GB"/>
        </w:rPr>
        <w:t>are</w:t>
      </w:r>
      <w:proofErr w:type="gramEnd"/>
      <w:r w:rsidRPr="00370FA0">
        <w:rPr>
          <w:rFonts w:ascii="Times New Roman" w:eastAsia="Times New Roman" w:hAnsi="Times New Roman"/>
          <w:sz w:val="20"/>
          <w:szCs w:val="20"/>
          <w:lang w:val="en-GB"/>
        </w:rPr>
        <w:t xml:space="preserve"> expected. </w:t>
      </w:r>
    </w:p>
    <w:p w:rsidR="00370FA0" w:rsidRPr="00370FA0" w:rsidRDefault="00370FA0" w:rsidP="00370FA0">
      <w:pPr>
        <w:pStyle w:val="PlainText"/>
        <w:jc w:val="both"/>
        <w:rPr>
          <w:rFonts w:ascii="Times New Roman" w:eastAsia="Times New Roman" w:hAnsi="Times New Roman"/>
          <w:sz w:val="20"/>
          <w:szCs w:val="20"/>
          <w:lang w:val="en-GB"/>
        </w:rPr>
      </w:pPr>
    </w:p>
    <w:p w:rsidR="00370FA0" w:rsidRPr="00370FA0" w:rsidRDefault="00370FA0" w:rsidP="00370FA0">
      <w:pPr>
        <w:pStyle w:val="Plain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For a serious compatibility study following information is missing in TR 101 599 or has to be amended:</w:t>
      </w:r>
    </w:p>
    <w:p w:rsidR="00370FA0" w:rsidRDefault="00370FA0" w:rsidP="00370FA0">
      <w:pPr>
        <w:pStyle w:val="Plain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lastRenderedPageBreak/>
        <w:t>The reference to the frequency mask of unwanted and spurious emissions of BRAN is not applicable because of the different frequency band (in the BRAN standard the frequency is “hardcoded”), instead an adapted frequency mask must be given in TR 101 599.</w:t>
      </w:r>
    </w:p>
    <w:p w:rsidR="00D37E56" w:rsidRPr="00370FA0" w:rsidRDefault="00D37E56" w:rsidP="00370FA0">
      <w:pPr>
        <w:pStyle w:val="PlainText"/>
        <w:jc w:val="both"/>
        <w:rPr>
          <w:rFonts w:ascii="Times New Roman" w:eastAsia="Times New Roman" w:hAnsi="Times New Roman"/>
          <w:sz w:val="20"/>
          <w:szCs w:val="20"/>
          <w:lang w:val="en-GB"/>
        </w:rPr>
      </w:pPr>
    </w:p>
    <w:p w:rsidR="00180138" w:rsidRDefault="00370FA0" w:rsidP="00370FA0">
      <w:r w:rsidRPr="00370FA0">
        <w:t xml:space="preserve">From the compatibility point of view the elevation antenna diagram as shown in TR 101 599 for the ground station is not acceptable. The maximum EIRP and spectrum mask must be significantly lower in the horizontal plane to reduce risk for interfering to other radio services. Lower limits of maximum EIRP and spectrum mask must be defined for elevation angles </w:t>
      </w:r>
      <w:r w:rsidRPr="00370FA0">
        <w:noBreakHyphen/>
        <w:t>90° (down) and up to +20° elevation.</w:t>
      </w:r>
    </w:p>
    <w:p w:rsidR="00D37E56" w:rsidRPr="00370FA0" w:rsidRDefault="00D37E56" w:rsidP="00370FA0">
      <w:pPr>
        <w:rPr>
          <w:rStyle w:val="Guidance"/>
          <w:i w:val="0"/>
        </w:rPr>
      </w:pPr>
    </w:p>
    <w:p w:rsidR="00685707" w:rsidRPr="0066582F" w:rsidRDefault="00180138" w:rsidP="00914AA2">
      <w:pPr>
        <w:pStyle w:val="Default"/>
        <w:rPr>
          <w:rFonts w:cs="Times New Roman"/>
          <w:color w:val="auto"/>
          <w:sz w:val="28"/>
          <w:szCs w:val="20"/>
          <w:lang w:eastAsia="en-US"/>
        </w:rPr>
      </w:pPr>
      <w:r w:rsidRPr="0066582F">
        <w:rPr>
          <w:color w:val="auto"/>
          <w:sz w:val="28"/>
          <w:szCs w:val="20"/>
          <w:lang w:eastAsia="en-US"/>
        </w:rPr>
        <w:t>4.4</w:t>
      </w:r>
      <w:r w:rsidR="0066582F">
        <w:rPr>
          <w:rFonts w:cs="Times New Roman"/>
          <w:color w:val="auto"/>
          <w:sz w:val="28"/>
          <w:szCs w:val="20"/>
          <w:lang w:eastAsia="en-US"/>
        </w:rPr>
        <w:tab/>
      </w:r>
      <w:r w:rsidR="00914AA2" w:rsidRPr="0066582F">
        <w:rPr>
          <w:rFonts w:cs="Times New Roman"/>
          <w:color w:val="auto"/>
          <w:sz w:val="28"/>
          <w:szCs w:val="20"/>
          <w:lang w:eastAsia="en-US"/>
        </w:rPr>
        <w:t xml:space="preserve">Statement by Volkswagen </w:t>
      </w:r>
      <w:r w:rsidR="00685707" w:rsidRPr="0066582F">
        <w:rPr>
          <w:rFonts w:cs="Times New Roman"/>
          <w:color w:val="auto"/>
          <w:sz w:val="28"/>
          <w:szCs w:val="20"/>
          <w:lang w:eastAsia="en-US"/>
        </w:rPr>
        <w:t>AG</w:t>
      </w:r>
    </w:p>
    <w:p w:rsidR="00685707" w:rsidRDefault="00685707" w:rsidP="00914AA2">
      <w:pPr>
        <w:pStyle w:val="Default"/>
      </w:pPr>
    </w:p>
    <w:p w:rsidR="00685707" w:rsidRDefault="00914AA2" w:rsidP="00685707">
      <w:pPr>
        <w:pStyle w:val="PlainText"/>
        <w:jc w:val="both"/>
        <w:rPr>
          <w:rFonts w:ascii="Times New Roman" w:eastAsia="Times New Roman" w:hAnsi="Times New Roman"/>
          <w:sz w:val="20"/>
          <w:szCs w:val="20"/>
          <w:lang w:val="en-GB"/>
        </w:rPr>
      </w:pPr>
      <w:r w:rsidRPr="00685707">
        <w:rPr>
          <w:rFonts w:ascii="Times New Roman" w:eastAsia="Times New Roman" w:hAnsi="Times New Roman"/>
          <w:sz w:val="20"/>
          <w:szCs w:val="20"/>
          <w:lang w:val="en-GB"/>
        </w:rPr>
        <w:t>According to the supplied ETSI draft documentation (V 0.0.7_a.s.m (2011-12), the DA2GC-System is intended to work in the frequency range of: 5 855 MHz to 5 875 MHz</w:t>
      </w:r>
    </w:p>
    <w:p w:rsidR="00914AA2" w:rsidRPr="00685707" w:rsidRDefault="00914AA2" w:rsidP="00685707">
      <w:pPr>
        <w:pStyle w:val="PlainText"/>
        <w:jc w:val="both"/>
        <w:rPr>
          <w:rFonts w:ascii="Times New Roman" w:eastAsia="Times New Roman" w:hAnsi="Times New Roman"/>
          <w:sz w:val="20"/>
          <w:szCs w:val="20"/>
          <w:lang w:val="en-GB"/>
        </w:rPr>
      </w:pPr>
      <w:r w:rsidRPr="00685707">
        <w:rPr>
          <w:rFonts w:ascii="Times New Roman" w:eastAsia="Times New Roman" w:hAnsi="Times New Roman"/>
          <w:sz w:val="20"/>
          <w:szCs w:val="20"/>
          <w:lang w:val="en-GB"/>
        </w:rPr>
        <w:t xml:space="preserve">. </w:t>
      </w:r>
    </w:p>
    <w:p w:rsidR="00914AA2" w:rsidRPr="00685707" w:rsidRDefault="00914AA2" w:rsidP="00685707">
      <w:pPr>
        <w:pStyle w:val="PlainText"/>
        <w:jc w:val="both"/>
        <w:rPr>
          <w:rFonts w:ascii="Times New Roman" w:eastAsia="Times New Roman" w:hAnsi="Times New Roman"/>
          <w:sz w:val="20"/>
          <w:szCs w:val="20"/>
          <w:lang w:val="en-GB"/>
        </w:rPr>
      </w:pPr>
      <w:r w:rsidRPr="00685707">
        <w:rPr>
          <w:rFonts w:ascii="Times New Roman" w:eastAsia="Times New Roman" w:hAnsi="Times New Roman"/>
          <w:sz w:val="20"/>
          <w:szCs w:val="20"/>
          <w:lang w:val="en-GB"/>
        </w:rPr>
        <w:t>This portion of frequency spectrum is reserved for non-safety ITS- applications in Europe. (</w:t>
      </w:r>
      <w:proofErr w:type="gramStart"/>
      <w:r w:rsidRPr="00685707">
        <w:rPr>
          <w:rFonts w:ascii="Times New Roman" w:eastAsia="Times New Roman" w:hAnsi="Times New Roman"/>
          <w:sz w:val="20"/>
          <w:szCs w:val="20"/>
          <w:lang w:val="en-GB"/>
        </w:rPr>
        <w:t>see</w:t>
      </w:r>
      <w:proofErr w:type="gramEnd"/>
      <w:r w:rsidRPr="00685707">
        <w:rPr>
          <w:rFonts w:ascii="Times New Roman" w:eastAsia="Times New Roman" w:hAnsi="Times New Roman"/>
          <w:sz w:val="20"/>
          <w:szCs w:val="20"/>
          <w:lang w:val="en-GB"/>
        </w:rPr>
        <w:t xml:space="preserve"> frequency- allocation and</w:t>
      </w:r>
      <w:r w:rsidR="00685707" w:rsidRPr="00685707">
        <w:rPr>
          <w:rFonts w:ascii="Times New Roman" w:eastAsia="Times New Roman" w:hAnsi="Times New Roman"/>
          <w:sz w:val="20"/>
          <w:szCs w:val="20"/>
          <w:lang w:val="en-GB"/>
        </w:rPr>
        <w:t xml:space="preserve"> spectral emission mask below).</w:t>
      </w:r>
    </w:p>
    <w:p w:rsidR="00685707" w:rsidRDefault="00685707" w:rsidP="00914AA2">
      <w:pPr>
        <w:pStyle w:val="Default"/>
        <w:rPr>
          <w:sz w:val="20"/>
          <w:szCs w:val="20"/>
        </w:rPr>
      </w:pPr>
    </w:p>
    <w:p w:rsidR="00685707" w:rsidRDefault="00E60EDB" w:rsidP="00914AA2">
      <w:pPr>
        <w:pStyle w:val="Default"/>
        <w:rPr>
          <w:sz w:val="20"/>
          <w:szCs w:val="20"/>
        </w:rPr>
      </w:pPr>
      <w:r>
        <w:rPr>
          <w:noProof/>
          <w:sz w:val="20"/>
          <w:szCs w:val="20"/>
        </w:rPr>
        <w:drawing>
          <wp:inline distT="0" distB="0" distL="0" distR="0">
            <wp:extent cx="6057265" cy="3225800"/>
            <wp:effectExtent l="1905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6057265" cy="3225800"/>
                    </a:xfrm>
                    <a:prstGeom prst="rect">
                      <a:avLst/>
                    </a:prstGeom>
                    <a:noFill/>
                    <a:ln w="9525">
                      <a:noFill/>
                      <a:miter lim="800000"/>
                      <a:headEnd/>
                      <a:tailEnd/>
                    </a:ln>
                  </pic:spPr>
                </pic:pic>
              </a:graphicData>
            </a:graphic>
          </wp:inline>
        </w:drawing>
      </w:r>
    </w:p>
    <w:p w:rsidR="00685707" w:rsidRDefault="00685707" w:rsidP="00914AA2">
      <w:pPr>
        <w:pStyle w:val="Default"/>
        <w:rPr>
          <w:sz w:val="20"/>
          <w:szCs w:val="20"/>
        </w:rPr>
      </w:pPr>
    </w:p>
    <w:p w:rsidR="00685707" w:rsidRPr="008C43AA" w:rsidRDefault="00914AA2" w:rsidP="008C43AA">
      <w:r w:rsidRPr="008C43AA">
        <w:t>Apart of inter-operability issues of the two systems regarding mutual interference, spurious emission masks, co-channel suppression, system-blocking, the question is which service will be the “primary” service, and which the “secondary” service. Usually the secondary service has to deal with distortions from the primary service.</w:t>
      </w:r>
    </w:p>
    <w:p w:rsidR="00685707" w:rsidRPr="008C43AA" w:rsidRDefault="00914AA2" w:rsidP="008C43AA">
      <w:r w:rsidRPr="008C43AA">
        <w:t xml:space="preserve"> According to our opinion, and based to the focus of introduction of ITS- services in the near future to improve car safety and driver-assistance, at least the following topics have to be discussed in ETSI and frequency- allocation boards:</w:t>
      </w:r>
    </w:p>
    <w:p w:rsidR="00914AA2" w:rsidRPr="008C43AA" w:rsidRDefault="00914AA2" w:rsidP="008C43AA">
      <w:pPr>
        <w:rPr>
          <w:b/>
        </w:rPr>
      </w:pPr>
      <w:r w:rsidRPr="008C43AA">
        <w:rPr>
          <w:b/>
        </w:rPr>
        <w:t xml:space="preserve">System-Interoperability with ITS-G5: </w:t>
      </w:r>
    </w:p>
    <w:p w:rsidR="00C60E44" w:rsidRPr="008C43AA" w:rsidRDefault="00914AA2" w:rsidP="008C43AA">
      <w:pPr>
        <w:pStyle w:val="ListParagraph"/>
        <w:numPr>
          <w:ilvl w:val="0"/>
          <w:numId w:val="8"/>
        </w:numPr>
      </w:pPr>
      <w:r w:rsidRPr="008C43AA">
        <w:t xml:space="preserve">Spurious emission must be compatible with ITS-G5 (in band, and out of band), (see spectral emission mask above). </w:t>
      </w:r>
    </w:p>
    <w:p w:rsidR="00C60E44" w:rsidRPr="008C43AA" w:rsidRDefault="00914AA2" w:rsidP="008C43AA">
      <w:pPr>
        <w:pStyle w:val="ListParagraph"/>
        <w:numPr>
          <w:ilvl w:val="0"/>
          <w:numId w:val="8"/>
        </w:numPr>
      </w:pPr>
      <w:r w:rsidRPr="008C43AA">
        <w:t xml:space="preserve">Adjacent channel rejection regarding ITS-G5 channels </w:t>
      </w:r>
    </w:p>
    <w:p w:rsidR="00C60E44" w:rsidRPr="008C43AA" w:rsidRDefault="00914AA2" w:rsidP="008C43AA">
      <w:pPr>
        <w:pStyle w:val="ListParagraph"/>
        <w:numPr>
          <w:ilvl w:val="0"/>
          <w:numId w:val="8"/>
        </w:numPr>
      </w:pPr>
      <w:r w:rsidRPr="008C43AA">
        <w:t xml:space="preserve">System blocking for the two systems </w:t>
      </w:r>
    </w:p>
    <w:p w:rsidR="00C60E44" w:rsidRPr="008C43AA" w:rsidRDefault="00914AA2" w:rsidP="008C43AA">
      <w:pPr>
        <w:pStyle w:val="ListParagraph"/>
        <w:numPr>
          <w:ilvl w:val="0"/>
          <w:numId w:val="8"/>
        </w:numPr>
      </w:pPr>
      <w:r w:rsidRPr="008C43AA">
        <w:t xml:space="preserve">Mutual interference for ITS- System in case of simultaneously operation with surrounding DA2CG-System, proof of fully tolerable interoperability </w:t>
      </w:r>
    </w:p>
    <w:p w:rsidR="00C60E44" w:rsidRPr="008C43AA" w:rsidRDefault="00914AA2" w:rsidP="008C43AA">
      <w:pPr>
        <w:pStyle w:val="ListParagraph"/>
        <w:numPr>
          <w:ilvl w:val="0"/>
          <w:numId w:val="8"/>
        </w:numPr>
      </w:pPr>
      <w:r w:rsidRPr="008C43AA">
        <w:t xml:space="preserve">Degradation in quality of Service regarding packet- and bit error-rate </w:t>
      </w:r>
    </w:p>
    <w:p w:rsidR="00C60E44" w:rsidRPr="008C43AA" w:rsidRDefault="00914AA2" w:rsidP="008C43AA">
      <w:pPr>
        <w:pStyle w:val="ListParagraph"/>
        <w:numPr>
          <w:ilvl w:val="0"/>
          <w:numId w:val="8"/>
        </w:numPr>
      </w:pPr>
      <w:r w:rsidRPr="008C43AA">
        <w:t xml:space="preserve">...to be continued... </w:t>
      </w:r>
    </w:p>
    <w:p w:rsidR="00C60E44" w:rsidRPr="008C43AA" w:rsidRDefault="00914AA2" w:rsidP="008C43AA">
      <w:r w:rsidRPr="008C43AA">
        <w:t xml:space="preserve">.... </w:t>
      </w:r>
    </w:p>
    <w:p w:rsidR="00685707" w:rsidRPr="008C43AA" w:rsidRDefault="00914AA2" w:rsidP="008C43AA">
      <w:pPr>
        <w:rPr>
          <w:b/>
        </w:rPr>
      </w:pPr>
      <w:r w:rsidRPr="008C43AA">
        <w:rPr>
          <w:b/>
        </w:rPr>
        <w:lastRenderedPageBreak/>
        <w:t>Frequency- allocation:</w:t>
      </w:r>
    </w:p>
    <w:p w:rsidR="00C60E44" w:rsidRPr="008C43AA" w:rsidRDefault="00914AA2" w:rsidP="008C43AA">
      <w:pPr>
        <w:pStyle w:val="ListParagraph"/>
        <w:numPr>
          <w:ilvl w:val="0"/>
          <w:numId w:val="9"/>
        </w:numPr>
      </w:pPr>
      <w:r w:rsidRPr="008C43AA">
        <w:t xml:space="preserve">5 855 MHz to 5 875 MHz is intended to use for ITS-G5 non- safety applications in Europe, and used in USA as 20MHz spectrum for the so called service- Channels </w:t>
      </w:r>
    </w:p>
    <w:p w:rsidR="00C60E44" w:rsidRPr="008C43AA" w:rsidRDefault="00914AA2" w:rsidP="008C43AA">
      <w:pPr>
        <w:pStyle w:val="ListParagraph"/>
        <w:numPr>
          <w:ilvl w:val="0"/>
          <w:numId w:val="9"/>
        </w:numPr>
      </w:pPr>
      <w:r w:rsidRPr="008C43AA">
        <w:t xml:space="preserve">Band is not ISM, but reserved for Car2Car and Car2Infrastructure wireless applications. </w:t>
      </w:r>
    </w:p>
    <w:p w:rsidR="00C60E44" w:rsidRPr="008C43AA" w:rsidRDefault="00914AA2" w:rsidP="008C43AA">
      <w:pPr>
        <w:pStyle w:val="ListParagraph"/>
        <w:numPr>
          <w:ilvl w:val="0"/>
          <w:numId w:val="9"/>
        </w:numPr>
      </w:pPr>
      <w:r w:rsidRPr="008C43AA">
        <w:t xml:space="preserve">In case of system co-existence: Definition of primary and secondary service is mandatory. </w:t>
      </w:r>
    </w:p>
    <w:p w:rsidR="00C60E44" w:rsidRPr="008C43AA" w:rsidRDefault="00914AA2" w:rsidP="008C43AA">
      <w:pPr>
        <w:pStyle w:val="ListParagraph"/>
        <w:numPr>
          <w:ilvl w:val="0"/>
          <w:numId w:val="9"/>
        </w:numPr>
      </w:pPr>
      <w:r w:rsidRPr="008C43AA">
        <w:t xml:space="preserve">International harmonisation of frequency- allocation and applied services. </w:t>
      </w:r>
    </w:p>
    <w:p w:rsidR="00914AA2" w:rsidRPr="008C43AA" w:rsidRDefault="00914AA2" w:rsidP="008C43AA">
      <w:pPr>
        <w:rPr>
          <w:b/>
        </w:rPr>
      </w:pPr>
      <w:r w:rsidRPr="008C43AA">
        <w:rPr>
          <w:b/>
        </w:rPr>
        <w:t xml:space="preserve">Radiation- Pattern of Ground-Stations: </w:t>
      </w:r>
    </w:p>
    <w:p w:rsidR="00C60E44" w:rsidRPr="008C43AA" w:rsidRDefault="00914AA2" w:rsidP="008C43AA">
      <w:pPr>
        <w:pStyle w:val="ListParagraph"/>
        <w:numPr>
          <w:ilvl w:val="0"/>
          <w:numId w:val="10"/>
        </w:numPr>
      </w:pPr>
      <w:r w:rsidRPr="008C43AA">
        <w:t xml:space="preserve">Definition of horizontal and elevation antenna pattern for the foreseen antenna-array configurations of the ground-stations. </w:t>
      </w:r>
    </w:p>
    <w:p w:rsidR="00C60E44" w:rsidRPr="008C43AA" w:rsidRDefault="00914AA2" w:rsidP="008C43AA">
      <w:pPr>
        <w:pStyle w:val="ListParagraph"/>
        <w:numPr>
          <w:ilvl w:val="0"/>
          <w:numId w:val="10"/>
        </w:numPr>
      </w:pPr>
      <w:r w:rsidRPr="008C43AA">
        <w:t xml:space="preserve">According to ETSI draft document, the max. Peak Ant. Gain is up to 23dB, leading to </w:t>
      </w:r>
      <w:proofErr w:type="gramStart"/>
      <w:r w:rsidRPr="008C43AA">
        <w:t>a</w:t>
      </w:r>
      <w:proofErr w:type="gramEnd"/>
      <w:r w:rsidRPr="008C43AA">
        <w:t xml:space="preserve"> EIRP in main beam direction of 45(48) dBm. The antenna-radiation beams of the ground station must not hit any road or infrastructure equipment in near vicinity to avoid mal functions of the ITS- G5 System. (commitment on the technical parameters listed above) </w:t>
      </w:r>
    </w:p>
    <w:p w:rsidR="00C60E44" w:rsidRPr="008C43AA" w:rsidRDefault="00914AA2" w:rsidP="008C43AA">
      <w:pPr>
        <w:pStyle w:val="ListParagraph"/>
        <w:numPr>
          <w:ilvl w:val="0"/>
          <w:numId w:val="10"/>
        </w:numPr>
      </w:pPr>
      <w:r w:rsidRPr="008C43AA">
        <w:t xml:space="preserve">Specification of 3D antenna- array radiation pattern is missing </w:t>
      </w:r>
    </w:p>
    <w:p w:rsidR="00685707" w:rsidRPr="008C43AA" w:rsidRDefault="00914AA2" w:rsidP="008C43AA">
      <w:pPr>
        <w:rPr>
          <w:b/>
        </w:rPr>
      </w:pPr>
      <w:r w:rsidRPr="008C43AA">
        <w:rPr>
          <w:b/>
        </w:rPr>
        <w:t>System operational issues of DA2GC-System:</w:t>
      </w:r>
    </w:p>
    <w:p w:rsidR="00C60E44" w:rsidRPr="008C43AA" w:rsidRDefault="00914AA2" w:rsidP="008C43AA">
      <w:pPr>
        <w:pStyle w:val="ListParagraph"/>
        <w:numPr>
          <w:ilvl w:val="0"/>
          <w:numId w:val="11"/>
        </w:numPr>
      </w:pPr>
      <w:r w:rsidRPr="008C43AA">
        <w:t xml:space="preserve">The use-case of the DA2GCS is not specified at all. E.g. is it allowed to use infotainment services of the DA2GC system during take-off and landing phase? </w:t>
      </w:r>
    </w:p>
    <w:p w:rsidR="00C60E44" w:rsidRPr="008C43AA" w:rsidRDefault="00914AA2" w:rsidP="008C43AA">
      <w:pPr>
        <w:pStyle w:val="ListParagraph"/>
        <w:numPr>
          <w:ilvl w:val="0"/>
          <w:numId w:val="11"/>
        </w:numPr>
      </w:pPr>
      <w:r w:rsidRPr="008C43AA">
        <w:t xml:space="preserve">Which services are foreseen for in band data and control issues (e.g. </w:t>
      </w:r>
      <w:proofErr w:type="spellStart"/>
      <w:r w:rsidRPr="008C43AA">
        <w:t>telematic</w:t>
      </w:r>
      <w:proofErr w:type="spellEnd"/>
      <w:r w:rsidRPr="008C43AA">
        <w:t xml:space="preserve"> &amp; data-services and flight safety and control?, are this services then intended to be active during take-off and landing (at low beam-elevation)? </w:t>
      </w:r>
    </w:p>
    <w:p w:rsidR="00914AA2" w:rsidRDefault="00914AA2" w:rsidP="00914AA2">
      <w:pPr>
        <w:pStyle w:val="Default"/>
        <w:rPr>
          <w:sz w:val="20"/>
          <w:szCs w:val="20"/>
        </w:rPr>
      </w:pPr>
    </w:p>
    <w:p w:rsidR="004A6009" w:rsidRDefault="004A6009" w:rsidP="003F6075">
      <w:pPr>
        <w:pStyle w:val="Heading1"/>
      </w:pPr>
      <w:bookmarkStart w:id="30" w:name="_Toc233514044"/>
      <w:r>
        <w:t>5</w:t>
      </w:r>
      <w:r w:rsidRPr="003F6075">
        <w:tab/>
      </w:r>
      <w:r>
        <w:t>Presentation of the system or technology</w:t>
      </w:r>
      <w:bookmarkEnd w:id="30"/>
    </w:p>
    <w:p w:rsidR="002E6CCE" w:rsidRDefault="004A6009" w:rsidP="005A4E96">
      <w:pPr>
        <w:pStyle w:val="B10"/>
        <w:ind w:left="0" w:firstLine="0"/>
      </w:pPr>
      <w:r>
        <w:t>The described broadband DA2G system</w:t>
      </w:r>
      <w:r w:rsidR="000E116D">
        <w:t xml:space="preserve"> is intended to provide broadband connectivity between an aircraft and the ground, to enable provision of services to passengers on board (e.g. e-mail, web browsing, infotainment, etc.)</w:t>
      </w:r>
      <w:r>
        <w:t xml:space="preserve">.   The overall system connectivity </w:t>
      </w:r>
      <w:r w:rsidR="00653F6E">
        <w:t xml:space="preserve">also </w:t>
      </w:r>
      <w:r>
        <w:t xml:space="preserve">enables the facility to provide </w:t>
      </w:r>
      <w:r w:rsidR="00653F6E">
        <w:t xml:space="preserve">non-safety relevant </w:t>
      </w:r>
      <w:r w:rsidR="00D37E56">
        <w:t>a</w:t>
      </w:r>
      <w:r w:rsidR="00653F6E">
        <w:t xml:space="preserve">irline </w:t>
      </w:r>
      <w:r w:rsidR="00D37E56">
        <w:t>i</w:t>
      </w:r>
      <w:r w:rsidR="00653F6E">
        <w:t xml:space="preserve">nformation </w:t>
      </w:r>
      <w:proofErr w:type="gramStart"/>
      <w:r>
        <w:t>services  whilst</w:t>
      </w:r>
      <w:proofErr w:type="gramEnd"/>
      <w:r>
        <w:t xml:space="preserve"> maintaining complete isolation between </w:t>
      </w:r>
      <w:r w:rsidR="00653F6E">
        <w:t xml:space="preserve">such data and </w:t>
      </w:r>
      <w:r>
        <w:t>the various internet and infotainment services available to passengers in the aircraft cabin.</w:t>
      </w:r>
    </w:p>
    <w:p w:rsidR="00697C28" w:rsidRDefault="00697C28" w:rsidP="005A4E96">
      <w:pPr>
        <w:pStyle w:val="B10"/>
        <w:ind w:left="0" w:firstLine="0"/>
      </w:pPr>
      <w:r>
        <w:t>The system is designed to enable consideration of the option for licence-exempt or lightly licensed operation in the 2</w:t>
      </w:r>
      <w:proofErr w:type="gramStart"/>
      <w:r>
        <w:t>,4</w:t>
      </w:r>
      <w:proofErr w:type="gramEnd"/>
      <w:r>
        <w:t xml:space="preserve"> GHz and/or 5,8 GHz bands.  </w:t>
      </w:r>
      <w:r w:rsidR="004A6009">
        <w:t xml:space="preserve">From a frequency sharing perspective, </w:t>
      </w:r>
      <w:r>
        <w:t>an</w:t>
      </w:r>
      <w:r w:rsidR="004A6009">
        <w:t xml:space="preserve"> important feature of the described system is the use of four sectors at the ground station, with each sector having at least eight phased array beamforming antennas (i.e. eight elements per quadrant) and an array of digitally controlled antenna elements connected to the aircraft radio, which are mounted on the underside of the airframe in order to constitute an adaptive array.</w:t>
      </w:r>
    </w:p>
    <w:p w:rsidR="004A6009" w:rsidRDefault="004A6009" w:rsidP="005A4E96">
      <w:pPr>
        <w:pStyle w:val="B10"/>
        <w:ind w:left="0" w:firstLine="0"/>
      </w:pPr>
      <w:r>
        <w:t xml:space="preserve">The use of beamforming permits the production of shaped and dynamically steerable beams in both the forward link (ground-to-air) and reverse link (air-to-ground) directions,  thereby enabling the desired system performance objectives to be maintained as the aircraft traverses its route whilst, at the same time, minimising interference into other co-frequency systems.  This is achieved through the benefits of tailored radiation patterns which can be optimised to reduce interference and allow operation at lower transmit powers (on the ground and in the air) than would otherwise be necessary if more conventional fixed antennas were deployed.  </w:t>
      </w:r>
    </w:p>
    <w:p w:rsidR="004A6009" w:rsidRPr="00436025" w:rsidRDefault="004A6009" w:rsidP="005A4E96">
      <w:pPr>
        <w:pStyle w:val="B10"/>
        <w:ind w:left="0" w:firstLine="0"/>
      </w:pPr>
      <w:r>
        <w:t>In respect of</w:t>
      </w:r>
      <w:r w:rsidRPr="00DF23E5">
        <w:t xml:space="preserve"> </w:t>
      </w:r>
      <w:r>
        <w:t>the underlying modulation and coding schemes used, etc., the system has much in common with other existing and proposed mobile broadband backhaul technologies, as described more fully in Clause 7.</w:t>
      </w:r>
    </w:p>
    <w:p w:rsidR="004A6009" w:rsidRPr="00DC236E" w:rsidRDefault="004A6009" w:rsidP="00DB37EA">
      <w:pPr>
        <w:pStyle w:val="Heading1"/>
      </w:pPr>
      <w:bookmarkStart w:id="31" w:name="_Toc233514045"/>
      <w:r>
        <w:t>6</w:t>
      </w:r>
      <w:r>
        <w:tab/>
      </w:r>
      <w:r w:rsidRPr="00DC236E">
        <w:t>Market information</w:t>
      </w:r>
      <w:bookmarkEnd w:id="31"/>
    </w:p>
    <w:p w:rsidR="004A6009" w:rsidRDefault="004A6009" w:rsidP="006A535B">
      <w:pPr>
        <w:rPr>
          <w:rStyle w:val="Guidance"/>
          <w:i w:val="0"/>
          <w:color w:val="auto"/>
        </w:rPr>
      </w:pPr>
      <w:r>
        <w:rPr>
          <w:rStyle w:val="Guidance"/>
          <w:i w:val="0"/>
          <w:color w:val="auto"/>
        </w:rPr>
        <w:t>The potential market for air passenger communications was examined when developing a previous System Reference Document Broadband DA2G Communications [i.4].  This showed that there was an increasing expectation amongst airline passengers to be able to access the internet from their own mobile devices during flight, provided that the pricing of the services was sufficiently attractive.  A Direct Air-to-Ground system would enable lower transmission costs per megabyte per aircraft than existing satellite-based backhaul alternatives.  Furthermore, European air traffic densities (and hence addressable passenger numbers per year) were forecast to continue to increase in coming years, leading to ever higher numbers of potential customers for in-flight broadband services.</w:t>
      </w:r>
    </w:p>
    <w:p w:rsidR="004A6009" w:rsidRPr="00F42545" w:rsidRDefault="004A6009" w:rsidP="00F42545">
      <w:pPr>
        <w:jc w:val="both"/>
        <w:rPr>
          <w:rStyle w:val="Guidance"/>
          <w:i w:val="0"/>
          <w:color w:val="auto"/>
        </w:rPr>
      </w:pPr>
      <w:r>
        <w:rPr>
          <w:rStyle w:val="Guidance"/>
          <w:i w:val="0"/>
          <w:color w:val="auto"/>
        </w:rPr>
        <w:lastRenderedPageBreak/>
        <w:t xml:space="preserve">Subsequently, the ECC has determined the necessary spectrum bandwidth for such systems based, in part, on additional and updated market information as presented in [i.9]. This document includes an illustration of the rapid growth in mobile data traffic across a range of mobile applications, taken from the well publicised Cisco Visual Networking Index, which is updated on an annual basis.  In the referenced 2011 Cisco report, cumulative annual traffic growth rates of 92 % were forecast for the five year period from 2010 to 2015.  The document [i.9] also refers to </w:t>
      </w:r>
      <w:r w:rsidRPr="00F42545">
        <w:rPr>
          <w:rStyle w:val="Guidance"/>
          <w:i w:val="0"/>
          <w:color w:val="auto"/>
        </w:rPr>
        <w:t xml:space="preserve">information about customers and data rates published by the different aircraft connectivity operators </w:t>
      </w:r>
      <w:r>
        <w:rPr>
          <w:rStyle w:val="Guidance"/>
          <w:i w:val="0"/>
          <w:color w:val="auto"/>
        </w:rPr>
        <w:t xml:space="preserve">which </w:t>
      </w:r>
      <w:r w:rsidRPr="00F42545">
        <w:rPr>
          <w:rStyle w:val="Guidance"/>
          <w:i w:val="0"/>
          <w:color w:val="auto"/>
        </w:rPr>
        <w:t xml:space="preserve">demonstrate the increasing </w:t>
      </w:r>
      <w:r>
        <w:rPr>
          <w:rStyle w:val="Guidance"/>
          <w:i w:val="0"/>
          <w:color w:val="auto"/>
        </w:rPr>
        <w:t>utilis</w:t>
      </w:r>
      <w:r w:rsidRPr="00F42545">
        <w:rPr>
          <w:rStyle w:val="Guidance"/>
          <w:i w:val="0"/>
          <w:color w:val="auto"/>
        </w:rPr>
        <w:t xml:space="preserve">ation of their </w:t>
      </w:r>
      <w:r>
        <w:rPr>
          <w:rStyle w:val="Guidance"/>
          <w:i w:val="0"/>
          <w:color w:val="auto"/>
        </w:rPr>
        <w:t xml:space="preserve">respective </w:t>
      </w:r>
      <w:r w:rsidRPr="00F42545">
        <w:rPr>
          <w:rStyle w:val="Guidance"/>
          <w:i w:val="0"/>
          <w:color w:val="auto"/>
        </w:rPr>
        <w:t xml:space="preserve">GSMOBA and/or WiFi services during </w:t>
      </w:r>
      <w:r>
        <w:rPr>
          <w:rStyle w:val="Guidance"/>
          <w:i w:val="0"/>
          <w:color w:val="auto"/>
        </w:rPr>
        <w:t xml:space="preserve">recent </w:t>
      </w:r>
      <w:r w:rsidRPr="00F42545">
        <w:rPr>
          <w:rStyle w:val="Guidance"/>
          <w:i w:val="0"/>
          <w:color w:val="auto"/>
        </w:rPr>
        <w:t>years</w:t>
      </w:r>
      <w:r>
        <w:rPr>
          <w:rStyle w:val="Guidance"/>
          <w:i w:val="0"/>
          <w:color w:val="auto"/>
        </w:rPr>
        <w:t>.</w:t>
      </w:r>
    </w:p>
    <w:p w:rsidR="004A6009" w:rsidRPr="00AA06BF" w:rsidRDefault="004A6009" w:rsidP="00F42545">
      <w:pPr>
        <w:rPr>
          <w:rStyle w:val="Guidance"/>
          <w:color w:val="auto"/>
        </w:rPr>
      </w:pPr>
      <w:r>
        <w:rPr>
          <w:rStyle w:val="Guidance"/>
          <w:i w:val="0"/>
          <w:color w:val="auto"/>
        </w:rPr>
        <w:t xml:space="preserve">For the DA2G communications system described in the current document the addressable markets for the intended services are broadly similar.  </w:t>
      </w:r>
    </w:p>
    <w:p w:rsidR="004A6009" w:rsidRPr="00FB1466" w:rsidRDefault="004A6009" w:rsidP="00AE2755">
      <w:pPr>
        <w:pStyle w:val="Heading1"/>
      </w:pPr>
      <w:bookmarkStart w:id="32" w:name="_Toc233514046"/>
      <w:r>
        <w:t>7</w:t>
      </w:r>
      <w:r>
        <w:tab/>
        <w:t>T</w:t>
      </w:r>
      <w:r w:rsidRPr="00FB1466">
        <w:t>echnical information</w:t>
      </w:r>
      <w:bookmarkEnd w:id="32"/>
    </w:p>
    <w:p w:rsidR="004A6009" w:rsidRPr="004939F7" w:rsidRDefault="004A6009" w:rsidP="00AE2755">
      <w:pPr>
        <w:keepNext/>
        <w:rPr>
          <w:rStyle w:val="Guidance"/>
          <w:color w:val="auto"/>
        </w:rPr>
      </w:pPr>
    </w:p>
    <w:p w:rsidR="004A6009" w:rsidRPr="00FB1466" w:rsidRDefault="004A6009" w:rsidP="00AE2755">
      <w:pPr>
        <w:pStyle w:val="Heading2"/>
      </w:pPr>
      <w:bookmarkStart w:id="33" w:name="_Toc233514047"/>
      <w:r>
        <w:t>7.1</w:t>
      </w:r>
      <w:r w:rsidRPr="00FB1466">
        <w:tab/>
        <w:t>Detailed technical description</w:t>
      </w:r>
      <w:bookmarkEnd w:id="33"/>
    </w:p>
    <w:p w:rsidR="004A6009" w:rsidRPr="00386CB4" w:rsidRDefault="004A6009" w:rsidP="00F20633">
      <w:pPr>
        <w:rPr>
          <w:lang w:val="en-US"/>
        </w:rPr>
      </w:pPr>
      <w:bookmarkStart w:id="34" w:name="_Toc233514048"/>
      <w:r w:rsidRPr="00386CB4">
        <w:rPr>
          <w:lang w:val="en-US"/>
        </w:rPr>
        <w:t xml:space="preserve">The broadband DA2G system is designed to provide bi-directional ground-to-aircraft connectivity as part of an overall broadband communications system which will offer a variety of IP-based applications for the use of passengers as well as </w:t>
      </w:r>
      <w:r w:rsidR="000D1797">
        <w:rPr>
          <w:lang w:val="en-US"/>
        </w:rPr>
        <w:t>a</w:t>
      </w:r>
      <w:r>
        <w:rPr>
          <w:lang w:val="en-US"/>
        </w:rPr>
        <w:t xml:space="preserve">irline information </w:t>
      </w:r>
      <w:r w:rsidRPr="00386CB4">
        <w:rPr>
          <w:lang w:val="en-US"/>
        </w:rPr>
        <w:t>(non-safety) data.</w:t>
      </w:r>
    </w:p>
    <w:p w:rsidR="004A6009" w:rsidRDefault="004A6009" w:rsidP="00F20633">
      <w:pPr>
        <w:rPr>
          <w:sz w:val="22"/>
          <w:szCs w:val="22"/>
          <w:lang w:val="en-US"/>
        </w:rPr>
      </w:pPr>
      <w:r w:rsidRPr="00386CB4">
        <w:rPr>
          <w:lang w:val="en-US"/>
        </w:rPr>
        <w:t>Figure 1 gives a high-level overview of how the DA2G system fits within the end-to-end system architecture.  The elements which are the subject of this SRD</w:t>
      </w:r>
      <w:r>
        <w:rPr>
          <w:lang w:val="en-US"/>
        </w:rPr>
        <w:t>oc</w:t>
      </w:r>
      <w:r w:rsidRPr="00386CB4">
        <w:rPr>
          <w:lang w:val="en-US"/>
        </w:rPr>
        <w:t xml:space="preserve"> are </w:t>
      </w:r>
      <w:r>
        <w:rPr>
          <w:lang w:val="en-US"/>
        </w:rPr>
        <w:t>those elements which provide connectivity between the Air Network and the Ground Network, including the Air Station and Wireless Base Station shown in the top left hand corner of the figure</w:t>
      </w:r>
      <w:proofErr w:type="gramStart"/>
      <w:r>
        <w:rPr>
          <w:lang w:val="en-US"/>
        </w:rPr>
        <w:t>.</w:t>
      </w:r>
      <w:r w:rsidRPr="00386CB4">
        <w:rPr>
          <w:lang w:val="en-US"/>
        </w:rPr>
        <w:t>.</w:t>
      </w:r>
      <w:proofErr w:type="gramEnd"/>
    </w:p>
    <w:p w:rsidR="004A6009" w:rsidRDefault="00E60EDB" w:rsidP="00F20633">
      <w:pPr>
        <w:rPr>
          <w:sz w:val="22"/>
          <w:szCs w:val="22"/>
          <w:lang w:val="en-US"/>
        </w:rPr>
      </w:pPr>
      <w:r>
        <w:rPr>
          <w:noProof/>
          <w:sz w:val="22"/>
          <w:szCs w:val="22"/>
          <w:lang w:eastAsia="en-GB"/>
        </w:rPr>
        <w:drawing>
          <wp:inline distT="0" distB="0" distL="0" distR="0">
            <wp:extent cx="6035040" cy="3357880"/>
            <wp:effectExtent l="19050" t="0" r="3810" b="0"/>
            <wp:docPr id="4" name="Picture 2" descr="End-to-end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d-to-end architecture"/>
                    <pic:cNvPicPr>
                      <a:picLocks noChangeAspect="1" noChangeArrowheads="1"/>
                    </pic:cNvPicPr>
                  </pic:nvPicPr>
                  <pic:blipFill>
                    <a:blip r:embed="rId17"/>
                    <a:srcRect/>
                    <a:stretch>
                      <a:fillRect/>
                    </a:stretch>
                  </pic:blipFill>
                  <pic:spPr bwMode="auto">
                    <a:xfrm>
                      <a:off x="0" y="0"/>
                      <a:ext cx="6035040" cy="3357880"/>
                    </a:xfrm>
                    <a:prstGeom prst="rect">
                      <a:avLst/>
                    </a:prstGeom>
                    <a:noFill/>
                    <a:ln w="9525">
                      <a:noFill/>
                      <a:miter lim="800000"/>
                      <a:headEnd/>
                      <a:tailEnd/>
                    </a:ln>
                  </pic:spPr>
                </pic:pic>
              </a:graphicData>
            </a:graphic>
          </wp:inline>
        </w:drawing>
      </w:r>
    </w:p>
    <w:p w:rsidR="004A6009" w:rsidRDefault="004A6009" w:rsidP="00F20633">
      <w:pPr>
        <w:rPr>
          <w:sz w:val="22"/>
          <w:szCs w:val="22"/>
          <w:lang w:val="en-US"/>
        </w:rPr>
      </w:pPr>
    </w:p>
    <w:p w:rsidR="004A6009" w:rsidRPr="00386CB4" w:rsidRDefault="004A6009" w:rsidP="00F65EE5">
      <w:pPr>
        <w:jc w:val="center"/>
        <w:rPr>
          <w:b/>
          <w:lang w:val="en-US"/>
        </w:rPr>
      </w:pPr>
      <w:r w:rsidRPr="00386CB4">
        <w:rPr>
          <w:b/>
          <w:lang w:val="en-US"/>
        </w:rPr>
        <w:t>Figure 1:</w:t>
      </w:r>
      <w:r w:rsidRPr="00386CB4">
        <w:rPr>
          <w:b/>
          <w:lang w:val="en-US"/>
        </w:rPr>
        <w:tab/>
        <w:t>DA2G system, as part of overall end-to-end architecture</w:t>
      </w:r>
    </w:p>
    <w:p w:rsidR="004A6009" w:rsidRDefault="004A6009" w:rsidP="00F20633">
      <w:pPr>
        <w:rPr>
          <w:sz w:val="22"/>
          <w:szCs w:val="22"/>
          <w:lang w:val="en-US"/>
        </w:rPr>
      </w:pPr>
    </w:p>
    <w:p w:rsidR="004A6009" w:rsidRDefault="004A6009" w:rsidP="00F20633">
      <w:pPr>
        <w:rPr>
          <w:sz w:val="22"/>
          <w:szCs w:val="22"/>
          <w:lang w:val="en-US"/>
        </w:rPr>
      </w:pPr>
      <w:r>
        <w:rPr>
          <w:sz w:val="22"/>
          <w:szCs w:val="22"/>
          <w:lang w:val="en-US"/>
        </w:rPr>
        <w:t>7.1.1</w:t>
      </w:r>
      <w:r>
        <w:rPr>
          <w:sz w:val="22"/>
          <w:szCs w:val="22"/>
          <w:lang w:val="en-US"/>
        </w:rPr>
        <w:tab/>
        <w:t>Airborne equipment</w:t>
      </w:r>
    </w:p>
    <w:p w:rsidR="004A6009" w:rsidRPr="00386CB4" w:rsidRDefault="004A6009" w:rsidP="00F20633">
      <w:pPr>
        <w:rPr>
          <w:lang w:val="en-US"/>
        </w:rPr>
      </w:pPr>
      <w:r w:rsidRPr="00386CB4">
        <w:rPr>
          <w:lang w:val="en-US"/>
        </w:rPr>
        <w:t>The in-flight entertainment (IFE) distribution system makes use of wireless networking technology to enable passengers to use their personal devices such as laptops during the flight to access the internet, watch videos, communicate via e-mail and take advantage of the multitude of web-based applications which are already available via terrestrial fixed and mobile broadband networks.  The system also allows for airlines to make these services available via in-seat displays.</w:t>
      </w:r>
    </w:p>
    <w:p w:rsidR="004A6009" w:rsidRPr="00386CB4" w:rsidRDefault="004A6009" w:rsidP="00F20633">
      <w:pPr>
        <w:rPr>
          <w:lang w:val="en-US"/>
        </w:rPr>
      </w:pPr>
      <w:r w:rsidRPr="00386CB4">
        <w:rPr>
          <w:lang w:val="en-US"/>
        </w:rPr>
        <w:lastRenderedPageBreak/>
        <w:t>The IFE element of this system has been installed and successfully tested on commercial airliners.  Tests inside the aircraft proved the usability of the wireless IFE solution under full load conditions and with other communication channels in use.</w:t>
      </w:r>
    </w:p>
    <w:p w:rsidR="004A6009" w:rsidRPr="00386CB4" w:rsidRDefault="004A6009" w:rsidP="00F20633">
      <w:pPr>
        <w:rPr>
          <w:lang w:val="en-US"/>
        </w:rPr>
      </w:pPr>
      <w:r w:rsidRPr="00386CB4">
        <w:rPr>
          <w:lang w:val="en-US"/>
        </w:rPr>
        <w:t>Figure 2 illustrates the basic concept of the IFE system, together with the connection to the air-to-ground radio equipment and</w:t>
      </w:r>
      <w:r w:rsidR="00E15B77">
        <w:rPr>
          <w:lang w:val="en-US"/>
        </w:rPr>
        <w:t>, in this example,</w:t>
      </w:r>
      <w:r w:rsidRPr="00386CB4">
        <w:rPr>
          <w:lang w:val="en-US"/>
        </w:rPr>
        <w:t xml:space="preserve"> </w:t>
      </w:r>
      <w:r>
        <w:rPr>
          <w:lang w:val="en-US"/>
        </w:rPr>
        <w:t xml:space="preserve">the </w:t>
      </w:r>
      <w:r w:rsidR="00E15B77">
        <w:rPr>
          <w:lang w:val="en-US"/>
        </w:rPr>
        <w:t xml:space="preserve">use of </w:t>
      </w:r>
      <w:r>
        <w:rPr>
          <w:lang w:val="en-US"/>
        </w:rPr>
        <w:t xml:space="preserve">four </w:t>
      </w:r>
      <w:r w:rsidRPr="00386CB4">
        <w:rPr>
          <w:lang w:val="en-US"/>
        </w:rPr>
        <w:t xml:space="preserve">aircraft mounted </w:t>
      </w:r>
      <w:r>
        <w:rPr>
          <w:lang w:val="en-US"/>
        </w:rPr>
        <w:t xml:space="preserve">‘fin </w:t>
      </w:r>
      <w:r w:rsidRPr="00386CB4">
        <w:rPr>
          <w:lang w:val="en-US"/>
        </w:rPr>
        <w:t>antennas</w:t>
      </w:r>
      <w:r>
        <w:rPr>
          <w:lang w:val="en-US"/>
        </w:rPr>
        <w:t>’</w:t>
      </w:r>
      <w:r w:rsidRPr="00386CB4">
        <w:rPr>
          <w:lang w:val="en-US"/>
        </w:rPr>
        <w:t>.</w:t>
      </w:r>
    </w:p>
    <w:p w:rsidR="004A6009" w:rsidRDefault="00E60EDB" w:rsidP="00F20633">
      <w:pPr>
        <w:rPr>
          <w:sz w:val="22"/>
          <w:szCs w:val="22"/>
        </w:rPr>
      </w:pPr>
      <w:r>
        <w:rPr>
          <w:noProof/>
          <w:sz w:val="22"/>
          <w:szCs w:val="22"/>
          <w:lang w:eastAsia="en-GB"/>
        </w:rPr>
        <w:drawing>
          <wp:inline distT="0" distB="0" distL="0" distR="0">
            <wp:extent cx="5544820" cy="2955290"/>
            <wp:effectExtent l="19050" t="0" r="0" b="0"/>
            <wp:docPr id="5" name="Picture 3"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1"/>
                    <pic:cNvPicPr>
                      <a:picLocks noChangeAspect="1" noChangeArrowheads="1"/>
                    </pic:cNvPicPr>
                  </pic:nvPicPr>
                  <pic:blipFill>
                    <a:blip r:embed="rId18"/>
                    <a:srcRect/>
                    <a:stretch>
                      <a:fillRect/>
                    </a:stretch>
                  </pic:blipFill>
                  <pic:spPr bwMode="auto">
                    <a:xfrm>
                      <a:off x="0" y="0"/>
                      <a:ext cx="5544820" cy="2955290"/>
                    </a:xfrm>
                    <a:prstGeom prst="rect">
                      <a:avLst/>
                    </a:prstGeom>
                    <a:noFill/>
                    <a:ln w="9525">
                      <a:noFill/>
                      <a:miter lim="800000"/>
                      <a:headEnd/>
                      <a:tailEnd/>
                    </a:ln>
                  </pic:spPr>
                </pic:pic>
              </a:graphicData>
            </a:graphic>
          </wp:inline>
        </w:drawing>
      </w:r>
    </w:p>
    <w:p w:rsidR="004A6009" w:rsidRPr="00386CB4" w:rsidRDefault="004A6009" w:rsidP="00F65EE5">
      <w:pPr>
        <w:jc w:val="center"/>
        <w:rPr>
          <w:lang w:val="en-US"/>
        </w:rPr>
      </w:pPr>
      <w:r w:rsidRPr="00386CB4">
        <w:rPr>
          <w:b/>
          <w:lang w:val="en-US"/>
        </w:rPr>
        <w:t xml:space="preserve">Figure 2 –In-flight </w:t>
      </w:r>
      <w:r>
        <w:rPr>
          <w:b/>
          <w:lang w:val="en-US"/>
        </w:rPr>
        <w:t>Enter</w:t>
      </w:r>
      <w:r w:rsidRPr="00386CB4">
        <w:rPr>
          <w:b/>
          <w:lang w:val="en-US"/>
        </w:rPr>
        <w:t>tainment System and airborne DA2G equipment connectivity</w:t>
      </w:r>
    </w:p>
    <w:p w:rsidR="004A6009" w:rsidRPr="00386CB4" w:rsidRDefault="004A6009" w:rsidP="00F20633">
      <w:pPr>
        <w:rPr>
          <w:lang w:val="en-US"/>
        </w:rPr>
      </w:pPr>
      <w:r w:rsidRPr="00386CB4">
        <w:rPr>
          <w:lang w:val="en-US"/>
        </w:rPr>
        <w:t xml:space="preserve">Specifically tailored passenger information services could also be provided, such as arrival-, transfer-, customs- and airport- related information, Moving Map flight information, In-flight </w:t>
      </w:r>
      <w:r w:rsidRPr="00386CB4">
        <w:rPr>
          <w:bCs/>
          <w:lang w:val="en-US"/>
        </w:rPr>
        <w:t>Shopping</w:t>
      </w:r>
      <w:r w:rsidRPr="00386CB4">
        <w:rPr>
          <w:lang w:val="en-US"/>
        </w:rPr>
        <w:t>, travel advice, destination tourist information</w:t>
      </w:r>
      <w:r w:rsidRPr="00386CB4">
        <w:rPr>
          <w:bCs/>
          <w:lang w:val="en-US"/>
        </w:rPr>
        <w:t>, weather forecasts, etc.</w:t>
      </w:r>
    </w:p>
    <w:p w:rsidR="004A6009" w:rsidRPr="00386CB4" w:rsidRDefault="004A6009" w:rsidP="00F20633">
      <w:pPr>
        <w:rPr>
          <w:bCs/>
          <w:lang w:val="en-US"/>
        </w:rPr>
      </w:pPr>
      <w:r w:rsidRPr="006036F9">
        <w:rPr>
          <w:bCs/>
          <w:lang w:val="en-US"/>
        </w:rPr>
        <w:t>Airline information</w:t>
      </w:r>
      <w:r w:rsidRPr="00386CB4">
        <w:rPr>
          <w:bCs/>
          <w:lang w:val="en-US"/>
        </w:rPr>
        <w:t xml:space="preserve"> data</w:t>
      </w:r>
      <w:r>
        <w:rPr>
          <w:bCs/>
          <w:lang w:val="en-US"/>
        </w:rPr>
        <w:t xml:space="preserve"> (non-</w:t>
      </w:r>
      <w:r w:rsidRPr="006036F9">
        <w:rPr>
          <w:bCs/>
          <w:lang w:val="en-US"/>
        </w:rPr>
        <w:t>safety relevant</w:t>
      </w:r>
      <w:r>
        <w:rPr>
          <w:bCs/>
          <w:lang w:val="en-US"/>
        </w:rPr>
        <w:t>)</w:t>
      </w:r>
      <w:r w:rsidRPr="00386CB4">
        <w:rPr>
          <w:bCs/>
          <w:lang w:val="en-US"/>
        </w:rPr>
        <w:t xml:space="preserve"> could include localized real-time weather information to better inform the pilot of immediate weather conditions and well as the ability to relay real-time flight systems data from the aircraft to the ground to assist in diagnostics and other flight-related requirements.</w:t>
      </w:r>
    </w:p>
    <w:p w:rsidR="004A6009" w:rsidRPr="00386CB4" w:rsidRDefault="004A6009" w:rsidP="00F20633">
      <w:pPr>
        <w:rPr>
          <w:bCs/>
          <w:lang w:val="en-US"/>
        </w:rPr>
      </w:pPr>
      <w:r w:rsidRPr="00386CB4">
        <w:rPr>
          <w:bCs/>
          <w:lang w:val="en-US"/>
        </w:rPr>
        <w:t xml:space="preserve">The system has been designed to keep the </w:t>
      </w:r>
      <w:r w:rsidRPr="006036F9">
        <w:rPr>
          <w:bCs/>
          <w:lang w:val="en-US"/>
        </w:rPr>
        <w:t>airline information</w:t>
      </w:r>
      <w:r w:rsidRPr="00386CB4">
        <w:rPr>
          <w:bCs/>
          <w:lang w:val="en-US"/>
        </w:rPr>
        <w:t xml:space="preserve"> and passenger data completely separate by means of the physical hardware layout as well as through the use of secure encryption and data routing software, as illustrated in Figure 3</w:t>
      </w:r>
      <w:r>
        <w:rPr>
          <w:bCs/>
          <w:lang w:val="en-US"/>
        </w:rPr>
        <w:t xml:space="preserve"> below</w:t>
      </w:r>
      <w:r w:rsidRPr="00386CB4">
        <w:rPr>
          <w:bCs/>
          <w:lang w:val="en-US"/>
        </w:rPr>
        <w:t>.</w:t>
      </w: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6910C7" w:rsidP="00CD5534">
      <w:pPr>
        <w:jc w:val="center"/>
        <w:rPr>
          <w:b/>
        </w:rPr>
      </w:pPr>
      <w:r>
        <w:rPr>
          <w:b/>
        </w:rPr>
      </w:r>
      <w:r>
        <w:rPr>
          <w:b/>
        </w:rPr>
        <w:pict>
          <v:group id="_x0000_s1037" editas="canvas" style="width:349.15pt;height:250.65pt;mso-position-horizontal-relative:char;mso-position-vertical-relative:line" coordsize="6983,501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6983;height:5013" o:preferrelative="f">
              <v:fill o:detectmouseclick="t"/>
              <v:path o:extrusionok="t" o:connecttype="none"/>
              <o:lock v:ext="edit" text="t"/>
            </v:shape>
            <v:shape id="_x0000_s1038" type="#_x0000_t75" style="position:absolute;top:2;width:6993;height:5020">
              <v:imagedata r:id="rId19" o:title=""/>
            </v:shape>
            <w10:wrap type="none"/>
            <w10:anchorlock/>
          </v:group>
        </w:pict>
      </w:r>
    </w:p>
    <w:p w:rsidR="004A6009" w:rsidRPr="00386CB4" w:rsidRDefault="004A6009" w:rsidP="00CD5534">
      <w:pPr>
        <w:jc w:val="center"/>
        <w:rPr>
          <w:b/>
        </w:rPr>
      </w:pPr>
      <w:r w:rsidRPr="00386CB4">
        <w:rPr>
          <w:b/>
        </w:rPr>
        <w:t xml:space="preserve">Figure 3 – Independent channels for </w:t>
      </w:r>
      <w:r w:rsidRPr="006036F9">
        <w:rPr>
          <w:b/>
        </w:rPr>
        <w:t>airline information and passenger</w:t>
      </w:r>
      <w:r w:rsidRPr="00386CB4">
        <w:rPr>
          <w:b/>
        </w:rPr>
        <w:t xml:space="preserve"> data</w:t>
      </w:r>
    </w:p>
    <w:p w:rsidR="004A6009" w:rsidRDefault="004A6009" w:rsidP="00CD5534">
      <w:pPr>
        <w:jc w:val="center"/>
        <w:rPr>
          <w:b/>
          <w:sz w:val="22"/>
          <w:szCs w:val="22"/>
        </w:rPr>
      </w:pPr>
    </w:p>
    <w:p w:rsidR="004A6009" w:rsidRDefault="004A6009" w:rsidP="00C44CF2">
      <w:r>
        <w:t>7.1.2</w:t>
      </w:r>
      <w:r>
        <w:tab/>
        <w:t>Ground station equipment</w:t>
      </w:r>
    </w:p>
    <w:p w:rsidR="004A6009" w:rsidRDefault="004A6009" w:rsidP="00C44CF2">
      <w:r>
        <w:t>Another important feature of this DA2G system is the simultaneous use of four separate integrated radio transceivers/phased array antenna assemblies at the ground station.  Such an arrangement enables each ground station to cover the entire visible air space, from horizon to horizon, at all azimuths.  Each integrated antenna array is capable of simultaneously producing at least two co-frequency shaped beams which are spatially separated, thereby allowing for a minimum of two beams per sector (or quadrant), or eight beams per ground station.  This is shown diagrammatically in Figure 4.</w:t>
      </w:r>
    </w:p>
    <w:p w:rsidR="004A6009" w:rsidRDefault="004A6009" w:rsidP="008166A3">
      <w:pPr>
        <w:jc w:val="center"/>
        <w:rPr>
          <w:sz w:val="22"/>
          <w:szCs w:val="22"/>
          <w:lang w:val="en-US"/>
        </w:rPr>
      </w:pPr>
      <w:r w:rsidRPr="008F378C">
        <w:rPr>
          <w:sz w:val="22"/>
          <w:szCs w:val="22"/>
        </w:rPr>
        <w:object w:dxaOrig="7216" w:dyaOrig="5407">
          <v:shape id="_x0000_i1026" type="#_x0000_t75" style="width:360.65pt;height:206pt" o:ole="">
            <v:imagedata r:id="rId20" o:title=""/>
          </v:shape>
          <o:OLEObject Type="Embed" ProgID="PowerPoint.Slide.12" ShapeID="_x0000_i1026" DrawAspect="Content" ObjectID="_1396259042" r:id="rId21"/>
        </w:object>
      </w:r>
    </w:p>
    <w:p w:rsidR="004A6009" w:rsidRPr="008166A3" w:rsidRDefault="004A6009" w:rsidP="008166A3">
      <w:pPr>
        <w:jc w:val="center"/>
        <w:rPr>
          <w:b/>
        </w:rPr>
      </w:pPr>
      <w:r w:rsidRPr="008166A3">
        <w:rPr>
          <w:b/>
          <w:lang w:val="en-US"/>
        </w:rPr>
        <w:t>Figure 4 – Typical Ground Station antenna arrangement producing multiple beams</w:t>
      </w:r>
    </w:p>
    <w:p w:rsidR="004A6009" w:rsidRDefault="004A6009" w:rsidP="008166A3"/>
    <w:p w:rsidR="004A6009" w:rsidRDefault="004A6009" w:rsidP="008166A3">
      <w:r>
        <w:t xml:space="preserve">Although the illustration in Figure 4 shows a total of 8 aircraft being served per ground station, this assumes that each sector is served by a 4-element beamforming antenna array.  The number of beams can be increased to 4 beams per quadrant or 16 per ground station in the case where 8-element antenna arrays are used.  In addition, the use of TDMA and FDMA can further increase the number of individual data paths established (and hence number of aircraft served) to much higher numbers, albeit at the cost of reduced data rate per aircraft.  Potential problems of cross-talk between the </w:t>
      </w:r>
      <w:r>
        <w:lastRenderedPageBreak/>
        <w:t>transmit and receive paths of the various aircraft links at a given ground station antenna are eliminated due to the use of TDD, together with synchronisation of signals such that all paths are in transmit or receive mode at the same time when each beamforming array is generating multiple beams.</w:t>
      </w:r>
    </w:p>
    <w:p w:rsidR="008C43AA" w:rsidRDefault="008C43AA" w:rsidP="008166A3"/>
    <w:p w:rsidR="004A6009" w:rsidRPr="00FB1466" w:rsidRDefault="004A6009" w:rsidP="008C43AA">
      <w:pPr>
        <w:pStyle w:val="Heading2"/>
      </w:pPr>
      <w:r>
        <w:t>7.2</w:t>
      </w:r>
      <w:r w:rsidRPr="00FB1466">
        <w:tab/>
      </w:r>
      <w:r w:rsidRPr="008C43AA">
        <w:t>Technical</w:t>
      </w:r>
      <w:r w:rsidRPr="00083264">
        <w:t xml:space="preserve"> parameters and </w:t>
      </w:r>
      <w:r>
        <w:t>implications on</w:t>
      </w:r>
      <w:r w:rsidRPr="00FB1466">
        <w:t xml:space="preserve"> spectrum</w:t>
      </w:r>
      <w:bookmarkEnd w:id="34"/>
    </w:p>
    <w:p w:rsidR="004A6009" w:rsidRDefault="004A6009" w:rsidP="00745BFF">
      <w:pPr>
        <w:pStyle w:val="Heading3"/>
      </w:pPr>
      <w:bookmarkStart w:id="35" w:name="_Toc233514049"/>
      <w:r>
        <w:t>7.2.1</w:t>
      </w:r>
      <w:r>
        <w:tab/>
        <w:t>Status of technical parameters</w:t>
      </w:r>
      <w:bookmarkEnd w:id="35"/>
    </w:p>
    <w:p w:rsidR="004A6009" w:rsidRPr="00FB1466" w:rsidRDefault="004A6009" w:rsidP="00200E1D">
      <w:pPr>
        <w:pStyle w:val="Heading4"/>
      </w:pPr>
      <w:bookmarkStart w:id="36" w:name="_Toc233514050"/>
      <w:r>
        <w:t>7.2.1.1</w:t>
      </w:r>
      <w:r w:rsidRPr="00FB1466">
        <w:tab/>
        <w:t xml:space="preserve">Current ITU </w:t>
      </w:r>
      <w:r>
        <w:t>and European Common A</w:t>
      </w:r>
      <w:r w:rsidRPr="00FB1466">
        <w:t>llocations</w:t>
      </w:r>
      <w:bookmarkEnd w:id="36"/>
    </w:p>
    <w:p w:rsidR="004A6009" w:rsidRDefault="004A6009" w:rsidP="00386CB4">
      <w:pPr>
        <w:pStyle w:val="Heading4"/>
        <w:ind w:left="0" w:firstLine="0"/>
        <w:rPr>
          <w:rFonts w:ascii="Times New Roman" w:hAnsi="Times New Roman"/>
          <w:bCs/>
          <w:sz w:val="20"/>
          <w:lang w:val="en-US"/>
        </w:rPr>
      </w:pPr>
      <w:bookmarkStart w:id="37" w:name="_Toc233514051"/>
      <w:r w:rsidRPr="00386CB4">
        <w:rPr>
          <w:rFonts w:ascii="Times New Roman" w:hAnsi="Times New Roman"/>
          <w:bCs/>
          <w:sz w:val="20"/>
          <w:lang w:val="en-US"/>
        </w:rPr>
        <w:t>As previously indicated, the system has currently been optimized for operation in the ISM frequency bands around 2</w:t>
      </w:r>
      <w:proofErr w:type="gramStart"/>
      <w:r>
        <w:rPr>
          <w:rFonts w:ascii="Times New Roman" w:hAnsi="Times New Roman"/>
          <w:bCs/>
          <w:sz w:val="20"/>
          <w:lang w:val="en-US"/>
        </w:rPr>
        <w:t>,</w:t>
      </w:r>
      <w:r w:rsidRPr="00386CB4">
        <w:rPr>
          <w:rFonts w:ascii="Times New Roman" w:hAnsi="Times New Roman"/>
          <w:bCs/>
          <w:sz w:val="20"/>
          <w:lang w:val="en-US"/>
        </w:rPr>
        <w:t>4</w:t>
      </w:r>
      <w:proofErr w:type="gramEnd"/>
      <w:r>
        <w:rPr>
          <w:rFonts w:ascii="Times New Roman" w:hAnsi="Times New Roman"/>
          <w:bCs/>
          <w:sz w:val="20"/>
          <w:lang w:val="en-US"/>
        </w:rPr>
        <w:t> </w:t>
      </w:r>
      <w:r w:rsidRPr="00386CB4">
        <w:rPr>
          <w:rFonts w:ascii="Times New Roman" w:hAnsi="Times New Roman"/>
          <w:bCs/>
          <w:sz w:val="20"/>
          <w:lang w:val="en-US"/>
        </w:rPr>
        <w:t>GHz and 5</w:t>
      </w:r>
      <w:r>
        <w:rPr>
          <w:rFonts w:ascii="Times New Roman" w:hAnsi="Times New Roman"/>
          <w:bCs/>
          <w:sz w:val="20"/>
          <w:lang w:val="en-US"/>
        </w:rPr>
        <w:t>,</w:t>
      </w:r>
      <w:r w:rsidRPr="00386CB4">
        <w:rPr>
          <w:rFonts w:ascii="Times New Roman" w:hAnsi="Times New Roman"/>
          <w:bCs/>
          <w:sz w:val="20"/>
          <w:lang w:val="en-US"/>
        </w:rPr>
        <w:t>8 GHz.</w:t>
      </w:r>
      <w:r>
        <w:rPr>
          <w:rFonts w:ascii="Times New Roman" w:hAnsi="Times New Roman"/>
          <w:bCs/>
          <w:sz w:val="20"/>
          <w:lang w:val="en-US"/>
        </w:rPr>
        <w:t xml:space="preserve">  These two bands are included in the list of candidate bands under consideration in CEPT [i11].</w:t>
      </w:r>
    </w:p>
    <w:p w:rsidR="00127FF1" w:rsidRDefault="005F1AD6">
      <w:pPr>
        <w:rPr>
          <w:bCs/>
          <w:lang w:val="en-US"/>
        </w:rPr>
      </w:pPr>
      <w:r w:rsidRPr="005F1AD6">
        <w:rPr>
          <w:bCs/>
          <w:lang w:val="en-US"/>
        </w:rPr>
        <w:t>Current allocation of the candidate bands in the ITU Radio Regulations [i.</w:t>
      </w:r>
      <w:r w:rsidR="00A929D9">
        <w:rPr>
          <w:bCs/>
          <w:lang w:val="en-US"/>
        </w:rPr>
        <w:t>10</w:t>
      </w:r>
      <w:r w:rsidRPr="005F1AD6">
        <w:rPr>
          <w:bCs/>
          <w:lang w:val="en-US"/>
        </w:rPr>
        <w:t xml:space="preserve">] is </w:t>
      </w:r>
      <w:r w:rsidR="00A929D9">
        <w:rPr>
          <w:bCs/>
          <w:lang w:val="en-US"/>
        </w:rPr>
        <w:t>included in Table 2, along with actual usage within the CEPT</w:t>
      </w:r>
      <w:r w:rsidRPr="005F1AD6">
        <w:rPr>
          <w:bCs/>
          <w:lang w:val="en-US"/>
        </w:rPr>
        <w:t>:</w:t>
      </w:r>
    </w:p>
    <w:p w:rsidR="004A6009" w:rsidRPr="00214464" w:rsidRDefault="004A6009" w:rsidP="008C43AA">
      <w:pPr>
        <w:jc w:val="center"/>
        <w:rPr>
          <w:b/>
        </w:rPr>
      </w:pPr>
      <w:r w:rsidRPr="00214464">
        <w:rPr>
          <w:b/>
        </w:rPr>
        <w:t xml:space="preserve">Table 2: </w:t>
      </w:r>
      <w:r w:rsidR="00FD51FA">
        <w:rPr>
          <w:b/>
        </w:rPr>
        <w:t xml:space="preserve">ITU Allocations &amp; </w:t>
      </w:r>
      <w:r w:rsidR="00A929D9">
        <w:rPr>
          <w:b/>
        </w:rPr>
        <w:t xml:space="preserve">actual </w:t>
      </w:r>
      <w:r w:rsidR="00FD51FA">
        <w:rPr>
          <w:b/>
        </w:rPr>
        <w:t>usage within CEPT</w:t>
      </w:r>
    </w:p>
    <w:tbl>
      <w:tblPr>
        <w:tblW w:w="6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4"/>
        <w:gridCol w:w="1574"/>
        <w:gridCol w:w="1603"/>
        <w:gridCol w:w="1824"/>
      </w:tblGrid>
      <w:tr w:rsidR="008C43AA" w:rsidRPr="006D3A76" w:rsidTr="008C43AA">
        <w:trPr>
          <w:cantSplit/>
          <w:trHeight w:val="1134"/>
          <w:jc w:val="center"/>
        </w:trPr>
        <w:tc>
          <w:tcPr>
            <w:tcW w:w="1974" w:type="dxa"/>
            <w:vAlign w:val="center"/>
          </w:tcPr>
          <w:p w:rsidR="008C43AA" w:rsidRPr="006D3A76" w:rsidRDefault="008C43AA" w:rsidP="00B648BD">
            <w:pPr>
              <w:rPr>
                <w:rFonts w:ascii="Arial" w:hAnsi="Arial" w:cs="Arial"/>
                <w:b/>
                <w:color w:val="000000"/>
              </w:rPr>
            </w:pPr>
            <w:r w:rsidRPr="006D3A76">
              <w:rPr>
                <w:rFonts w:ascii="Arial" w:hAnsi="Arial" w:cs="Arial"/>
                <w:b/>
                <w:color w:val="000000"/>
              </w:rPr>
              <w:t>Frequency band</w:t>
            </w:r>
          </w:p>
        </w:tc>
        <w:tc>
          <w:tcPr>
            <w:tcW w:w="1574" w:type="dxa"/>
            <w:vAlign w:val="center"/>
          </w:tcPr>
          <w:p w:rsidR="008C43AA" w:rsidRPr="00146B94" w:rsidRDefault="008C43AA" w:rsidP="00B648BD">
            <w:pPr>
              <w:rPr>
                <w:rFonts w:ascii="Arial" w:hAnsi="Arial" w:cs="Arial"/>
                <w:b/>
                <w:color w:val="000000"/>
              </w:rPr>
            </w:pPr>
            <w:r w:rsidRPr="005324BE">
              <w:rPr>
                <w:b/>
                <w:color w:val="000000"/>
                <w:lang w:eastAsia="de-DE"/>
              </w:rPr>
              <w:t>ITU allocations in Region 1</w:t>
            </w:r>
          </w:p>
        </w:tc>
        <w:tc>
          <w:tcPr>
            <w:tcW w:w="1603" w:type="dxa"/>
            <w:vAlign w:val="center"/>
          </w:tcPr>
          <w:p w:rsidR="008C43AA" w:rsidRPr="00146B94" w:rsidRDefault="008C43AA" w:rsidP="00B648BD">
            <w:pPr>
              <w:rPr>
                <w:b/>
                <w:color w:val="000000"/>
                <w:lang w:eastAsia="de-DE"/>
              </w:rPr>
            </w:pPr>
            <w:r w:rsidRPr="00146B94">
              <w:rPr>
                <w:b/>
                <w:color w:val="000000"/>
                <w:lang w:eastAsia="de-DE"/>
              </w:rPr>
              <w:t>Actual usage of the band</w:t>
            </w:r>
            <w:r w:rsidRPr="00146B94">
              <w:rPr>
                <w:b/>
                <w:color w:val="000000"/>
                <w:lang w:eastAsia="de-DE"/>
              </w:rPr>
              <w:br/>
              <w:t>- national level</w:t>
            </w:r>
            <w:r w:rsidRPr="00146B94">
              <w:rPr>
                <w:b/>
                <w:color w:val="000000"/>
                <w:lang w:eastAsia="de-DE"/>
              </w:rPr>
              <w:br/>
              <w:t>- within CEPT</w:t>
            </w:r>
            <w:r w:rsidRPr="00146B94">
              <w:rPr>
                <w:b/>
                <w:color w:val="000000"/>
                <w:lang w:eastAsia="de-DE"/>
              </w:rPr>
              <w:br/>
              <w:t>(- worldwide)</w:t>
            </w:r>
            <w:r w:rsidRPr="00146B94">
              <w:rPr>
                <w:b/>
                <w:color w:val="000000"/>
                <w:lang w:eastAsia="de-DE"/>
              </w:rPr>
              <w:br/>
              <w:t>for future sharing studies</w:t>
            </w:r>
          </w:p>
          <w:p w:rsidR="008C43AA" w:rsidRPr="00146B94" w:rsidRDefault="008C43AA" w:rsidP="00B648BD">
            <w:pPr>
              <w:rPr>
                <w:rFonts w:ascii="Arial" w:hAnsi="Arial" w:cs="Arial"/>
                <w:b/>
                <w:color w:val="000000"/>
              </w:rPr>
            </w:pPr>
            <w:r w:rsidRPr="00146B94">
              <w:rPr>
                <w:rFonts w:ascii="Arial" w:hAnsi="Arial" w:cs="Arial"/>
                <w:b/>
                <w:color w:val="000000"/>
              </w:rPr>
              <w:t>?</w:t>
            </w:r>
          </w:p>
        </w:tc>
        <w:tc>
          <w:tcPr>
            <w:tcW w:w="1824" w:type="dxa"/>
            <w:vAlign w:val="center"/>
          </w:tcPr>
          <w:p w:rsidR="008C43AA" w:rsidRPr="00146B94" w:rsidRDefault="008C43AA" w:rsidP="00B648BD">
            <w:pPr>
              <w:rPr>
                <w:b/>
                <w:color w:val="000000"/>
                <w:lang w:eastAsia="de-DE"/>
              </w:rPr>
            </w:pPr>
            <w:r w:rsidRPr="00146B94">
              <w:rPr>
                <w:b/>
                <w:color w:val="000000"/>
                <w:lang w:eastAsia="de-DE"/>
              </w:rPr>
              <w:t>Actual usage of adjacent bands</w:t>
            </w:r>
            <w:r w:rsidRPr="00146B94">
              <w:rPr>
                <w:b/>
                <w:color w:val="000000"/>
                <w:lang w:eastAsia="de-DE"/>
              </w:rPr>
              <w:br/>
              <w:t>- national level</w:t>
            </w:r>
            <w:r w:rsidRPr="00146B94">
              <w:rPr>
                <w:b/>
                <w:color w:val="000000"/>
                <w:lang w:eastAsia="de-DE"/>
              </w:rPr>
              <w:br/>
              <w:t>- within CEPT</w:t>
            </w:r>
            <w:r w:rsidRPr="00146B94">
              <w:rPr>
                <w:b/>
                <w:color w:val="000000"/>
                <w:lang w:eastAsia="de-DE"/>
              </w:rPr>
              <w:br/>
              <w:t>for future compatibility studies</w:t>
            </w:r>
          </w:p>
          <w:p w:rsidR="008C43AA" w:rsidRPr="00146B94" w:rsidRDefault="008C43AA" w:rsidP="00B648BD">
            <w:pPr>
              <w:rPr>
                <w:rFonts w:ascii="Arial" w:hAnsi="Arial" w:cs="Arial"/>
                <w:b/>
                <w:color w:val="000000"/>
              </w:rPr>
            </w:pPr>
            <w:r w:rsidRPr="00146B94">
              <w:rPr>
                <w:rFonts w:ascii="Arial" w:hAnsi="Arial" w:cs="Arial"/>
                <w:b/>
                <w:color w:val="000000"/>
              </w:rPr>
              <w:t>?</w:t>
            </w:r>
          </w:p>
        </w:tc>
      </w:tr>
      <w:tr w:rsidR="008C43AA" w:rsidRPr="006D3A76" w:rsidTr="008C43AA">
        <w:trPr>
          <w:jc w:val="center"/>
        </w:trPr>
        <w:tc>
          <w:tcPr>
            <w:tcW w:w="1974" w:type="dxa"/>
            <w:vAlign w:val="center"/>
          </w:tcPr>
          <w:p w:rsidR="008C43AA" w:rsidRPr="006D3A76" w:rsidRDefault="008C43AA" w:rsidP="00B648BD">
            <w:pPr>
              <w:rPr>
                <w:rFonts w:ascii="Arial" w:hAnsi="Arial" w:cs="Arial"/>
                <w:b/>
                <w:color w:val="000000"/>
              </w:rPr>
            </w:pPr>
            <w:r w:rsidRPr="006D3A76">
              <w:rPr>
                <w:rFonts w:ascii="Arial" w:hAnsi="Arial" w:cs="Arial"/>
                <w:b/>
                <w:color w:val="000000"/>
              </w:rPr>
              <w:t>2</w:t>
            </w:r>
            <w:r>
              <w:rPr>
                <w:rFonts w:ascii="Arial" w:hAnsi="Arial" w:cs="Arial"/>
                <w:b/>
                <w:color w:val="000000"/>
              </w:rPr>
              <w:t xml:space="preserve"> </w:t>
            </w:r>
            <w:r w:rsidRPr="006D3A76">
              <w:rPr>
                <w:rFonts w:ascii="Arial" w:hAnsi="Arial" w:cs="Arial"/>
                <w:b/>
                <w:color w:val="000000"/>
              </w:rPr>
              <w:t xml:space="preserve">400 </w:t>
            </w:r>
            <w:r>
              <w:rPr>
                <w:rFonts w:ascii="Arial" w:hAnsi="Arial" w:cs="Arial"/>
                <w:b/>
                <w:color w:val="000000"/>
              </w:rPr>
              <w:t>MHz to</w:t>
            </w:r>
            <w:r w:rsidRPr="006D3A76">
              <w:rPr>
                <w:rFonts w:ascii="Arial" w:hAnsi="Arial" w:cs="Arial"/>
                <w:b/>
                <w:color w:val="000000"/>
              </w:rPr>
              <w:t xml:space="preserve"> 2</w:t>
            </w:r>
            <w:r>
              <w:rPr>
                <w:rFonts w:ascii="Arial" w:hAnsi="Arial" w:cs="Arial"/>
                <w:b/>
                <w:color w:val="000000"/>
              </w:rPr>
              <w:t> </w:t>
            </w:r>
            <w:r w:rsidRPr="006D3A76">
              <w:rPr>
                <w:rFonts w:ascii="Arial" w:hAnsi="Arial" w:cs="Arial"/>
                <w:b/>
                <w:color w:val="000000"/>
              </w:rPr>
              <w:t>483</w:t>
            </w:r>
            <w:r>
              <w:rPr>
                <w:rFonts w:ascii="Arial" w:hAnsi="Arial" w:cs="Arial"/>
                <w:b/>
                <w:color w:val="000000"/>
              </w:rPr>
              <w:t>,</w:t>
            </w:r>
            <w:r w:rsidRPr="006D3A76">
              <w:rPr>
                <w:rFonts w:ascii="Arial" w:hAnsi="Arial" w:cs="Arial"/>
                <w:b/>
                <w:color w:val="000000"/>
              </w:rPr>
              <w:t>5 MHz</w:t>
            </w:r>
          </w:p>
        </w:tc>
        <w:tc>
          <w:tcPr>
            <w:tcW w:w="1574" w:type="dxa"/>
            <w:vAlign w:val="center"/>
          </w:tcPr>
          <w:p w:rsidR="008C43AA" w:rsidRPr="004B6FDB" w:rsidRDefault="008C43AA" w:rsidP="006D357C">
            <w:pPr>
              <w:pStyle w:val="TableTextS5"/>
              <w:rPr>
                <w:color w:val="000000"/>
              </w:rPr>
            </w:pPr>
            <w:r w:rsidRPr="004B6FDB">
              <w:rPr>
                <w:color w:val="000000"/>
              </w:rPr>
              <w:t>FIXED</w:t>
            </w:r>
          </w:p>
          <w:p w:rsidR="008C43AA" w:rsidRPr="004B6FDB" w:rsidRDefault="008C43AA" w:rsidP="006D357C">
            <w:pPr>
              <w:pStyle w:val="TableTextS5"/>
              <w:rPr>
                <w:color w:val="000000"/>
              </w:rPr>
            </w:pPr>
            <w:smartTag w:uri="urn:schemas-microsoft-com:office:smarttags" w:element="place">
              <w:smartTag w:uri="urn:schemas-microsoft-com:office:smarttags" w:element="City">
                <w:r w:rsidRPr="004B6FDB">
                  <w:rPr>
                    <w:color w:val="000000"/>
                  </w:rPr>
                  <w:t>MOBILE</w:t>
                </w:r>
              </w:smartTag>
            </w:smartTag>
          </w:p>
          <w:p w:rsidR="008C43AA" w:rsidRPr="004B6FDB" w:rsidRDefault="008C43AA" w:rsidP="006D357C">
            <w:pPr>
              <w:pStyle w:val="TableTextS5"/>
              <w:rPr>
                <w:color w:val="000000"/>
              </w:rPr>
            </w:pPr>
            <w:r w:rsidRPr="004B6FDB">
              <w:rPr>
                <w:color w:val="000000"/>
              </w:rPr>
              <w:t>Amateur</w:t>
            </w:r>
          </w:p>
          <w:p w:rsidR="008C43AA" w:rsidRPr="006D3A76" w:rsidRDefault="008C43AA" w:rsidP="006D357C">
            <w:pPr>
              <w:rPr>
                <w:rFonts w:ascii="Arial" w:hAnsi="Arial" w:cs="Arial"/>
                <w:color w:val="000000"/>
              </w:rPr>
            </w:pPr>
            <w:r w:rsidRPr="004B6FDB">
              <w:rPr>
                <w:color w:val="000000"/>
              </w:rPr>
              <w:t>Radiolocation</w:t>
            </w:r>
            <w:r w:rsidRPr="006D3A76" w:rsidDel="00FD51FA">
              <w:rPr>
                <w:rFonts w:ascii="Arial" w:hAnsi="Arial" w:cs="Arial"/>
                <w:color w:val="000000"/>
              </w:rPr>
              <w:t xml:space="preserve"> </w:t>
            </w:r>
          </w:p>
        </w:tc>
        <w:tc>
          <w:tcPr>
            <w:tcW w:w="1603" w:type="dxa"/>
            <w:vAlign w:val="center"/>
          </w:tcPr>
          <w:p w:rsidR="008C43AA" w:rsidRPr="006D3A76" w:rsidRDefault="008C43AA" w:rsidP="00B648BD">
            <w:pPr>
              <w:rPr>
                <w:rFonts w:ascii="Arial" w:hAnsi="Arial" w:cs="Arial"/>
                <w:color w:val="000000"/>
              </w:rPr>
            </w:pPr>
            <w:r w:rsidRPr="006D3A76">
              <w:rPr>
                <w:rFonts w:ascii="Arial" w:hAnsi="Arial" w:cs="Arial"/>
                <w:color w:val="000000"/>
              </w:rPr>
              <w:t>RLANs, SRDs/RFIDs, ISM</w:t>
            </w:r>
          </w:p>
        </w:tc>
        <w:tc>
          <w:tcPr>
            <w:tcW w:w="1824" w:type="dxa"/>
            <w:vAlign w:val="center"/>
          </w:tcPr>
          <w:p w:rsidR="008C43AA" w:rsidRPr="006D3A76" w:rsidRDefault="008C43AA" w:rsidP="00B648BD">
            <w:pPr>
              <w:rPr>
                <w:rFonts w:ascii="Arial" w:hAnsi="Arial" w:cs="Arial"/>
                <w:color w:val="000000"/>
              </w:rPr>
            </w:pPr>
            <w:r w:rsidRPr="006D3A76">
              <w:rPr>
                <w:rFonts w:ascii="Arial" w:hAnsi="Arial" w:cs="Arial"/>
                <w:color w:val="000000"/>
              </w:rPr>
              <w:t>Aeronautical Telemetry, Amateur, Mobile applications, SAP/SAB (cordless cameras), MSS, ISM</w:t>
            </w:r>
          </w:p>
        </w:tc>
      </w:tr>
      <w:tr w:rsidR="008C43AA" w:rsidRPr="006D3A76" w:rsidTr="008C43AA">
        <w:trPr>
          <w:jc w:val="center"/>
        </w:trPr>
        <w:tc>
          <w:tcPr>
            <w:tcW w:w="1974" w:type="dxa"/>
            <w:vAlign w:val="center"/>
          </w:tcPr>
          <w:p w:rsidR="008C43AA" w:rsidRPr="006D3A76" w:rsidRDefault="008C43AA" w:rsidP="00B648BD">
            <w:pPr>
              <w:rPr>
                <w:rFonts w:ascii="Arial" w:hAnsi="Arial" w:cs="Arial"/>
                <w:b/>
                <w:color w:val="000000"/>
              </w:rPr>
            </w:pPr>
            <w:r w:rsidRPr="006D3A76">
              <w:rPr>
                <w:rFonts w:ascii="Arial" w:hAnsi="Arial" w:cs="Arial"/>
                <w:b/>
                <w:color w:val="000000"/>
              </w:rPr>
              <w:t>5</w:t>
            </w:r>
            <w:r>
              <w:rPr>
                <w:rFonts w:ascii="Arial" w:hAnsi="Arial" w:cs="Arial"/>
                <w:b/>
                <w:color w:val="000000"/>
              </w:rPr>
              <w:t> </w:t>
            </w:r>
            <w:r w:rsidRPr="006D3A76">
              <w:rPr>
                <w:rFonts w:ascii="Arial" w:hAnsi="Arial" w:cs="Arial"/>
                <w:b/>
                <w:color w:val="000000"/>
              </w:rPr>
              <w:t xml:space="preserve">855 </w:t>
            </w:r>
            <w:r>
              <w:rPr>
                <w:rFonts w:ascii="Arial" w:hAnsi="Arial" w:cs="Arial"/>
                <w:b/>
                <w:color w:val="000000"/>
              </w:rPr>
              <w:t>MHz to</w:t>
            </w:r>
            <w:r w:rsidRPr="006D3A76">
              <w:rPr>
                <w:rFonts w:ascii="Arial" w:hAnsi="Arial" w:cs="Arial"/>
                <w:b/>
                <w:color w:val="000000"/>
              </w:rPr>
              <w:t xml:space="preserve"> 5</w:t>
            </w:r>
            <w:r>
              <w:rPr>
                <w:rFonts w:ascii="Arial" w:hAnsi="Arial" w:cs="Arial"/>
                <w:b/>
                <w:color w:val="000000"/>
              </w:rPr>
              <w:t> </w:t>
            </w:r>
            <w:r w:rsidRPr="006D3A76">
              <w:rPr>
                <w:rFonts w:ascii="Arial" w:hAnsi="Arial" w:cs="Arial"/>
                <w:b/>
                <w:color w:val="000000"/>
              </w:rPr>
              <w:t>875 MHz</w:t>
            </w:r>
          </w:p>
        </w:tc>
        <w:tc>
          <w:tcPr>
            <w:tcW w:w="1574" w:type="dxa"/>
            <w:vAlign w:val="center"/>
          </w:tcPr>
          <w:p w:rsidR="008C43AA" w:rsidRDefault="008C43AA" w:rsidP="006D357C">
            <w:pPr>
              <w:pStyle w:val="TableTextS5"/>
              <w:spacing w:before="20" w:after="20"/>
              <w:rPr>
                <w:color w:val="000000"/>
                <w:lang w:val="en-AU"/>
              </w:rPr>
            </w:pPr>
            <w:r>
              <w:rPr>
                <w:color w:val="000000"/>
                <w:lang w:val="en-AU"/>
              </w:rPr>
              <w:t>FIXED</w:t>
            </w:r>
          </w:p>
          <w:p w:rsidR="008C43AA" w:rsidRDefault="008C43AA" w:rsidP="006D357C">
            <w:pPr>
              <w:pStyle w:val="TableTextS5"/>
              <w:spacing w:before="20" w:after="20"/>
              <w:ind w:left="170" w:hanging="170"/>
              <w:rPr>
                <w:color w:val="000000"/>
                <w:lang w:val="en-AU"/>
              </w:rPr>
            </w:pPr>
            <w:r>
              <w:rPr>
                <w:color w:val="000000"/>
                <w:lang w:val="en-AU"/>
              </w:rPr>
              <w:t>FIXED-SATELLITE</w:t>
            </w:r>
            <w:r>
              <w:rPr>
                <w:color w:val="000000"/>
                <w:lang w:val="en-AU"/>
              </w:rPr>
              <w:br/>
              <w:t>(Earth-to-space)</w:t>
            </w:r>
          </w:p>
          <w:p w:rsidR="008C43AA" w:rsidRPr="006D3A76" w:rsidRDefault="008C43AA" w:rsidP="006D357C">
            <w:pPr>
              <w:rPr>
                <w:rFonts w:ascii="Arial" w:hAnsi="Arial" w:cs="Arial"/>
                <w:color w:val="000000"/>
              </w:rPr>
            </w:pPr>
            <w:r>
              <w:rPr>
                <w:color w:val="000000"/>
                <w:lang w:val="en-AU"/>
              </w:rPr>
              <w:t>MOBILE</w:t>
            </w:r>
            <w:r w:rsidRPr="006D3A76" w:rsidDel="00FD51FA">
              <w:rPr>
                <w:rFonts w:ascii="Arial" w:hAnsi="Arial" w:cs="Arial"/>
                <w:color w:val="000000"/>
              </w:rPr>
              <w:t xml:space="preserve"> </w:t>
            </w:r>
          </w:p>
        </w:tc>
        <w:tc>
          <w:tcPr>
            <w:tcW w:w="1603" w:type="dxa"/>
            <w:vAlign w:val="center"/>
          </w:tcPr>
          <w:p w:rsidR="008C43AA" w:rsidRPr="006D3A76" w:rsidRDefault="008C43AA" w:rsidP="00B648BD">
            <w:pPr>
              <w:rPr>
                <w:rFonts w:ascii="Arial" w:hAnsi="Arial" w:cs="Arial"/>
                <w:color w:val="000000"/>
              </w:rPr>
            </w:pPr>
            <w:r w:rsidRPr="006D3A76">
              <w:rPr>
                <w:rFonts w:ascii="Arial" w:hAnsi="Arial" w:cs="Arial"/>
                <w:color w:val="000000"/>
              </w:rPr>
              <w:t>BFWA, ITS, SRDs, FSS (uplink), military systems (on a national level), ISM</w:t>
            </w:r>
          </w:p>
        </w:tc>
        <w:tc>
          <w:tcPr>
            <w:tcW w:w="1824" w:type="dxa"/>
            <w:vAlign w:val="center"/>
          </w:tcPr>
          <w:p w:rsidR="008C43AA" w:rsidRPr="006D3A76" w:rsidRDefault="008C43AA" w:rsidP="00B648BD">
            <w:pPr>
              <w:rPr>
                <w:rFonts w:ascii="Arial" w:hAnsi="Arial" w:cs="Arial"/>
                <w:color w:val="000000"/>
              </w:rPr>
            </w:pPr>
            <w:r w:rsidRPr="006D3A76">
              <w:rPr>
                <w:rFonts w:ascii="Arial" w:hAnsi="Arial" w:cs="Arial"/>
                <w:color w:val="000000"/>
              </w:rPr>
              <w:t>RLS, RTTT, BFWA, SRDs, ITS</w:t>
            </w:r>
          </w:p>
        </w:tc>
      </w:tr>
    </w:tbl>
    <w:p w:rsidR="004A6009" w:rsidRDefault="004A6009" w:rsidP="00B648BD">
      <w:pPr>
        <w:rPr>
          <w:color w:val="000000"/>
        </w:rPr>
      </w:pPr>
    </w:p>
    <w:p w:rsidR="00A929D9" w:rsidRPr="006D357C" w:rsidRDefault="00A929D9" w:rsidP="00B648BD">
      <w:pPr>
        <w:rPr>
          <w:color w:val="000000"/>
        </w:rPr>
      </w:pPr>
      <w:r w:rsidRPr="006D357C">
        <w:rPr>
          <w:rFonts w:ascii="Arial" w:hAnsi="Arial" w:cs="Arial"/>
          <w:color w:val="000000"/>
        </w:rPr>
        <w:t xml:space="preserve">Current common allocation of the </w:t>
      </w:r>
      <w:r w:rsidR="006D357C">
        <w:rPr>
          <w:rFonts w:ascii="Arial" w:hAnsi="Arial" w:cs="Arial"/>
          <w:color w:val="000000"/>
        </w:rPr>
        <w:t xml:space="preserve">above </w:t>
      </w:r>
      <w:r w:rsidRPr="006D357C">
        <w:rPr>
          <w:rFonts w:ascii="Arial" w:hAnsi="Arial" w:cs="Arial"/>
          <w:color w:val="000000"/>
        </w:rPr>
        <w:t>bands in Europe is given in ERC Report 25 [i.2]</w:t>
      </w:r>
    </w:p>
    <w:p w:rsidR="004A6009" w:rsidRDefault="004A6009" w:rsidP="00B648BD">
      <w:pPr>
        <w:rPr>
          <w:b/>
        </w:rPr>
      </w:pPr>
    </w:p>
    <w:p w:rsidR="004A6009" w:rsidRPr="00CB3017" w:rsidRDefault="004A6009" w:rsidP="00B648BD">
      <w:pPr>
        <w:rPr>
          <w:color w:val="000000"/>
        </w:rPr>
      </w:pPr>
      <w:bookmarkStart w:id="38" w:name="_GoBack"/>
      <w:bookmarkEnd w:id="38"/>
    </w:p>
    <w:p w:rsidR="004A6009" w:rsidRPr="009B530D" w:rsidRDefault="004A6009" w:rsidP="00B648BD">
      <w:pPr>
        <w:rPr>
          <w:b/>
        </w:rPr>
      </w:pPr>
    </w:p>
    <w:p w:rsidR="004A6009" w:rsidRPr="00FB1466" w:rsidRDefault="004A6009" w:rsidP="00200E1D">
      <w:pPr>
        <w:pStyle w:val="Heading4"/>
      </w:pPr>
      <w:r>
        <w:lastRenderedPageBreak/>
        <w:t>7.2.1.2</w:t>
      </w:r>
      <w:r w:rsidRPr="00FB1466">
        <w:tab/>
      </w:r>
      <w:r>
        <w:t>Sharing and compatibility</w:t>
      </w:r>
      <w:r w:rsidRPr="00FB1466">
        <w:t xml:space="preserve"> studies </w:t>
      </w:r>
      <w:r>
        <w:t>already available</w:t>
      </w:r>
      <w:bookmarkEnd w:id="37"/>
    </w:p>
    <w:p w:rsidR="004A6009" w:rsidRDefault="004A6009" w:rsidP="001B0718">
      <w:pPr>
        <w:pStyle w:val="Heading4"/>
        <w:ind w:left="0" w:firstLine="0"/>
        <w:rPr>
          <w:rFonts w:ascii="Times New Roman" w:hAnsi="Times New Roman"/>
          <w:sz w:val="20"/>
        </w:rPr>
      </w:pPr>
      <w:bookmarkStart w:id="39" w:name="_Toc233514052"/>
      <w:r>
        <w:rPr>
          <w:rFonts w:ascii="Times New Roman" w:hAnsi="Times New Roman"/>
          <w:sz w:val="20"/>
        </w:rPr>
        <w:t>At the time of drafting the present document, the sharing and compatibility studies between DA2G links and other systems are in the early stages within the CEPT/ECC Spectrum Engineering Working Group.  A number of bands have been identified for initial study, including the 2</w:t>
      </w:r>
      <w:proofErr w:type="gramStart"/>
      <w:r>
        <w:rPr>
          <w:rFonts w:ascii="Times New Roman" w:hAnsi="Times New Roman"/>
          <w:sz w:val="20"/>
        </w:rPr>
        <w:t>,4</w:t>
      </w:r>
      <w:proofErr w:type="gramEnd"/>
      <w:r>
        <w:rPr>
          <w:rFonts w:ascii="Times New Roman" w:hAnsi="Times New Roman"/>
          <w:sz w:val="20"/>
        </w:rPr>
        <w:t> GHz and 5,8 GHz bands for which this system has presently been optimised. An initial study examining sharing between the currently described system and RLANs in the 2</w:t>
      </w:r>
      <w:proofErr w:type="gramStart"/>
      <w:r>
        <w:rPr>
          <w:rFonts w:ascii="Times New Roman" w:hAnsi="Times New Roman"/>
          <w:sz w:val="20"/>
        </w:rPr>
        <w:t>,4</w:t>
      </w:r>
      <w:proofErr w:type="gramEnd"/>
      <w:r>
        <w:rPr>
          <w:rFonts w:ascii="Times New Roman" w:hAnsi="Times New Roman"/>
          <w:sz w:val="20"/>
        </w:rPr>
        <w:t xml:space="preserve"> GHz band has been presented to the Working Group, but no final conclusions have yet been drawn. </w:t>
      </w:r>
    </w:p>
    <w:p w:rsidR="004A6009" w:rsidRDefault="004A6009" w:rsidP="00EB1F3C">
      <w:r>
        <w:t>Studies [i.12] on co-channel operation of</w:t>
      </w:r>
      <w:r w:rsidRPr="005C6757">
        <w:t xml:space="preserve"> the DA2GC system described in </w:t>
      </w:r>
      <w:r>
        <w:t xml:space="preserve">[i.4] and </w:t>
      </w:r>
      <w:r w:rsidRPr="005C6757">
        <w:t xml:space="preserve">outdoor RLAN devices in the band 2400-2483.5 MHz </w:t>
      </w:r>
      <w:r>
        <w:t xml:space="preserve">- </w:t>
      </w:r>
      <w:r w:rsidRPr="005C6757">
        <w:t xml:space="preserve">by considering </w:t>
      </w:r>
      <w:r>
        <w:t>aircraft</w:t>
      </w:r>
      <w:r w:rsidRPr="005C6757">
        <w:t xml:space="preserve"> altitude</w:t>
      </w:r>
      <w:r>
        <w:t>s</w:t>
      </w:r>
      <w:r w:rsidRPr="005C6757">
        <w:t xml:space="preserve"> of 3 000 m </w:t>
      </w:r>
      <w:r>
        <w:t>and</w:t>
      </w:r>
      <w:r w:rsidRPr="005C6757">
        <w:t xml:space="preserve"> 10 000 m</w:t>
      </w:r>
      <w:r>
        <w:t xml:space="preserve"> - </w:t>
      </w:r>
      <w:r w:rsidR="00A929D9">
        <w:t xml:space="preserve">concluded that </w:t>
      </w:r>
      <w:r>
        <w:t>interference into the AS receiver for</w:t>
      </w:r>
      <w:r w:rsidRPr="005C6757">
        <w:t xml:space="preserve"> </w:t>
      </w:r>
      <w:r>
        <w:t xml:space="preserve">the </w:t>
      </w:r>
      <w:r w:rsidRPr="005C6757">
        <w:t xml:space="preserve">forward link (ground-to-air) </w:t>
      </w:r>
      <w:r>
        <w:t>as well as into the RLAN receivers for the</w:t>
      </w:r>
      <w:r w:rsidRPr="005C6757">
        <w:t xml:space="preserve"> reverse link (air-to-ground)</w:t>
      </w:r>
      <w:r w:rsidR="00A929D9">
        <w:t xml:space="preserve"> would occur</w:t>
      </w:r>
      <w:r w:rsidRPr="005C6757">
        <w:t>.</w:t>
      </w:r>
    </w:p>
    <w:p w:rsidR="004A6009" w:rsidRDefault="004A6009" w:rsidP="00EB1F3C"/>
    <w:p w:rsidR="004A6009" w:rsidRDefault="004A6009" w:rsidP="00200E1D">
      <w:pPr>
        <w:pStyle w:val="Heading4"/>
      </w:pPr>
      <w:r>
        <w:t>7.2.1.3</w:t>
      </w:r>
      <w:r>
        <w:tab/>
        <w:t>Sharing and compatibility</w:t>
      </w:r>
      <w:r w:rsidRPr="00FB1466">
        <w:t xml:space="preserve"> issues </w:t>
      </w:r>
      <w:r>
        <w:t>still to be considered</w:t>
      </w:r>
      <w:bookmarkEnd w:id="39"/>
    </w:p>
    <w:p w:rsidR="004A6009" w:rsidRDefault="004A6009" w:rsidP="00C73EB5">
      <w:pPr>
        <w:pStyle w:val="Heading4"/>
        <w:ind w:left="0" w:firstLine="0"/>
        <w:rPr>
          <w:rFonts w:ascii="Times New Roman" w:hAnsi="Times New Roman"/>
          <w:sz w:val="20"/>
        </w:rPr>
      </w:pPr>
      <w:r>
        <w:rPr>
          <w:rFonts w:ascii="Times New Roman" w:hAnsi="Times New Roman"/>
          <w:sz w:val="20"/>
        </w:rPr>
        <w:t>A number of different sharing scenarios will need to be studied for each of the bands under consideration.  This will entail sharing/compatibility between DA2G communications and a range of other services in the same and in adjacent frequency bands.  These studies will need to include sharing/compatibility with both air-to-ground and ground-to-air links, depending on the choice of FDD or TDD operation.</w:t>
      </w:r>
    </w:p>
    <w:p w:rsidR="004A6009" w:rsidRDefault="004A6009" w:rsidP="00C73EB5">
      <w:r>
        <w:t>The parameters to be used for the victim systems will be based on agreed parameters contained within existing ECC and ETSI deliverables, supplemented by the most up-to-date information where available from the expert Project Teams concerned.</w:t>
      </w:r>
    </w:p>
    <w:p w:rsidR="004A6009" w:rsidRDefault="004A6009" w:rsidP="00C73EB5">
      <w:r>
        <w:t xml:space="preserve">It has been recognised that, in CEPT countries, the 2,4 GHz band is densely populated with equipment operating on a licence-exempt basis (e.g. RLANs, Bluetooth and other SRDs), which is likely to place challenging constraints on the practical deployment of broadband DA2G  Ground Stations, even when employing beamforming antennas.  </w:t>
      </w:r>
    </w:p>
    <w:p w:rsidR="004A6009" w:rsidRDefault="004A6009" w:rsidP="00C73EB5">
      <w:r>
        <w:t>The uniform density of radio equipment currently in usage in the band 2400-2484.5 MHz is show in the table below (see also [i.13])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1"/>
        <w:gridCol w:w="1256"/>
        <w:gridCol w:w="1256"/>
        <w:gridCol w:w="1257"/>
        <w:gridCol w:w="1256"/>
        <w:gridCol w:w="1256"/>
        <w:gridCol w:w="1257"/>
        <w:gridCol w:w="126"/>
      </w:tblGrid>
      <w:tr w:rsidR="004A6009" w:rsidRPr="008F5658" w:rsidTr="009870B6">
        <w:trPr>
          <w:gridAfter w:val="1"/>
          <w:wAfter w:w="126" w:type="dxa"/>
        </w:trPr>
        <w:tc>
          <w:tcPr>
            <w:tcW w:w="1471" w:type="dxa"/>
          </w:tcPr>
          <w:p w:rsidR="004A6009" w:rsidRPr="008F5658" w:rsidRDefault="004A6009" w:rsidP="004A5130"/>
        </w:tc>
        <w:tc>
          <w:tcPr>
            <w:tcW w:w="1256" w:type="dxa"/>
          </w:tcPr>
          <w:p w:rsidR="004A6009" w:rsidRPr="004A6009" w:rsidRDefault="004A6009" w:rsidP="004A5130">
            <w:r w:rsidRPr="008F5658">
              <w:t xml:space="preserve">RLAN/ </w:t>
            </w:r>
            <w:proofErr w:type="spellStart"/>
            <w:r w:rsidRPr="008F5658">
              <w:t>Wifi</w:t>
            </w:r>
            <w:proofErr w:type="spellEnd"/>
            <w:r w:rsidRPr="008F5658">
              <w:t xml:space="preserve"> – Outdoor (including p2p, p2mp, mesh</w:t>
            </w:r>
            <w:r>
              <w:t xml:space="preserve"> </w:t>
            </w:r>
            <w:r w:rsidRPr="008F5658">
              <w:t>...</w:t>
            </w:r>
            <w:r w:rsidRPr="00EB1F3C">
              <w:t>)</w:t>
            </w:r>
          </w:p>
        </w:tc>
        <w:tc>
          <w:tcPr>
            <w:tcW w:w="1256" w:type="dxa"/>
          </w:tcPr>
          <w:p w:rsidR="004A6009" w:rsidRPr="004A6009" w:rsidRDefault="004A6009" w:rsidP="004A5130">
            <w:r w:rsidRPr="00EB1F3C">
              <w:t xml:space="preserve">RLAN/ </w:t>
            </w:r>
            <w:proofErr w:type="spellStart"/>
            <w:r w:rsidRPr="00EB1F3C">
              <w:t>Wifi</w:t>
            </w:r>
            <w:proofErr w:type="spellEnd"/>
            <w:r w:rsidRPr="00EB1F3C">
              <w:t xml:space="preserve"> </w:t>
            </w:r>
            <w:r w:rsidRPr="00BE3D36">
              <w:t>–</w:t>
            </w:r>
            <w:r w:rsidRPr="00EB1F3C">
              <w:t xml:space="preserve"> indoor</w:t>
            </w:r>
          </w:p>
        </w:tc>
        <w:tc>
          <w:tcPr>
            <w:tcW w:w="1257" w:type="dxa"/>
          </w:tcPr>
          <w:p w:rsidR="004A6009" w:rsidRPr="004A6009" w:rsidRDefault="004A6009" w:rsidP="004A5130">
            <w:r w:rsidRPr="00EB1F3C">
              <w:t>Bluetooth</w:t>
            </w:r>
          </w:p>
        </w:tc>
        <w:tc>
          <w:tcPr>
            <w:tcW w:w="1256" w:type="dxa"/>
          </w:tcPr>
          <w:p w:rsidR="004A6009" w:rsidRPr="0002439D" w:rsidRDefault="004A6009" w:rsidP="004A5130">
            <w:pPr>
              <w:rPr>
                <w:b/>
              </w:rPr>
            </w:pPr>
            <w:r w:rsidRPr="00EB1F3C">
              <w:t>Bluetooth</w:t>
            </w:r>
          </w:p>
          <w:p w:rsidR="004A6009" w:rsidRPr="004A6009" w:rsidRDefault="004A6009" w:rsidP="004A5130">
            <w:r w:rsidRPr="00EB1F3C">
              <w:t>(class 1)</w:t>
            </w:r>
          </w:p>
        </w:tc>
        <w:tc>
          <w:tcPr>
            <w:tcW w:w="1256" w:type="dxa"/>
          </w:tcPr>
          <w:p w:rsidR="004A6009" w:rsidRPr="004A6009" w:rsidRDefault="004A6009" w:rsidP="004A5130">
            <w:proofErr w:type="spellStart"/>
            <w:r w:rsidRPr="00EB1F3C">
              <w:t>Zigbee</w:t>
            </w:r>
            <w:proofErr w:type="spellEnd"/>
            <w:r w:rsidRPr="00EB1F3C">
              <w:t xml:space="preserve"> </w:t>
            </w:r>
            <w:r w:rsidRPr="00BE3D36">
              <w:t>–</w:t>
            </w:r>
            <w:r w:rsidRPr="00EB1F3C">
              <w:t xml:space="preserve"> 802.15.4</w:t>
            </w:r>
          </w:p>
        </w:tc>
        <w:tc>
          <w:tcPr>
            <w:tcW w:w="1257" w:type="dxa"/>
          </w:tcPr>
          <w:p w:rsidR="004A6009" w:rsidRPr="004A6009" w:rsidRDefault="004A6009" w:rsidP="004A5130">
            <w:r w:rsidRPr="00EB1F3C">
              <w:t>RFID</w:t>
            </w:r>
          </w:p>
        </w:tc>
      </w:tr>
      <w:tr w:rsidR="004A6009" w:rsidRPr="008F5658" w:rsidTr="009870B6">
        <w:trPr>
          <w:gridAfter w:val="1"/>
          <w:wAfter w:w="126" w:type="dxa"/>
        </w:trPr>
        <w:tc>
          <w:tcPr>
            <w:tcW w:w="1471" w:type="dxa"/>
          </w:tcPr>
          <w:p w:rsidR="004A6009" w:rsidRPr="008F5658" w:rsidRDefault="004A6009" w:rsidP="004A5130">
            <w:r w:rsidRPr="008F5658">
              <w:t>Uniform Density</w:t>
            </w:r>
          </w:p>
          <w:p w:rsidR="004A6009" w:rsidRPr="008F5658" w:rsidRDefault="004A6009" w:rsidP="004A5130">
            <w:r w:rsidRPr="008F5658">
              <w:t>per km</w:t>
            </w:r>
            <w:r w:rsidRPr="008F5658">
              <w:rPr>
                <w:vertAlign w:val="superscript"/>
              </w:rPr>
              <w:t>2</w:t>
            </w:r>
          </w:p>
        </w:tc>
        <w:tc>
          <w:tcPr>
            <w:tcW w:w="1256" w:type="dxa"/>
          </w:tcPr>
          <w:p w:rsidR="004A6009" w:rsidRPr="008F5658" w:rsidRDefault="004A6009" w:rsidP="004A5130">
            <w:r w:rsidRPr="008F5658">
              <w:t>50</w:t>
            </w:r>
          </w:p>
        </w:tc>
        <w:tc>
          <w:tcPr>
            <w:tcW w:w="1256" w:type="dxa"/>
          </w:tcPr>
          <w:p w:rsidR="004A6009" w:rsidRPr="008F5658" w:rsidRDefault="004A6009" w:rsidP="004A5130">
            <w:r w:rsidRPr="008F5658">
              <w:t>5000</w:t>
            </w:r>
          </w:p>
          <w:p w:rsidR="004A6009" w:rsidRPr="008F5658" w:rsidRDefault="004A6009" w:rsidP="004A5130">
            <w:r w:rsidRPr="008F5658">
              <w:t>(e.g. Monaco)</w:t>
            </w:r>
          </w:p>
        </w:tc>
        <w:tc>
          <w:tcPr>
            <w:tcW w:w="1257" w:type="dxa"/>
          </w:tcPr>
          <w:p w:rsidR="004A6009" w:rsidRPr="008F5658" w:rsidRDefault="004A6009" w:rsidP="004A5130">
            <w:r w:rsidRPr="008F5658">
              <w:t>10.000</w:t>
            </w:r>
          </w:p>
          <w:p w:rsidR="004A6009" w:rsidRPr="008F5658" w:rsidRDefault="004A6009" w:rsidP="004A5130">
            <w:r w:rsidRPr="008F5658">
              <w:t>(e.g. Monaco)</w:t>
            </w:r>
          </w:p>
        </w:tc>
        <w:tc>
          <w:tcPr>
            <w:tcW w:w="1256" w:type="dxa"/>
          </w:tcPr>
          <w:p w:rsidR="004A6009" w:rsidRPr="008F5658" w:rsidRDefault="004A6009" w:rsidP="004A5130">
            <w:r w:rsidRPr="008F5658">
              <w:t>1000</w:t>
            </w:r>
          </w:p>
        </w:tc>
        <w:tc>
          <w:tcPr>
            <w:tcW w:w="1256" w:type="dxa"/>
          </w:tcPr>
          <w:p w:rsidR="004A6009" w:rsidRPr="008F5658" w:rsidRDefault="004A6009" w:rsidP="004A5130">
            <w:r w:rsidRPr="008F5658">
              <w:t>100</w:t>
            </w:r>
          </w:p>
        </w:tc>
        <w:tc>
          <w:tcPr>
            <w:tcW w:w="1257" w:type="dxa"/>
          </w:tcPr>
          <w:p w:rsidR="004A6009" w:rsidRPr="008F5658" w:rsidRDefault="004A6009" w:rsidP="004A5130">
            <w:r w:rsidRPr="008F5658">
              <w:t>100</w:t>
            </w:r>
          </w:p>
        </w:tc>
      </w:tr>
      <w:tr w:rsidR="004A6009" w:rsidRPr="008F5658" w:rsidTr="009870B6">
        <w:trPr>
          <w:gridAfter w:val="1"/>
          <w:wAfter w:w="126" w:type="dxa"/>
        </w:trPr>
        <w:tc>
          <w:tcPr>
            <w:tcW w:w="1471" w:type="dxa"/>
          </w:tcPr>
          <w:p w:rsidR="004A6009" w:rsidRPr="008F5658" w:rsidRDefault="004A6009" w:rsidP="004A5130">
            <w:r w:rsidRPr="008F5658">
              <w:t>Percentage indoor</w:t>
            </w:r>
          </w:p>
        </w:tc>
        <w:tc>
          <w:tcPr>
            <w:tcW w:w="1256" w:type="dxa"/>
          </w:tcPr>
          <w:p w:rsidR="004A6009" w:rsidRPr="008F5658" w:rsidRDefault="004A6009" w:rsidP="004A5130">
            <w:r w:rsidRPr="008F5658">
              <w:t>0 %</w:t>
            </w:r>
          </w:p>
        </w:tc>
        <w:tc>
          <w:tcPr>
            <w:tcW w:w="1256" w:type="dxa"/>
          </w:tcPr>
          <w:p w:rsidR="004A6009" w:rsidRPr="008F5658" w:rsidRDefault="004A6009" w:rsidP="004A5130">
            <w:r w:rsidRPr="008F5658">
              <w:t>99 %</w:t>
            </w:r>
          </w:p>
        </w:tc>
        <w:tc>
          <w:tcPr>
            <w:tcW w:w="1257" w:type="dxa"/>
          </w:tcPr>
          <w:p w:rsidR="004A6009" w:rsidRPr="008F5658" w:rsidRDefault="004A6009" w:rsidP="004A5130">
            <w:r w:rsidRPr="008F5658">
              <w:t>75 %</w:t>
            </w:r>
          </w:p>
        </w:tc>
        <w:tc>
          <w:tcPr>
            <w:tcW w:w="1256" w:type="dxa"/>
          </w:tcPr>
          <w:p w:rsidR="004A6009" w:rsidRPr="008F5658" w:rsidRDefault="004A6009" w:rsidP="004A5130">
            <w:r w:rsidRPr="008F5658">
              <w:t>98 %</w:t>
            </w:r>
          </w:p>
        </w:tc>
        <w:tc>
          <w:tcPr>
            <w:tcW w:w="1256" w:type="dxa"/>
          </w:tcPr>
          <w:p w:rsidR="004A6009" w:rsidRPr="008F5658" w:rsidRDefault="004A6009" w:rsidP="004A5130">
            <w:r w:rsidRPr="008F5658">
              <w:t>99 %</w:t>
            </w:r>
          </w:p>
        </w:tc>
        <w:tc>
          <w:tcPr>
            <w:tcW w:w="1257" w:type="dxa"/>
          </w:tcPr>
          <w:p w:rsidR="004A6009" w:rsidRPr="008F5658" w:rsidRDefault="004A6009" w:rsidP="004A5130">
            <w:r w:rsidRPr="008F5658">
              <w:t>75 %</w:t>
            </w:r>
          </w:p>
        </w:tc>
      </w:tr>
      <w:tr w:rsidR="004A6009" w:rsidRPr="008F5658" w:rsidTr="00987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9135" w:type="dxa"/>
            <w:gridSpan w:val="8"/>
          </w:tcPr>
          <w:p w:rsidR="004A6009" w:rsidRPr="008F5658" w:rsidRDefault="004A6009" w:rsidP="004A5130"/>
        </w:tc>
      </w:tr>
    </w:tbl>
    <w:p w:rsidR="004A6009" w:rsidRDefault="004A6009" w:rsidP="00C73EB5">
      <w:r>
        <w:t>Consequently, although studies began with an initial analysis on the compatibility of the system described in the present document with RLANs in the 2,4 GHz band, it is anticipated that future studies will focus more on the 5,8 GHz band.</w:t>
      </w:r>
    </w:p>
    <w:p w:rsidR="002F093F" w:rsidRPr="00B275A2" w:rsidRDefault="004A6009" w:rsidP="00FE6FF2">
      <w:r w:rsidRPr="00B275A2">
        <w:t>The band 57</w:t>
      </w:r>
      <w:r w:rsidR="00013B05">
        <w:t>5</w:t>
      </w:r>
      <w:r w:rsidRPr="00B275A2">
        <w:t xml:space="preserve">5-5875 MHz is assigned to </w:t>
      </w:r>
      <w:r w:rsidR="002F093F" w:rsidRPr="006D3A76">
        <w:rPr>
          <w:rFonts w:ascii="Arial" w:hAnsi="Arial" w:cs="Arial"/>
          <w:color w:val="000000"/>
        </w:rPr>
        <w:t>BFWA</w:t>
      </w:r>
      <w:r w:rsidR="00776653">
        <w:rPr>
          <w:rFonts w:ascii="Arial" w:hAnsi="Arial" w:cs="Arial"/>
          <w:color w:val="000000"/>
        </w:rPr>
        <w:t xml:space="preserve"> [i.14</w:t>
      </w:r>
      <w:r w:rsidR="00596BB7">
        <w:rPr>
          <w:rFonts w:ascii="Arial" w:hAnsi="Arial" w:cs="Arial"/>
          <w:color w:val="000000"/>
        </w:rPr>
        <w:t>] and [i.15</w:t>
      </w:r>
      <w:r w:rsidR="00776653">
        <w:rPr>
          <w:rFonts w:ascii="Arial" w:hAnsi="Arial" w:cs="Arial"/>
          <w:color w:val="000000"/>
        </w:rPr>
        <w:t>]</w:t>
      </w:r>
      <w:r w:rsidR="002F093F" w:rsidRPr="006D3A76">
        <w:rPr>
          <w:rFonts w:ascii="Arial" w:hAnsi="Arial" w:cs="Arial"/>
          <w:color w:val="000000"/>
        </w:rPr>
        <w:t>, ITS, SRDs, FSS (uplink), military systems (on a national level)</w:t>
      </w:r>
      <w:r w:rsidR="00776653">
        <w:rPr>
          <w:rFonts w:ascii="Arial" w:hAnsi="Arial" w:cs="Arial"/>
          <w:color w:val="000000"/>
        </w:rPr>
        <w:t xml:space="preserve"> and</w:t>
      </w:r>
      <w:r w:rsidR="002F093F" w:rsidRPr="006D3A76">
        <w:rPr>
          <w:rFonts w:ascii="Arial" w:hAnsi="Arial" w:cs="Arial"/>
          <w:color w:val="000000"/>
        </w:rPr>
        <w:t xml:space="preserve"> ISM</w:t>
      </w:r>
      <w:r w:rsidR="00776653">
        <w:rPr>
          <w:rFonts w:ascii="Arial" w:hAnsi="Arial" w:cs="Arial"/>
          <w:color w:val="000000"/>
        </w:rPr>
        <w:t>.</w:t>
      </w:r>
      <w:r w:rsidR="002F093F" w:rsidRPr="00B275A2" w:rsidDel="002F093F">
        <w:t xml:space="preserve"> </w:t>
      </w:r>
      <w:r w:rsidR="00776653">
        <w:t xml:space="preserve">  Adjacent band usage encompasses </w:t>
      </w:r>
      <w:r w:rsidR="00776653" w:rsidRPr="006D3A76">
        <w:rPr>
          <w:rFonts w:ascii="Arial" w:hAnsi="Arial" w:cs="Arial"/>
          <w:color w:val="000000"/>
        </w:rPr>
        <w:t>RLS, RTTT, BFWA, SRDs, ITS</w:t>
      </w:r>
    </w:p>
    <w:p w:rsidR="004A6009" w:rsidRPr="00FE6FF2" w:rsidRDefault="004A6009" w:rsidP="00FE6FF2"/>
    <w:p w:rsidR="004A6009" w:rsidRPr="00C73EB5" w:rsidRDefault="004A6009" w:rsidP="00C73EB5"/>
    <w:p w:rsidR="004A6009" w:rsidRDefault="004A6009" w:rsidP="00BD75B2">
      <w:pPr>
        <w:pStyle w:val="Heading3"/>
      </w:pPr>
      <w:bookmarkStart w:id="40" w:name="_Toc233514053"/>
      <w:r>
        <w:lastRenderedPageBreak/>
        <w:t>7.2.2</w:t>
      </w:r>
      <w:r w:rsidRPr="00FB1466">
        <w:tab/>
      </w:r>
      <w:r>
        <w:t>Transmitter parameters</w:t>
      </w:r>
      <w:bookmarkEnd w:id="40"/>
    </w:p>
    <w:p w:rsidR="004A6009" w:rsidRPr="00FB1466" w:rsidRDefault="004A6009" w:rsidP="00745BFF">
      <w:pPr>
        <w:pStyle w:val="Heading4"/>
      </w:pPr>
      <w:bookmarkStart w:id="41" w:name="_Toc233514054"/>
      <w:r>
        <w:t>7.2.2.1</w:t>
      </w:r>
      <w:r>
        <w:tab/>
        <w:t xml:space="preserve">Transmitter Output Power / Radiated </w:t>
      </w:r>
      <w:r w:rsidRPr="00FB1466">
        <w:t>Power</w:t>
      </w:r>
      <w:bookmarkEnd w:id="41"/>
    </w:p>
    <w:tbl>
      <w:tblPr>
        <w:tblW w:w="6663" w:type="dxa"/>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4820"/>
        <w:gridCol w:w="921"/>
        <w:gridCol w:w="922"/>
      </w:tblGrid>
      <w:tr w:rsidR="00BF5A15" w:rsidRPr="00A72A6A" w:rsidTr="00357D6E">
        <w:trPr>
          <w:trHeight w:val="255"/>
        </w:trPr>
        <w:tc>
          <w:tcPr>
            <w:tcW w:w="4820" w:type="dxa"/>
            <w:shd w:val="clear" w:color="auto" w:fill="auto"/>
            <w:noWrap/>
            <w:vAlign w:val="center"/>
          </w:tcPr>
          <w:p w:rsidR="00BF5A15" w:rsidRPr="00357D6E" w:rsidRDefault="00357D6E" w:rsidP="00357D6E">
            <w:pPr>
              <w:pStyle w:val="Table"/>
              <w:rPr>
                <w:b/>
              </w:rPr>
            </w:pPr>
            <w:r w:rsidRPr="00357D6E">
              <w:rPr>
                <w:b/>
              </w:rPr>
              <w:t>Parameter</w:t>
            </w:r>
          </w:p>
        </w:tc>
        <w:tc>
          <w:tcPr>
            <w:tcW w:w="921" w:type="dxa"/>
            <w:shd w:val="clear" w:color="auto" w:fill="auto"/>
            <w:noWrap/>
            <w:vAlign w:val="center"/>
          </w:tcPr>
          <w:p w:rsidR="00BF5A15" w:rsidRPr="00357D6E" w:rsidRDefault="00BF5A15" w:rsidP="00357D6E">
            <w:pPr>
              <w:pStyle w:val="Table"/>
              <w:rPr>
                <w:b/>
              </w:rPr>
            </w:pPr>
            <w:proofErr w:type="spellStart"/>
            <w:r w:rsidRPr="00357D6E">
              <w:rPr>
                <w:b/>
              </w:rPr>
              <w:t>Tx</w:t>
            </w:r>
            <w:proofErr w:type="spellEnd"/>
            <w:r w:rsidRPr="00357D6E">
              <w:rPr>
                <w:b/>
              </w:rPr>
              <w:t>-output</w:t>
            </w:r>
          </w:p>
        </w:tc>
        <w:tc>
          <w:tcPr>
            <w:tcW w:w="922" w:type="dxa"/>
            <w:shd w:val="clear" w:color="auto" w:fill="auto"/>
            <w:vAlign w:val="center"/>
          </w:tcPr>
          <w:p w:rsidR="00BF5A15" w:rsidRPr="00357D6E" w:rsidRDefault="00BF5A15" w:rsidP="00357D6E">
            <w:pPr>
              <w:pStyle w:val="Table"/>
              <w:rPr>
                <w:b/>
              </w:rPr>
            </w:pPr>
            <w:r w:rsidRPr="00357D6E">
              <w:rPr>
                <w:b/>
              </w:rPr>
              <w:t>e.i.r.p</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rsidRPr="00596B6C">
              <w:t xml:space="preserve">Maximum </w:t>
            </w:r>
            <w:r>
              <w:t>transmit power (</w:t>
            </w:r>
            <w:r w:rsidRPr="00596B6C">
              <w:t>ground station</w:t>
            </w:r>
            <w:r>
              <w:t>)</w:t>
            </w:r>
            <w:r w:rsidRPr="00596B6C">
              <w:t xml:space="preserve"> </w:t>
            </w:r>
            <w:r>
              <w:t xml:space="preserve"> </w:t>
            </w:r>
            <w:r w:rsidRPr="00596B6C">
              <w:t xml:space="preserve"> (dBm)</w:t>
            </w:r>
            <w:r>
              <w:t xml:space="preserve"> for a single beam, see NOTE 1</w:t>
            </w:r>
          </w:p>
        </w:tc>
        <w:tc>
          <w:tcPr>
            <w:tcW w:w="921" w:type="dxa"/>
            <w:shd w:val="clear" w:color="auto" w:fill="auto"/>
            <w:noWrap/>
            <w:vAlign w:val="bottom"/>
          </w:tcPr>
          <w:p w:rsidR="00BF5A15" w:rsidRPr="00596B6C" w:rsidRDefault="00BF5A15" w:rsidP="00A512BC">
            <w:pPr>
              <w:pStyle w:val="Table"/>
            </w:pPr>
            <w:r w:rsidRPr="00596B6C">
              <w:t>25</w:t>
            </w:r>
          </w:p>
        </w:tc>
        <w:tc>
          <w:tcPr>
            <w:tcW w:w="922" w:type="dxa"/>
            <w:shd w:val="clear" w:color="auto" w:fill="auto"/>
            <w:vAlign w:val="bottom"/>
          </w:tcPr>
          <w:p w:rsidR="00BF5A15" w:rsidRPr="00596B6C" w:rsidRDefault="00BF5A15" w:rsidP="00A512BC">
            <w:pPr>
              <w:pStyle w:val="Table"/>
            </w:pPr>
            <w:r>
              <w:t>45</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rsidRPr="00596B6C">
              <w:t xml:space="preserve">Maximum aircraft </w:t>
            </w:r>
            <w:r>
              <w:t xml:space="preserve">station </w:t>
            </w:r>
            <w:r w:rsidRPr="00596B6C">
              <w:t>power (dBm)</w:t>
            </w:r>
            <w:r>
              <w:t>, see NOTE 2</w:t>
            </w:r>
          </w:p>
        </w:tc>
        <w:tc>
          <w:tcPr>
            <w:tcW w:w="921" w:type="dxa"/>
            <w:shd w:val="clear" w:color="auto" w:fill="auto"/>
            <w:noWrap/>
            <w:vAlign w:val="bottom"/>
          </w:tcPr>
          <w:p w:rsidR="00BF5A15" w:rsidRPr="00596B6C" w:rsidRDefault="00BF5A15" w:rsidP="00A512BC">
            <w:pPr>
              <w:pStyle w:val="Table"/>
            </w:pPr>
            <w:r w:rsidRPr="00596B6C">
              <w:t>28</w:t>
            </w:r>
          </w:p>
        </w:tc>
        <w:tc>
          <w:tcPr>
            <w:tcW w:w="922" w:type="dxa"/>
            <w:shd w:val="clear" w:color="auto" w:fill="auto"/>
            <w:vAlign w:val="bottom"/>
          </w:tcPr>
          <w:p w:rsidR="00BF5A15" w:rsidRPr="00596B6C" w:rsidRDefault="00BF5A15" w:rsidP="00A512BC">
            <w:pPr>
              <w:pStyle w:val="Table"/>
            </w:pPr>
            <w:r>
              <w:t>45</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rsidRPr="00596B6C">
              <w:t>ATPC used?</w:t>
            </w:r>
          </w:p>
        </w:tc>
        <w:tc>
          <w:tcPr>
            <w:tcW w:w="1843" w:type="dxa"/>
            <w:gridSpan w:val="2"/>
            <w:shd w:val="clear" w:color="auto" w:fill="auto"/>
            <w:noWrap/>
            <w:vAlign w:val="bottom"/>
          </w:tcPr>
          <w:p w:rsidR="00BF5A15" w:rsidRPr="00596B6C" w:rsidRDefault="00BF5A15" w:rsidP="00A512BC">
            <w:pPr>
              <w:pStyle w:val="Table"/>
            </w:pPr>
            <w:r w:rsidRPr="00596B6C">
              <w:t>Yes</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t xml:space="preserve">Maximum operational </w:t>
            </w:r>
            <w:r w:rsidRPr="00596B6C">
              <w:t>ATPC range (dB)</w:t>
            </w:r>
          </w:p>
        </w:tc>
        <w:tc>
          <w:tcPr>
            <w:tcW w:w="1843" w:type="dxa"/>
            <w:gridSpan w:val="2"/>
            <w:shd w:val="clear" w:color="auto" w:fill="auto"/>
            <w:noWrap/>
            <w:vAlign w:val="bottom"/>
          </w:tcPr>
          <w:p w:rsidR="00BF5A15" w:rsidRPr="00596B6C" w:rsidRDefault="00BF5A15" w:rsidP="00A512BC">
            <w:pPr>
              <w:pStyle w:val="Table"/>
            </w:pPr>
            <w:r>
              <w:t xml:space="preserve">30 </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t>Maximum number of antenna arrays per Ground Station (See Clause 7.1.2)</w:t>
            </w:r>
          </w:p>
        </w:tc>
        <w:tc>
          <w:tcPr>
            <w:tcW w:w="1843" w:type="dxa"/>
            <w:gridSpan w:val="2"/>
            <w:shd w:val="clear" w:color="auto" w:fill="auto"/>
            <w:noWrap/>
            <w:vAlign w:val="bottom"/>
          </w:tcPr>
          <w:p w:rsidR="00BF5A15" w:rsidRDefault="00BF5A15" w:rsidP="00A512BC">
            <w:pPr>
              <w:pStyle w:val="Table"/>
            </w:pPr>
            <w:r>
              <w:t>4</w:t>
            </w:r>
          </w:p>
        </w:tc>
      </w:tr>
      <w:tr w:rsidR="00BF5A15" w:rsidRPr="00A72A6A" w:rsidTr="00A512BC">
        <w:trPr>
          <w:trHeight w:val="255"/>
        </w:trPr>
        <w:tc>
          <w:tcPr>
            <w:tcW w:w="4820" w:type="dxa"/>
            <w:shd w:val="clear" w:color="auto" w:fill="auto"/>
            <w:noWrap/>
            <w:vAlign w:val="bottom"/>
          </w:tcPr>
          <w:p w:rsidR="00BF5A15" w:rsidRDefault="00BF5A15" w:rsidP="00A512BC">
            <w:pPr>
              <w:pStyle w:val="Table"/>
            </w:pPr>
            <w:r>
              <w:t>Maximum number of beams per antenna array (See Clause 7.1.2)</w:t>
            </w:r>
          </w:p>
        </w:tc>
        <w:tc>
          <w:tcPr>
            <w:tcW w:w="1843" w:type="dxa"/>
            <w:gridSpan w:val="2"/>
            <w:shd w:val="clear" w:color="auto" w:fill="auto"/>
            <w:noWrap/>
            <w:vAlign w:val="bottom"/>
          </w:tcPr>
          <w:p w:rsidR="00BF5A15" w:rsidRDefault="00BF5A15" w:rsidP="00A512BC">
            <w:pPr>
              <w:pStyle w:val="Table"/>
            </w:pPr>
            <w:r>
              <w:t>4</w:t>
            </w:r>
          </w:p>
        </w:tc>
      </w:tr>
      <w:tr w:rsidR="00BF5A15" w:rsidRPr="00A72A6A" w:rsidTr="00A512BC">
        <w:trPr>
          <w:trHeight w:val="255"/>
        </w:trPr>
        <w:tc>
          <w:tcPr>
            <w:tcW w:w="6663" w:type="dxa"/>
            <w:gridSpan w:val="3"/>
            <w:shd w:val="clear" w:color="auto" w:fill="auto"/>
            <w:noWrap/>
            <w:vAlign w:val="bottom"/>
          </w:tcPr>
          <w:p w:rsidR="00BF5A15" w:rsidRDefault="00BF5A15" w:rsidP="00A512BC">
            <w:pPr>
              <w:pStyle w:val="NO"/>
            </w:pPr>
            <w:r>
              <w:t xml:space="preserve">NOTE 1: </w:t>
            </w:r>
            <w:r w:rsidRPr="00777A13">
              <w:t xml:space="preserve">The quoted </w:t>
            </w:r>
            <w:proofErr w:type="spellStart"/>
            <w:r>
              <w:t>Tx</w:t>
            </w:r>
            <w:proofErr w:type="spellEnd"/>
            <w:r>
              <w:t xml:space="preserve">-output </w:t>
            </w:r>
            <w:r w:rsidRPr="00777A13">
              <w:t xml:space="preserve">power level is the </w:t>
            </w:r>
            <w:proofErr w:type="gramStart"/>
            <w:r w:rsidRPr="00777A13">
              <w:t>total transmit</w:t>
            </w:r>
            <w:proofErr w:type="gramEnd"/>
            <w:r w:rsidRPr="00777A13">
              <w:t xml:space="preserve"> power delivered to all antennas and antenna elements of </w:t>
            </w:r>
            <w:r>
              <w:t xml:space="preserve">a single </w:t>
            </w:r>
            <w:r w:rsidRPr="00777A13">
              <w:t>ground station</w:t>
            </w:r>
            <w:r>
              <w:t xml:space="preserve"> antenna array </w:t>
            </w:r>
            <w:r w:rsidRPr="00777A13">
              <w:t xml:space="preserve">when the transmitter is operating at its maximum power control level.  This power level applies when using a 4-antenna array </w:t>
            </w:r>
            <w:r>
              <w:t>with a maximum antenna gain of 20 dBi. This power level will</w:t>
            </w:r>
            <w:r w:rsidRPr="00777A13">
              <w:t xml:space="preserve"> be reduced when using higher gain antenna </w:t>
            </w:r>
            <w:r w:rsidR="003F6820" w:rsidRPr="00777A13">
              <w:t>arrays</w:t>
            </w:r>
            <w:r w:rsidR="003F6820">
              <w:t xml:space="preserve"> </w:t>
            </w:r>
            <w:r w:rsidR="003F6820" w:rsidRPr="00777A13">
              <w:t>(</w:t>
            </w:r>
            <w:r w:rsidRPr="00777A13">
              <w:t>e.g. a</w:t>
            </w:r>
            <w:r>
              <w:t xml:space="preserve">n </w:t>
            </w:r>
            <w:r w:rsidRPr="00777A13">
              <w:t>8-antenna array</w:t>
            </w:r>
            <w:r>
              <w:t>) to</w:t>
            </w:r>
            <w:r w:rsidRPr="00777A13">
              <w:t xml:space="preserve"> maintain a maximum e.i.r.p. of +45</w:t>
            </w:r>
            <w:r>
              <w:t> </w:t>
            </w:r>
            <w:r w:rsidRPr="00777A13">
              <w:t>dBm</w:t>
            </w:r>
            <w:r>
              <w:t>.</w:t>
            </w:r>
          </w:p>
        </w:tc>
      </w:tr>
      <w:tr w:rsidR="00BF5A15" w:rsidRPr="00A72A6A" w:rsidTr="00A512BC">
        <w:trPr>
          <w:trHeight w:val="255"/>
        </w:trPr>
        <w:tc>
          <w:tcPr>
            <w:tcW w:w="6663" w:type="dxa"/>
            <w:gridSpan w:val="3"/>
            <w:shd w:val="clear" w:color="auto" w:fill="auto"/>
            <w:noWrap/>
            <w:vAlign w:val="bottom"/>
          </w:tcPr>
          <w:p w:rsidR="00BF5A15" w:rsidRDefault="00BF5A15" w:rsidP="00A512BC">
            <w:pPr>
              <w:pStyle w:val="NO"/>
            </w:pPr>
            <w:r>
              <w:t xml:space="preserve">NOTE 2: </w:t>
            </w:r>
            <w:r w:rsidRPr="00297A6B">
              <w:t>The quoted power level is the total transmit power delivered to all antennas and antenna elements of the aircraft station when the transmitter is operating at its maximum power control level.</w:t>
            </w:r>
          </w:p>
        </w:tc>
      </w:tr>
    </w:tbl>
    <w:p w:rsidR="004A6009" w:rsidRDefault="004A6009" w:rsidP="00AE2755"/>
    <w:p w:rsidR="004A6009" w:rsidRDefault="004A6009">
      <w:pPr>
        <w:pStyle w:val="NO"/>
      </w:pPr>
      <w:r>
        <w:t>NOTE:</w:t>
      </w:r>
      <w:r>
        <w:tab/>
        <w:t>the</w:t>
      </w:r>
      <w:r w:rsidR="00BF5A15">
        <w:t xml:space="preserve"> </w:t>
      </w:r>
      <w:proofErr w:type="spellStart"/>
      <w:r w:rsidR="00BF5A15">
        <w:t>eirp</w:t>
      </w:r>
      <w:proofErr w:type="spellEnd"/>
      <w:r w:rsidR="00BF5A15">
        <w:t xml:space="preserve"> levels</w:t>
      </w:r>
      <w:r>
        <w:t xml:space="preserve"> in the above table represent the maximum operational levels at all times</w:t>
      </w:r>
      <w:r w:rsidR="00BF5A15">
        <w:t xml:space="preserve"> for a single beam</w:t>
      </w:r>
      <w:r>
        <w:t>, including link acquisition, since the periodic beacon signal transmitted from the ground station radiates lower transmit powers than the signals used to carry data once the aircraft links are established.</w:t>
      </w:r>
    </w:p>
    <w:p w:rsidR="004A6009" w:rsidRPr="005D7BC3" w:rsidRDefault="004A6009" w:rsidP="00AE2755"/>
    <w:p w:rsidR="004A6009" w:rsidRPr="003A4674" w:rsidRDefault="004A6009" w:rsidP="004939F7">
      <w:pPr>
        <w:pStyle w:val="Heading4"/>
        <w:rPr>
          <w:rStyle w:val="Guidance"/>
          <w:i w:val="0"/>
          <w:color w:val="auto"/>
        </w:rPr>
      </w:pPr>
      <w:bookmarkStart w:id="42" w:name="_Toc233514055"/>
      <w:r w:rsidRPr="003A4674">
        <w:rPr>
          <w:rStyle w:val="Guidance"/>
          <w:i w:val="0"/>
          <w:color w:val="auto"/>
        </w:rPr>
        <w:t>7.2.2.1</w:t>
      </w:r>
      <w:r>
        <w:rPr>
          <w:rStyle w:val="Guidance"/>
          <w:i w:val="0"/>
          <w:color w:val="auto"/>
        </w:rPr>
        <w:t>.1</w:t>
      </w:r>
      <w:r>
        <w:rPr>
          <w:rStyle w:val="Guidance"/>
          <w:i w:val="0"/>
          <w:color w:val="auto"/>
        </w:rPr>
        <w:tab/>
      </w:r>
      <w:r w:rsidRPr="003A4674">
        <w:rPr>
          <w:rStyle w:val="Guidance"/>
          <w:i w:val="0"/>
          <w:color w:val="auto"/>
        </w:rPr>
        <w:t>Antenna Characteristics</w:t>
      </w:r>
      <w:bookmarkEnd w:id="42"/>
    </w:p>
    <w:tbl>
      <w:tblPr>
        <w:tblW w:w="6663" w:type="dxa"/>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5346"/>
        <w:gridCol w:w="1317"/>
      </w:tblGrid>
      <w:tr w:rsidR="004A6009" w:rsidRPr="007B2A51" w:rsidTr="00496B19">
        <w:trPr>
          <w:trHeight w:val="255"/>
        </w:trPr>
        <w:tc>
          <w:tcPr>
            <w:tcW w:w="5346" w:type="dxa"/>
            <w:tcBorders>
              <w:top w:val="single" w:sz="4" w:space="0" w:color="auto"/>
            </w:tcBorders>
            <w:noWrap/>
            <w:vAlign w:val="bottom"/>
          </w:tcPr>
          <w:p w:rsidR="004A6009" w:rsidRPr="00596B6C" w:rsidRDefault="004A6009" w:rsidP="004769B7">
            <w:pPr>
              <w:pStyle w:val="Table"/>
            </w:pPr>
            <w:r w:rsidRPr="00596B6C">
              <w:t xml:space="preserve">Ground station peak gain </w:t>
            </w:r>
            <w:r>
              <w:t xml:space="preserve">using 4 antenna array </w:t>
            </w:r>
            <w:r w:rsidRPr="00596B6C">
              <w:t>(dBi)</w:t>
            </w:r>
          </w:p>
        </w:tc>
        <w:tc>
          <w:tcPr>
            <w:tcW w:w="1317" w:type="dxa"/>
            <w:tcBorders>
              <w:top w:val="single" w:sz="4" w:space="0" w:color="auto"/>
            </w:tcBorders>
            <w:noWrap/>
            <w:vAlign w:val="bottom"/>
          </w:tcPr>
          <w:p w:rsidR="004A6009" w:rsidRPr="00C12C13" w:rsidRDefault="004A6009" w:rsidP="004769B7">
            <w:pPr>
              <w:pStyle w:val="Table"/>
            </w:pPr>
            <w:r w:rsidRPr="00C12C13">
              <w:t>20</w:t>
            </w:r>
          </w:p>
        </w:tc>
      </w:tr>
      <w:tr w:rsidR="004A6009" w:rsidRPr="007B2A51" w:rsidTr="00496B19">
        <w:trPr>
          <w:trHeight w:val="255"/>
        </w:trPr>
        <w:tc>
          <w:tcPr>
            <w:tcW w:w="5346" w:type="dxa"/>
            <w:noWrap/>
            <w:vAlign w:val="bottom"/>
          </w:tcPr>
          <w:p w:rsidR="004A6009" w:rsidRPr="00596B6C" w:rsidRDefault="004A6009" w:rsidP="004769B7">
            <w:pPr>
              <w:pStyle w:val="Table"/>
            </w:pPr>
            <w:r w:rsidRPr="00596B6C">
              <w:t xml:space="preserve">Ground station peak gain </w:t>
            </w:r>
            <w:r>
              <w:t xml:space="preserve">using 8 antenna array </w:t>
            </w:r>
            <w:r w:rsidRPr="00596B6C">
              <w:t>(dBi)</w:t>
            </w:r>
          </w:p>
        </w:tc>
        <w:tc>
          <w:tcPr>
            <w:tcW w:w="1317" w:type="dxa"/>
            <w:noWrap/>
            <w:vAlign w:val="bottom"/>
          </w:tcPr>
          <w:p w:rsidR="004A6009" w:rsidRPr="00C12C13" w:rsidRDefault="004A6009" w:rsidP="003640E2">
            <w:pPr>
              <w:pStyle w:val="Table"/>
            </w:pPr>
            <w:r w:rsidRPr="00C12C13">
              <w:t>2</w:t>
            </w:r>
            <w:r>
              <w:t>3</w:t>
            </w:r>
          </w:p>
        </w:tc>
      </w:tr>
      <w:tr w:rsidR="004A6009" w:rsidRPr="007B2A51" w:rsidTr="004E6F4A">
        <w:trPr>
          <w:trHeight w:val="255"/>
        </w:trPr>
        <w:tc>
          <w:tcPr>
            <w:tcW w:w="5346" w:type="dxa"/>
            <w:noWrap/>
            <w:vAlign w:val="bottom"/>
          </w:tcPr>
          <w:p w:rsidR="004A6009" w:rsidRPr="00596B6C" w:rsidRDefault="00013B05" w:rsidP="00013B05">
            <w:pPr>
              <w:pStyle w:val="Table"/>
              <w:jc w:val="left"/>
            </w:pPr>
            <w:r>
              <w:t xml:space="preserve">  </w:t>
            </w:r>
            <w:r w:rsidR="004A6009" w:rsidRPr="00596B6C">
              <w:t xml:space="preserve">Aircraft peak gain </w:t>
            </w:r>
            <w:r>
              <w:t xml:space="preserve">using 4 antenna array </w:t>
            </w:r>
            <w:r w:rsidR="004A6009" w:rsidRPr="00596B6C">
              <w:t>(dBi)</w:t>
            </w:r>
          </w:p>
        </w:tc>
        <w:tc>
          <w:tcPr>
            <w:tcW w:w="1317" w:type="dxa"/>
            <w:noWrap/>
            <w:vAlign w:val="bottom"/>
          </w:tcPr>
          <w:p w:rsidR="004A6009" w:rsidRPr="00C12C13" w:rsidRDefault="004A6009" w:rsidP="004769B7">
            <w:pPr>
              <w:pStyle w:val="Table"/>
            </w:pPr>
            <w:r w:rsidRPr="00C12C13">
              <w:t>10</w:t>
            </w:r>
          </w:p>
        </w:tc>
      </w:tr>
      <w:tr w:rsidR="00013B05" w:rsidRPr="007B2A51" w:rsidTr="004E6F4A">
        <w:trPr>
          <w:trHeight w:val="255"/>
        </w:trPr>
        <w:tc>
          <w:tcPr>
            <w:tcW w:w="5346" w:type="dxa"/>
            <w:noWrap/>
            <w:vAlign w:val="bottom"/>
          </w:tcPr>
          <w:p w:rsidR="00013B05" w:rsidRPr="00596B6C" w:rsidRDefault="00013B05" w:rsidP="00013B05">
            <w:pPr>
              <w:pStyle w:val="Table"/>
              <w:jc w:val="left"/>
            </w:pPr>
            <w:r>
              <w:t>Maximum  Aircraft peak gain using &gt;4 antenna array (dBi)</w:t>
            </w:r>
          </w:p>
        </w:tc>
        <w:tc>
          <w:tcPr>
            <w:tcW w:w="1317" w:type="dxa"/>
            <w:noWrap/>
            <w:vAlign w:val="bottom"/>
          </w:tcPr>
          <w:p w:rsidR="00013B05" w:rsidRPr="00C12C13" w:rsidRDefault="00013B05" w:rsidP="004769B7">
            <w:pPr>
              <w:pStyle w:val="Table"/>
            </w:pPr>
            <w:r>
              <w:t>17</w:t>
            </w:r>
          </w:p>
        </w:tc>
      </w:tr>
      <w:tr w:rsidR="004E6F4A" w:rsidRPr="007B2A51" w:rsidTr="00A512BC">
        <w:trPr>
          <w:trHeight w:val="255"/>
        </w:trPr>
        <w:tc>
          <w:tcPr>
            <w:tcW w:w="6663" w:type="dxa"/>
            <w:gridSpan w:val="2"/>
            <w:tcBorders>
              <w:bottom w:val="single" w:sz="4" w:space="0" w:color="auto"/>
            </w:tcBorders>
            <w:noWrap/>
            <w:vAlign w:val="bottom"/>
          </w:tcPr>
          <w:p w:rsidR="004E6F4A" w:rsidRPr="00C12C13" w:rsidRDefault="004E6F4A" w:rsidP="004E6F4A">
            <w:pPr>
              <w:pStyle w:val="Table"/>
              <w:jc w:val="left"/>
            </w:pPr>
            <w:r>
              <w:t>NOTE: The Ground Station peak gains given above are for a single antenna array</w:t>
            </w:r>
          </w:p>
        </w:tc>
      </w:tr>
    </w:tbl>
    <w:p w:rsidR="004A6009" w:rsidRDefault="004A6009" w:rsidP="003A4674">
      <w:pPr>
        <w:rPr>
          <w:rStyle w:val="Guidance"/>
          <w:i w:val="0"/>
          <w:iCs/>
          <w:color w:val="auto"/>
        </w:rPr>
      </w:pPr>
    </w:p>
    <w:p w:rsidR="004A6009" w:rsidRDefault="004A6009" w:rsidP="00AB1095">
      <w:pPr>
        <w:rPr>
          <w:rStyle w:val="Guidance"/>
          <w:i w:val="0"/>
          <w:iCs/>
          <w:color w:val="auto"/>
        </w:rPr>
      </w:pPr>
      <w:r>
        <w:rPr>
          <w:rStyle w:val="Guidance"/>
          <w:i w:val="0"/>
          <w:iCs/>
          <w:color w:val="auto"/>
        </w:rPr>
        <w:t>Use of phased array antennas and beamforming results in beam shapes which can be optimised for the intended operational frequency bands</w:t>
      </w:r>
      <w:r w:rsidRPr="00027398">
        <w:rPr>
          <w:rStyle w:val="Guidance"/>
          <w:i w:val="0"/>
          <w:iCs/>
          <w:color w:val="auto"/>
        </w:rPr>
        <w:t xml:space="preserve"> </w:t>
      </w:r>
      <w:r>
        <w:rPr>
          <w:rStyle w:val="Guidance"/>
          <w:i w:val="0"/>
          <w:iCs/>
          <w:color w:val="auto"/>
        </w:rPr>
        <w:t>and co-existence scenarios.  The beamforming algorithms used at the ground station and on the aircraft station permit highly accurate beam pointing, i.e. with an accuracy of 0</w:t>
      </w:r>
      <w:proofErr w:type="gramStart"/>
      <w:r>
        <w:rPr>
          <w:rStyle w:val="Guidance"/>
          <w:i w:val="0"/>
          <w:iCs/>
          <w:color w:val="auto"/>
        </w:rPr>
        <w:t>,1</w:t>
      </w:r>
      <w:proofErr w:type="gramEnd"/>
      <w:r>
        <w:rPr>
          <w:rStyle w:val="Guidance"/>
          <w:i w:val="0"/>
          <w:iCs/>
          <w:color w:val="auto"/>
        </w:rPr>
        <w:t xml:space="preserve"> degrees, and the pointing is refreshed at a rate of at least 200 times per second. </w:t>
      </w:r>
      <w:r w:rsidR="00C23423">
        <w:rPr>
          <w:rStyle w:val="Guidance"/>
          <w:i w:val="0"/>
          <w:iCs/>
          <w:color w:val="auto"/>
        </w:rPr>
        <w:t xml:space="preserve">This is achieved by means of </w:t>
      </w:r>
      <w:r w:rsidR="00C23423" w:rsidRPr="001A590E">
        <w:rPr>
          <w:color w:val="000000" w:themeColor="text1"/>
          <w:lang w:val="en-US"/>
        </w:rPr>
        <w:t xml:space="preserve">a 5 ms TDD frame, which includes signaling, control data, and payload data.  The beamforming is updated using this signaling every frame in receive and then reciprocity is used and these weights are </w:t>
      </w:r>
      <w:r w:rsidR="00C23423" w:rsidRPr="001A590E">
        <w:rPr>
          <w:color w:val="000000" w:themeColor="text1"/>
        </w:rPr>
        <w:t>utilised</w:t>
      </w:r>
      <w:r w:rsidR="00C23423" w:rsidRPr="001A590E">
        <w:rPr>
          <w:color w:val="000000" w:themeColor="text1"/>
          <w:lang w:val="en-US"/>
        </w:rPr>
        <w:t xml:space="preserve"> for transmit.</w:t>
      </w:r>
      <w:r w:rsidR="00C23423">
        <w:rPr>
          <w:color w:val="1F497D"/>
          <w:lang w:val="en-US"/>
        </w:rPr>
        <w:t xml:space="preserve"> </w:t>
      </w:r>
      <w:r>
        <w:rPr>
          <w:rStyle w:val="Guidance"/>
          <w:i w:val="0"/>
          <w:iCs/>
          <w:color w:val="auto"/>
        </w:rPr>
        <w:t xml:space="preserve"> This enables accurate control to be maintained during all phases of a flight, including the ability to maintain pointing direction to within 0</w:t>
      </w:r>
      <w:proofErr w:type="gramStart"/>
      <w:r>
        <w:rPr>
          <w:rStyle w:val="Guidance"/>
          <w:i w:val="0"/>
          <w:iCs/>
          <w:color w:val="auto"/>
        </w:rPr>
        <w:t>,5</w:t>
      </w:r>
      <w:proofErr w:type="gramEnd"/>
      <w:r>
        <w:rPr>
          <w:rStyle w:val="Guidance"/>
          <w:i w:val="0"/>
          <w:iCs/>
          <w:color w:val="auto"/>
        </w:rPr>
        <w:t xml:space="preserve"> degrees or less even during periods of flight turbulence or extreme manoeuvres.</w:t>
      </w:r>
    </w:p>
    <w:p w:rsidR="00A512BC" w:rsidRPr="003A4674" w:rsidRDefault="00A512BC" w:rsidP="00A512BC">
      <w:pPr>
        <w:pStyle w:val="Heading4"/>
        <w:rPr>
          <w:rStyle w:val="Guidance"/>
          <w:i w:val="0"/>
          <w:color w:val="auto"/>
        </w:rPr>
      </w:pPr>
      <w:r w:rsidRPr="003A4674">
        <w:rPr>
          <w:rStyle w:val="Guidance"/>
          <w:i w:val="0"/>
          <w:color w:val="auto"/>
        </w:rPr>
        <w:lastRenderedPageBreak/>
        <w:t>7.2.2.1</w:t>
      </w:r>
      <w:r>
        <w:rPr>
          <w:rStyle w:val="Guidance"/>
          <w:i w:val="0"/>
          <w:color w:val="auto"/>
        </w:rPr>
        <w:t>.1</w:t>
      </w:r>
      <w:r>
        <w:rPr>
          <w:rStyle w:val="Guidance"/>
          <w:i w:val="0"/>
          <w:color w:val="auto"/>
        </w:rPr>
        <w:tab/>
        <w:t>Antenna Mask</w:t>
      </w:r>
    </w:p>
    <w:p w:rsidR="004A6009" w:rsidRDefault="00A512BC" w:rsidP="003A4674">
      <w:pPr>
        <w:rPr>
          <w:rStyle w:val="Guidance"/>
          <w:i w:val="0"/>
          <w:iCs/>
          <w:color w:val="auto"/>
        </w:rPr>
      </w:pPr>
      <w:r>
        <w:rPr>
          <w:rStyle w:val="Guidance"/>
          <w:i w:val="0"/>
          <w:iCs/>
          <w:color w:val="auto"/>
        </w:rPr>
        <w:t>In addition to the characteristics provided in clause 7.2.2.1.1 above, the ground station antenna radiation patterns will comply with the below mask.</w:t>
      </w:r>
    </w:p>
    <w:p w:rsidR="00357D6E" w:rsidRDefault="00357D6E" w:rsidP="003A4674">
      <w:pPr>
        <w:rPr>
          <w:rStyle w:val="Guidance"/>
          <w:i w:val="0"/>
          <w:iCs/>
          <w:color w:val="auto"/>
        </w:rPr>
      </w:pPr>
    </w:p>
    <w:p w:rsidR="00A512BC" w:rsidRDefault="00A512BC" w:rsidP="00357D6E">
      <w:pPr>
        <w:jc w:val="center"/>
        <w:rPr>
          <w:rStyle w:val="Guidance"/>
          <w:i w:val="0"/>
          <w:iCs/>
          <w:color w:val="auto"/>
        </w:rPr>
      </w:pPr>
      <w:r>
        <w:rPr>
          <w:rStyle w:val="Guidance"/>
          <w:i w:val="0"/>
          <w:iCs/>
          <w:color w:val="auto"/>
        </w:rPr>
        <w:t>&lt;Mask still to be included&gt;</w:t>
      </w:r>
    </w:p>
    <w:p w:rsidR="00357D6E" w:rsidRDefault="00357D6E" w:rsidP="003A4674">
      <w:pPr>
        <w:rPr>
          <w:rStyle w:val="Guidance"/>
          <w:i w:val="0"/>
          <w:iCs/>
          <w:color w:val="auto"/>
        </w:rPr>
      </w:pPr>
    </w:p>
    <w:p w:rsidR="00357D6E" w:rsidRPr="00357D6E" w:rsidRDefault="00357D6E" w:rsidP="003A4674">
      <w:pPr>
        <w:rPr>
          <w:rStyle w:val="Guidance"/>
          <w:rFonts w:ascii="Arial" w:hAnsi="Arial" w:cs="Arial"/>
          <w:i w:val="0"/>
          <w:iCs/>
          <w:color w:val="auto"/>
        </w:rPr>
      </w:pPr>
      <w:r w:rsidRPr="00357D6E">
        <w:rPr>
          <w:rStyle w:val="Guidance"/>
          <w:rFonts w:ascii="Arial" w:hAnsi="Arial" w:cs="Arial"/>
          <w:i w:val="0"/>
          <w:color w:val="auto"/>
        </w:rPr>
        <w:t>7.2.2.1.</w:t>
      </w:r>
      <w:r>
        <w:rPr>
          <w:rStyle w:val="Guidance"/>
          <w:rFonts w:ascii="Arial" w:hAnsi="Arial" w:cs="Arial"/>
          <w:i w:val="0"/>
          <w:color w:val="auto"/>
        </w:rPr>
        <w:t>2</w:t>
      </w:r>
      <w:r w:rsidRPr="00357D6E">
        <w:rPr>
          <w:rStyle w:val="Guidance"/>
          <w:rFonts w:ascii="Arial" w:hAnsi="Arial" w:cs="Arial"/>
          <w:i w:val="0"/>
          <w:color w:val="auto"/>
        </w:rPr>
        <w:tab/>
      </w:r>
      <w:r>
        <w:rPr>
          <w:rStyle w:val="Guidance"/>
          <w:rFonts w:ascii="Arial" w:hAnsi="Arial" w:cs="Arial"/>
          <w:i w:val="0"/>
          <w:color w:val="auto"/>
        </w:rPr>
        <w:t>Example Radiation Patterns</w:t>
      </w:r>
    </w:p>
    <w:p w:rsidR="004A6009" w:rsidRDefault="004A6009" w:rsidP="003A4674">
      <w:pPr>
        <w:rPr>
          <w:rStyle w:val="Guidance"/>
          <w:i w:val="0"/>
          <w:iCs/>
          <w:color w:val="auto"/>
        </w:rPr>
      </w:pPr>
      <w:r>
        <w:rPr>
          <w:rStyle w:val="Guidance"/>
          <w:i w:val="0"/>
          <w:iCs/>
          <w:color w:val="auto"/>
        </w:rPr>
        <w:t>Example radiation patterns are shown in Figures 5 and 6, for the ground station and aircraft station antennas respectively, when operating in the 2</w:t>
      </w:r>
      <w:proofErr w:type="gramStart"/>
      <w:r>
        <w:rPr>
          <w:rStyle w:val="Guidance"/>
          <w:i w:val="0"/>
          <w:iCs/>
          <w:color w:val="auto"/>
        </w:rPr>
        <w:t>,4</w:t>
      </w:r>
      <w:proofErr w:type="gramEnd"/>
      <w:r>
        <w:rPr>
          <w:rStyle w:val="Guidance"/>
          <w:i w:val="0"/>
          <w:iCs/>
          <w:color w:val="auto"/>
        </w:rPr>
        <w:t xml:space="preserve"> GHz band.  These are based on the current first-generation product using 4-antenna arrays at the ground station and on the aircraft.  At the time of writing (February 2012), an 8-antenna version of the ground station product is in the final stages of production and is due to be submitted for certification under the United States FCC process within the next few </w:t>
      </w:r>
      <w:r w:rsidRPr="004300AC">
        <w:rPr>
          <w:rStyle w:val="Guidance"/>
          <w:i w:val="0"/>
          <w:iCs/>
          <w:color w:val="auto"/>
        </w:rPr>
        <w:t>months</w:t>
      </w:r>
      <w:r w:rsidR="00440A62">
        <w:rPr>
          <w:rStyle w:val="Guidance"/>
          <w:i w:val="0"/>
          <w:iCs/>
          <w:color w:val="auto"/>
        </w:rPr>
        <w:t xml:space="preserve">.  </w:t>
      </w:r>
      <w:proofErr w:type="gramStart"/>
      <w:r w:rsidR="00440A62">
        <w:rPr>
          <w:rStyle w:val="Guidance"/>
          <w:i w:val="0"/>
          <w:iCs/>
          <w:color w:val="auto"/>
        </w:rPr>
        <w:t xml:space="preserve">Figures 7 and 8 show the elevation and azimuth patterns </w:t>
      </w:r>
      <w:r w:rsidR="00593415">
        <w:rPr>
          <w:rStyle w:val="Guidance"/>
          <w:i w:val="0"/>
          <w:iCs/>
          <w:color w:val="auto"/>
        </w:rPr>
        <w:t xml:space="preserve">respectively </w:t>
      </w:r>
      <w:r w:rsidR="00440A62">
        <w:rPr>
          <w:rStyle w:val="Guidance"/>
          <w:i w:val="0"/>
          <w:iCs/>
          <w:color w:val="auto"/>
        </w:rPr>
        <w:t xml:space="preserve">for this </w:t>
      </w:r>
      <w:r w:rsidR="007B59B3">
        <w:rPr>
          <w:rStyle w:val="Guidance"/>
          <w:i w:val="0"/>
          <w:iCs/>
          <w:color w:val="auto"/>
        </w:rPr>
        <w:t>8-</w:t>
      </w:r>
      <w:r w:rsidR="00440A62">
        <w:rPr>
          <w:rStyle w:val="Guidance"/>
          <w:i w:val="0"/>
          <w:iCs/>
          <w:color w:val="auto"/>
        </w:rPr>
        <w:t>antenna</w:t>
      </w:r>
      <w:r w:rsidR="007B59B3">
        <w:rPr>
          <w:rStyle w:val="Guidance"/>
          <w:i w:val="0"/>
          <w:iCs/>
          <w:color w:val="auto"/>
        </w:rPr>
        <w:t xml:space="preserve"> array.</w:t>
      </w:r>
      <w:proofErr w:type="gramEnd"/>
      <w:r w:rsidR="007B59B3">
        <w:rPr>
          <w:rStyle w:val="Guidance"/>
          <w:i w:val="0"/>
          <w:iCs/>
          <w:color w:val="auto"/>
        </w:rPr>
        <w:t xml:space="preserve">  This 2</w:t>
      </w:r>
      <w:r w:rsidR="007B59B3" w:rsidRPr="007B59B3">
        <w:rPr>
          <w:rStyle w:val="Guidance"/>
          <w:i w:val="0"/>
          <w:iCs/>
          <w:color w:val="auto"/>
          <w:vertAlign w:val="superscript"/>
        </w:rPr>
        <w:t>nd</w:t>
      </w:r>
      <w:r w:rsidR="007B59B3">
        <w:rPr>
          <w:rStyle w:val="Guidance"/>
          <w:i w:val="0"/>
          <w:iCs/>
          <w:color w:val="auto"/>
        </w:rPr>
        <w:t xml:space="preserve"> generation product can operate in the 2.4 GHz </w:t>
      </w:r>
      <w:r w:rsidR="00CD0603">
        <w:rPr>
          <w:rStyle w:val="Guidance"/>
          <w:i w:val="0"/>
          <w:iCs/>
          <w:color w:val="auto"/>
        </w:rPr>
        <w:t>and/</w:t>
      </w:r>
      <w:r w:rsidR="007B59B3">
        <w:rPr>
          <w:rStyle w:val="Guidance"/>
          <w:i w:val="0"/>
          <w:iCs/>
          <w:color w:val="auto"/>
        </w:rPr>
        <w:t xml:space="preserve">or </w:t>
      </w:r>
      <w:r w:rsidR="00CD0603">
        <w:rPr>
          <w:rStyle w:val="Guidance"/>
          <w:i w:val="0"/>
          <w:iCs/>
          <w:color w:val="auto"/>
        </w:rPr>
        <w:t xml:space="preserve">the </w:t>
      </w:r>
      <w:r w:rsidR="007B59B3">
        <w:rPr>
          <w:rStyle w:val="Guidance"/>
          <w:i w:val="0"/>
          <w:iCs/>
          <w:color w:val="auto"/>
        </w:rPr>
        <w:t>5.8 GHz bands, but the plots</w:t>
      </w:r>
      <w:r w:rsidR="00440A62">
        <w:rPr>
          <w:rStyle w:val="Guidance"/>
          <w:i w:val="0"/>
          <w:iCs/>
          <w:color w:val="auto"/>
        </w:rPr>
        <w:t xml:space="preserve"> </w:t>
      </w:r>
      <w:r w:rsidR="007B59B3">
        <w:rPr>
          <w:rStyle w:val="Guidance"/>
          <w:i w:val="0"/>
          <w:iCs/>
          <w:color w:val="auto"/>
        </w:rPr>
        <w:t xml:space="preserve">shown in Figures 7 and 8 </w:t>
      </w:r>
      <w:r w:rsidR="00CD0603">
        <w:rPr>
          <w:rStyle w:val="Guidance"/>
          <w:i w:val="0"/>
          <w:iCs/>
          <w:color w:val="auto"/>
        </w:rPr>
        <w:t xml:space="preserve">are </w:t>
      </w:r>
      <w:r w:rsidR="007B59B3">
        <w:rPr>
          <w:rStyle w:val="Guidance"/>
          <w:i w:val="0"/>
          <w:iCs/>
          <w:color w:val="auto"/>
        </w:rPr>
        <w:t>based on measurements performed</w:t>
      </w:r>
      <w:r w:rsidR="00440A62">
        <w:rPr>
          <w:rStyle w:val="Guidance"/>
          <w:i w:val="0"/>
          <w:iCs/>
          <w:color w:val="auto"/>
        </w:rPr>
        <w:t xml:space="preserve"> at 5.8GHz.</w:t>
      </w:r>
      <w:r w:rsidRPr="004300AC">
        <w:rPr>
          <w:rStyle w:val="Guidance"/>
          <w:i w:val="0"/>
          <w:iCs/>
          <w:color w:val="auto"/>
        </w:rPr>
        <w:t xml:space="preserve"> </w:t>
      </w:r>
      <w:r w:rsidRPr="004300AC">
        <w:t>.  Further d</w:t>
      </w:r>
      <w:r>
        <w:rPr>
          <w:rStyle w:val="Guidance"/>
          <w:i w:val="0"/>
          <w:iCs/>
          <w:color w:val="auto"/>
        </w:rPr>
        <w:t xml:space="preserve">evelopment work is also underway on the aircraft antenna, to increase the number of elements to eight or more, which will allow more flexibility to tailor the radiation patterns and further optimise the potential for sharing with other co-frequency services on the ground </w:t>
      </w:r>
    </w:p>
    <w:p w:rsidR="004A6009" w:rsidRDefault="00E60EDB" w:rsidP="00F8635D">
      <w:pPr>
        <w:jc w:val="center"/>
      </w:pPr>
      <w:r>
        <w:rPr>
          <w:noProof/>
          <w:lang w:eastAsia="en-GB"/>
        </w:rPr>
        <w:drawing>
          <wp:inline distT="0" distB="0" distL="0" distR="0">
            <wp:extent cx="5486400" cy="337947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srcRect/>
                    <a:stretch>
                      <a:fillRect/>
                    </a:stretch>
                  </pic:blipFill>
                  <pic:spPr bwMode="auto">
                    <a:xfrm>
                      <a:off x="0" y="0"/>
                      <a:ext cx="5486400" cy="3379470"/>
                    </a:xfrm>
                    <a:prstGeom prst="rect">
                      <a:avLst/>
                    </a:prstGeom>
                    <a:noFill/>
                    <a:ln w="9525">
                      <a:noFill/>
                      <a:miter lim="800000"/>
                      <a:headEnd/>
                      <a:tailEnd/>
                    </a:ln>
                  </pic:spPr>
                </pic:pic>
              </a:graphicData>
            </a:graphic>
          </wp:inline>
        </w:drawing>
      </w:r>
    </w:p>
    <w:p w:rsidR="004A6009" w:rsidRDefault="004A6009" w:rsidP="008124DC">
      <w:pPr>
        <w:jc w:val="center"/>
        <w:rPr>
          <w:rStyle w:val="Guidance"/>
          <w:b/>
          <w:i w:val="0"/>
          <w:iCs/>
          <w:color w:val="auto"/>
        </w:rPr>
      </w:pPr>
      <w:r w:rsidRPr="00F8635D">
        <w:rPr>
          <w:rStyle w:val="Guidance"/>
          <w:b/>
          <w:i w:val="0"/>
          <w:iCs/>
          <w:color w:val="auto"/>
        </w:rPr>
        <w:t xml:space="preserve">Figure </w:t>
      </w:r>
      <w:r>
        <w:rPr>
          <w:rStyle w:val="Guidance"/>
          <w:b/>
          <w:i w:val="0"/>
          <w:iCs/>
          <w:color w:val="auto"/>
        </w:rPr>
        <w:t>5</w:t>
      </w:r>
      <w:r w:rsidRPr="00F8635D">
        <w:rPr>
          <w:rStyle w:val="Guidance"/>
          <w:b/>
          <w:i w:val="0"/>
          <w:iCs/>
          <w:color w:val="auto"/>
        </w:rPr>
        <w:t xml:space="preserve"> – Ground Station Antenna </w:t>
      </w:r>
      <w:r w:rsidR="00440A62">
        <w:rPr>
          <w:rStyle w:val="Guidance"/>
          <w:b/>
          <w:i w:val="0"/>
          <w:iCs/>
          <w:color w:val="auto"/>
        </w:rPr>
        <w:t xml:space="preserve">Elevation </w:t>
      </w:r>
      <w:r w:rsidRPr="00F8635D">
        <w:rPr>
          <w:rStyle w:val="Guidance"/>
          <w:b/>
          <w:i w:val="0"/>
          <w:iCs/>
          <w:color w:val="auto"/>
        </w:rPr>
        <w:t>Pattern</w:t>
      </w:r>
      <w:r w:rsidR="002A4C42">
        <w:rPr>
          <w:rStyle w:val="Guidance"/>
          <w:b/>
          <w:i w:val="0"/>
          <w:iCs/>
          <w:color w:val="auto"/>
        </w:rPr>
        <w:t xml:space="preserve"> (1</w:t>
      </w:r>
      <w:r w:rsidR="00433932" w:rsidRPr="00433932">
        <w:rPr>
          <w:rStyle w:val="Guidance"/>
          <w:b/>
          <w:i w:val="0"/>
          <w:iCs/>
          <w:color w:val="auto"/>
          <w:vertAlign w:val="superscript"/>
        </w:rPr>
        <w:t>st</w:t>
      </w:r>
      <w:r w:rsidR="002A4C42">
        <w:rPr>
          <w:rStyle w:val="Guidance"/>
          <w:b/>
          <w:i w:val="0"/>
          <w:iCs/>
          <w:color w:val="auto"/>
        </w:rPr>
        <w:t xml:space="preserve"> generation 4-antenna array)</w:t>
      </w:r>
    </w:p>
    <w:p w:rsidR="004A6009" w:rsidRDefault="004A6009" w:rsidP="007018D8">
      <w:r>
        <w:t xml:space="preserve">The Ground Station antenna array has a fixed pattern in the vertical plane, but is designed to use beamforming in azimuth so that one or more aircraft can be tracked during flight.  Although, in practise, the radiation pattern will vary as the beam is scanned, the pattern given in Figure 5 can be assumed to be the worst case for all azimuths.  </w:t>
      </w:r>
      <w:proofErr w:type="gramStart"/>
      <w:r>
        <w:t>i.e</w:t>
      </w:r>
      <w:proofErr w:type="gramEnd"/>
      <w:r>
        <w:t>. the gain at any azimuth pointing direction will be less than or equal to the values shown, for any given elevation angle.</w:t>
      </w:r>
    </w:p>
    <w:p w:rsidR="00CD0603" w:rsidRDefault="00CD0603" w:rsidP="007018D8"/>
    <w:p w:rsidR="00CD0603" w:rsidRDefault="00CD0603" w:rsidP="007018D8"/>
    <w:p w:rsidR="004A6009" w:rsidRDefault="00E60EDB" w:rsidP="004054AA">
      <w:pPr>
        <w:jc w:val="center"/>
        <w:rPr>
          <w:rStyle w:val="Guidance"/>
          <w:b/>
          <w:i w:val="0"/>
          <w:iCs/>
          <w:color w:val="auto"/>
        </w:rPr>
      </w:pPr>
      <w:r>
        <w:rPr>
          <w:noProof/>
          <w:lang w:eastAsia="en-GB"/>
        </w:rPr>
        <w:lastRenderedPageBreak/>
        <w:drawing>
          <wp:inline distT="0" distB="0" distL="0" distR="0">
            <wp:extent cx="5676900" cy="348234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rcRect/>
                    <a:stretch>
                      <a:fillRect/>
                    </a:stretch>
                  </pic:blipFill>
                  <pic:spPr bwMode="auto">
                    <a:xfrm>
                      <a:off x="0" y="0"/>
                      <a:ext cx="5676900" cy="3482340"/>
                    </a:xfrm>
                    <a:prstGeom prst="rect">
                      <a:avLst/>
                    </a:prstGeom>
                    <a:noFill/>
                    <a:ln w="9525">
                      <a:noFill/>
                      <a:miter lim="800000"/>
                      <a:headEnd/>
                      <a:tailEnd/>
                    </a:ln>
                  </pic:spPr>
                </pic:pic>
              </a:graphicData>
            </a:graphic>
          </wp:inline>
        </w:drawing>
      </w:r>
    </w:p>
    <w:p w:rsidR="004A6009" w:rsidRDefault="004A6009" w:rsidP="008124DC">
      <w:pPr>
        <w:jc w:val="center"/>
        <w:rPr>
          <w:rStyle w:val="Guidance"/>
          <w:b/>
          <w:i w:val="0"/>
          <w:iCs/>
          <w:color w:val="auto"/>
        </w:rPr>
      </w:pPr>
      <w:r>
        <w:rPr>
          <w:rStyle w:val="Guidance"/>
          <w:b/>
          <w:i w:val="0"/>
          <w:iCs/>
          <w:color w:val="auto"/>
        </w:rPr>
        <w:t>Figure 6</w:t>
      </w:r>
      <w:r w:rsidRPr="00F8635D">
        <w:rPr>
          <w:rStyle w:val="Guidance"/>
          <w:b/>
          <w:i w:val="0"/>
          <w:iCs/>
          <w:color w:val="auto"/>
        </w:rPr>
        <w:t xml:space="preserve"> –</w:t>
      </w:r>
      <w:r>
        <w:rPr>
          <w:rStyle w:val="Guidance"/>
          <w:b/>
          <w:i w:val="0"/>
          <w:iCs/>
          <w:color w:val="auto"/>
        </w:rPr>
        <w:t xml:space="preserve">Aircraft </w:t>
      </w:r>
      <w:r w:rsidRPr="00F8635D">
        <w:rPr>
          <w:rStyle w:val="Guidance"/>
          <w:b/>
          <w:i w:val="0"/>
          <w:iCs/>
          <w:color w:val="auto"/>
        </w:rPr>
        <w:t>Station Antenna Pattern</w:t>
      </w:r>
      <w:r w:rsidR="002A4C42">
        <w:rPr>
          <w:rStyle w:val="Guidance"/>
          <w:b/>
          <w:i w:val="0"/>
          <w:iCs/>
          <w:color w:val="auto"/>
        </w:rPr>
        <w:t xml:space="preserve"> (4-antenna array)</w:t>
      </w:r>
    </w:p>
    <w:p w:rsidR="004A6009" w:rsidRDefault="004A6009" w:rsidP="001C75D9">
      <w:pPr>
        <w:rPr>
          <w:rStyle w:val="Guidance"/>
          <w:i w:val="0"/>
          <w:iCs/>
          <w:color w:val="auto"/>
        </w:rPr>
      </w:pPr>
      <w:r>
        <w:rPr>
          <w:rStyle w:val="Guidance"/>
          <w:i w:val="0"/>
          <w:iCs/>
          <w:color w:val="auto"/>
        </w:rPr>
        <w:t>The beam produced by the aircraft antenna array is steered in both azimuth and elevation so that the main lobe tracks the ground station as the aircraft traverses its flight path.  The off-axis radiation pattern shown in Figure 6 can be assumed to be the worst case for all main lobe pointing directions.</w:t>
      </w:r>
    </w:p>
    <w:p w:rsidR="0060600D" w:rsidRDefault="0060600D" w:rsidP="001C75D9">
      <w:pPr>
        <w:rPr>
          <w:rStyle w:val="Guidance"/>
          <w:i w:val="0"/>
          <w:iCs/>
          <w:color w:val="auto"/>
        </w:rPr>
      </w:pPr>
    </w:p>
    <w:p w:rsidR="00593415" w:rsidRDefault="00E60EDB" w:rsidP="001C75D9">
      <w:pPr>
        <w:rPr>
          <w:rStyle w:val="Guidance"/>
          <w:i w:val="0"/>
          <w:iCs/>
          <w:color w:val="auto"/>
        </w:rPr>
      </w:pPr>
      <w:r>
        <w:rPr>
          <w:noProof/>
          <w:lang w:eastAsia="en-GB"/>
        </w:rPr>
        <w:drawing>
          <wp:inline distT="0" distB="0" distL="0" distR="0">
            <wp:extent cx="5478780" cy="3204210"/>
            <wp:effectExtent l="1905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srcRect/>
                    <a:stretch>
                      <a:fillRect/>
                    </a:stretch>
                  </pic:blipFill>
                  <pic:spPr bwMode="auto">
                    <a:xfrm>
                      <a:off x="0" y="0"/>
                      <a:ext cx="5478780" cy="3204210"/>
                    </a:xfrm>
                    <a:prstGeom prst="rect">
                      <a:avLst/>
                    </a:prstGeom>
                    <a:noFill/>
                    <a:ln w="9525">
                      <a:noFill/>
                      <a:miter lim="800000"/>
                      <a:headEnd/>
                      <a:tailEnd/>
                    </a:ln>
                  </pic:spPr>
                </pic:pic>
              </a:graphicData>
            </a:graphic>
          </wp:inline>
        </w:drawing>
      </w:r>
    </w:p>
    <w:p w:rsidR="00593415" w:rsidRPr="001C75D9" w:rsidRDefault="00593415" w:rsidP="00593415">
      <w:pPr>
        <w:jc w:val="center"/>
        <w:rPr>
          <w:rStyle w:val="Guidance"/>
          <w:i w:val="0"/>
          <w:iCs/>
          <w:color w:val="auto"/>
        </w:rPr>
      </w:pPr>
      <w:r w:rsidRPr="00593415">
        <w:rPr>
          <w:rStyle w:val="Guidance"/>
          <w:b/>
          <w:i w:val="0"/>
          <w:noProof/>
          <w:color w:val="auto"/>
          <w:lang w:eastAsia="en-GB"/>
        </w:rPr>
        <w:t>Figure 7 -</w:t>
      </w:r>
      <w:r>
        <w:rPr>
          <w:rStyle w:val="Guidance"/>
          <w:i w:val="0"/>
          <w:noProof/>
          <w:color w:val="auto"/>
          <w:lang w:eastAsia="en-GB"/>
        </w:rPr>
        <w:t xml:space="preserve"> </w:t>
      </w:r>
      <w:r w:rsidRPr="00F8635D">
        <w:rPr>
          <w:rStyle w:val="Guidance"/>
          <w:b/>
          <w:i w:val="0"/>
          <w:iCs/>
          <w:color w:val="auto"/>
        </w:rPr>
        <w:t xml:space="preserve">Ground Station Antenna </w:t>
      </w:r>
      <w:r>
        <w:rPr>
          <w:rStyle w:val="Guidance"/>
          <w:b/>
          <w:i w:val="0"/>
          <w:iCs/>
          <w:color w:val="auto"/>
        </w:rPr>
        <w:t xml:space="preserve">Elevation </w:t>
      </w:r>
      <w:r w:rsidRPr="00F8635D">
        <w:rPr>
          <w:rStyle w:val="Guidance"/>
          <w:b/>
          <w:i w:val="0"/>
          <w:iCs/>
          <w:color w:val="auto"/>
        </w:rPr>
        <w:t>Pattern</w:t>
      </w:r>
      <w:r>
        <w:rPr>
          <w:rStyle w:val="Guidance"/>
          <w:b/>
          <w:i w:val="0"/>
          <w:iCs/>
          <w:color w:val="auto"/>
        </w:rPr>
        <w:t xml:space="preserve"> (2nd generation 8-antenna array)</w:t>
      </w:r>
    </w:p>
    <w:p w:rsidR="004A6009" w:rsidRPr="00F8635D" w:rsidRDefault="004A6009" w:rsidP="004054AA">
      <w:pPr>
        <w:jc w:val="center"/>
        <w:rPr>
          <w:rStyle w:val="Guidance"/>
          <w:b/>
          <w:i w:val="0"/>
          <w:iCs/>
          <w:color w:val="auto"/>
        </w:rPr>
      </w:pPr>
    </w:p>
    <w:p w:rsidR="002878CF" w:rsidRDefault="00E60EDB" w:rsidP="00745BFF">
      <w:pPr>
        <w:pStyle w:val="Heading4"/>
      </w:pPr>
      <w:bookmarkStart w:id="43" w:name="_Toc233514056"/>
      <w:r>
        <w:rPr>
          <w:noProof/>
          <w:lang w:eastAsia="en-GB"/>
        </w:rPr>
        <w:lastRenderedPageBreak/>
        <w:drawing>
          <wp:inline distT="0" distB="0" distL="0" distR="0">
            <wp:extent cx="5486400" cy="331406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srcRect/>
                    <a:stretch>
                      <a:fillRect/>
                    </a:stretch>
                  </pic:blipFill>
                  <pic:spPr bwMode="auto">
                    <a:xfrm>
                      <a:off x="0" y="0"/>
                      <a:ext cx="5486400" cy="3314065"/>
                    </a:xfrm>
                    <a:prstGeom prst="rect">
                      <a:avLst/>
                    </a:prstGeom>
                    <a:noFill/>
                    <a:ln w="9525">
                      <a:noFill/>
                      <a:miter lim="800000"/>
                      <a:headEnd/>
                      <a:tailEnd/>
                    </a:ln>
                  </pic:spPr>
                </pic:pic>
              </a:graphicData>
            </a:graphic>
          </wp:inline>
        </w:drawing>
      </w:r>
    </w:p>
    <w:p w:rsidR="002878CF" w:rsidRPr="007756F0" w:rsidRDefault="002878CF" w:rsidP="002878CF">
      <w:pPr>
        <w:pStyle w:val="Heading4"/>
        <w:jc w:val="center"/>
        <w:rPr>
          <w:rStyle w:val="Guidance"/>
          <w:rFonts w:ascii="Times New Roman" w:hAnsi="Times New Roman"/>
          <w:b/>
          <w:i w:val="0"/>
          <w:iCs/>
          <w:color w:val="auto"/>
        </w:rPr>
      </w:pPr>
      <w:r w:rsidRPr="007756F0">
        <w:rPr>
          <w:rStyle w:val="Guidance"/>
          <w:rFonts w:ascii="Times New Roman" w:hAnsi="Times New Roman"/>
          <w:b/>
          <w:i w:val="0"/>
          <w:iCs/>
          <w:color w:val="auto"/>
        </w:rPr>
        <w:t xml:space="preserve">Figure </w:t>
      </w:r>
      <w:r w:rsidR="007756F0">
        <w:rPr>
          <w:rStyle w:val="Guidance"/>
          <w:rFonts w:ascii="Times New Roman" w:hAnsi="Times New Roman"/>
          <w:b/>
          <w:i w:val="0"/>
          <w:iCs/>
          <w:color w:val="auto"/>
        </w:rPr>
        <w:t>8</w:t>
      </w:r>
      <w:r w:rsidRPr="007756F0">
        <w:rPr>
          <w:rStyle w:val="Guidance"/>
          <w:rFonts w:ascii="Times New Roman" w:hAnsi="Times New Roman"/>
          <w:b/>
          <w:i w:val="0"/>
          <w:iCs/>
          <w:color w:val="auto"/>
        </w:rPr>
        <w:t xml:space="preserve"> - Ground Station Antenna </w:t>
      </w:r>
      <w:r w:rsidR="007756F0">
        <w:rPr>
          <w:rStyle w:val="Guidance"/>
          <w:rFonts w:ascii="Times New Roman" w:hAnsi="Times New Roman"/>
          <w:b/>
          <w:i w:val="0"/>
          <w:iCs/>
          <w:color w:val="auto"/>
        </w:rPr>
        <w:t>Azimuth</w:t>
      </w:r>
      <w:r w:rsidRPr="007756F0">
        <w:rPr>
          <w:rStyle w:val="Guidance"/>
          <w:rFonts w:ascii="Times New Roman" w:hAnsi="Times New Roman"/>
          <w:b/>
          <w:i w:val="0"/>
          <w:iCs/>
          <w:color w:val="auto"/>
        </w:rPr>
        <w:t xml:space="preserve"> Pattern (2nd generation 8-antenna array)</w:t>
      </w:r>
    </w:p>
    <w:p w:rsidR="002878CF" w:rsidRDefault="007756F0" w:rsidP="002878CF">
      <w:r>
        <w:t>Note that</w:t>
      </w:r>
      <w:r w:rsidR="004D48FD">
        <w:t>, for three dimensional computations,</w:t>
      </w:r>
      <w:r>
        <w:t xml:space="preserve"> the </w:t>
      </w:r>
      <w:r w:rsidR="00DE4296">
        <w:t xml:space="preserve">resulting </w:t>
      </w:r>
      <w:r w:rsidR="004D48FD">
        <w:t xml:space="preserve">ground station </w:t>
      </w:r>
      <w:r w:rsidR="00DE4296">
        <w:t xml:space="preserve">antenna gain in any given pointing direction is the sum of the </w:t>
      </w:r>
      <w:r w:rsidR="004D48FD">
        <w:t xml:space="preserve">relevant </w:t>
      </w:r>
      <w:r w:rsidR="00DE4296">
        <w:t xml:space="preserve">elevation and azimuth gains </w:t>
      </w:r>
      <w:r w:rsidR="004D48FD">
        <w:t xml:space="preserve">shown </w:t>
      </w:r>
      <w:r w:rsidR="00DE4296">
        <w:t>in Figures 7 and 8</w:t>
      </w:r>
      <w:r w:rsidR="004D48FD">
        <w:t xml:space="preserve"> respectively</w:t>
      </w:r>
      <w:r w:rsidR="00DE4296">
        <w:t>.</w:t>
      </w:r>
    </w:p>
    <w:p w:rsidR="00DE4296" w:rsidRPr="002878CF" w:rsidRDefault="009D7AC4" w:rsidP="002878CF">
      <w:r w:rsidRPr="00357D6E">
        <w:rPr>
          <w:highlight w:val="yellow"/>
        </w:rPr>
        <w:t>[</w:t>
      </w:r>
      <w:r w:rsidRPr="00357D6E">
        <w:rPr>
          <w:i/>
          <w:highlight w:val="yellow"/>
        </w:rPr>
        <w:t>Editorial Note:</w:t>
      </w:r>
      <w:r w:rsidRPr="00357D6E">
        <w:rPr>
          <w:i/>
          <w:highlight w:val="yellow"/>
        </w:rPr>
        <w:tab/>
        <w:t xml:space="preserve">Consideration of this document in the resolution meeting of </w:t>
      </w:r>
      <w:r w:rsidR="002103EE" w:rsidRPr="00357D6E">
        <w:rPr>
          <w:i/>
          <w:highlight w:val="yellow"/>
        </w:rPr>
        <w:t>16-</w:t>
      </w:r>
      <w:r w:rsidRPr="00357D6E">
        <w:rPr>
          <w:i/>
          <w:highlight w:val="yellow"/>
        </w:rPr>
        <w:t>17 April ended at this point</w:t>
      </w:r>
      <w:r w:rsidRPr="00357D6E">
        <w:rPr>
          <w:highlight w:val="yellow"/>
        </w:rPr>
        <w:t>].</w:t>
      </w:r>
    </w:p>
    <w:p w:rsidR="004A6009" w:rsidRPr="0020298A" w:rsidRDefault="004A6009" w:rsidP="00745BFF">
      <w:pPr>
        <w:pStyle w:val="Heading4"/>
      </w:pPr>
      <w:r>
        <w:t>7.2.2.2</w:t>
      </w:r>
      <w:r w:rsidRPr="0020298A">
        <w:tab/>
        <w:t>Operating Frequency</w:t>
      </w:r>
      <w:bookmarkEnd w:id="43"/>
    </w:p>
    <w:p w:rsidR="004A6009" w:rsidRPr="009A175D" w:rsidRDefault="004A6009" w:rsidP="004939F7">
      <w:pPr>
        <w:rPr>
          <w:rStyle w:val="Guidance"/>
          <w:i w:val="0"/>
          <w:color w:val="auto"/>
        </w:rPr>
      </w:pPr>
      <w:r>
        <w:rPr>
          <w:rStyle w:val="Guidance"/>
          <w:i w:val="0"/>
          <w:color w:val="auto"/>
        </w:rPr>
        <w:t xml:space="preserve">The system </w:t>
      </w:r>
      <w:r w:rsidR="0055358F">
        <w:rPr>
          <w:rStyle w:val="Guidance"/>
          <w:i w:val="0"/>
          <w:color w:val="auto"/>
        </w:rPr>
        <w:t xml:space="preserve">is currently optimised </w:t>
      </w:r>
      <w:r>
        <w:rPr>
          <w:rStyle w:val="Guidance"/>
          <w:i w:val="0"/>
          <w:color w:val="auto"/>
        </w:rPr>
        <w:t xml:space="preserve">to operate within </w:t>
      </w:r>
      <w:r>
        <w:t>the 2 400 MHz to 2 483</w:t>
      </w:r>
      <w:proofErr w:type="gramStart"/>
      <w:r>
        <w:t>,5</w:t>
      </w:r>
      <w:proofErr w:type="gramEnd"/>
      <w:r>
        <w:t> MHz band and/or the 5 855 MHz to 5 875 MHz band</w:t>
      </w:r>
      <w:r w:rsidRPr="009A175D">
        <w:rPr>
          <w:rStyle w:val="Guidance"/>
          <w:i w:val="0"/>
          <w:color w:val="auto"/>
        </w:rPr>
        <w:t xml:space="preserve">.  </w:t>
      </w:r>
      <w:r w:rsidR="0055358F">
        <w:rPr>
          <w:rStyle w:val="Guidance"/>
          <w:i w:val="0"/>
          <w:color w:val="auto"/>
        </w:rPr>
        <w:t>However, t</w:t>
      </w:r>
      <w:r w:rsidRPr="009A175D">
        <w:rPr>
          <w:rStyle w:val="Guidance"/>
          <w:i w:val="0"/>
          <w:color w:val="auto"/>
        </w:rPr>
        <w:t xml:space="preserve">he tuning range of the circuitry </w:t>
      </w:r>
      <w:r w:rsidR="0055358F">
        <w:rPr>
          <w:rStyle w:val="Guidance"/>
          <w:i w:val="0"/>
          <w:color w:val="auto"/>
        </w:rPr>
        <w:t xml:space="preserve">extends from 790 MHz to 6 GHz </w:t>
      </w:r>
      <w:r w:rsidRPr="009A175D">
        <w:rPr>
          <w:rStyle w:val="Guidance"/>
          <w:i w:val="0"/>
          <w:color w:val="auto"/>
        </w:rPr>
        <w:t xml:space="preserve">and the antennas </w:t>
      </w:r>
      <w:r w:rsidR="0055358F">
        <w:rPr>
          <w:rStyle w:val="Guidance"/>
          <w:i w:val="0"/>
          <w:color w:val="auto"/>
        </w:rPr>
        <w:t xml:space="preserve">would </w:t>
      </w:r>
      <w:r w:rsidRPr="009A175D">
        <w:rPr>
          <w:rStyle w:val="Guidance"/>
          <w:i w:val="0"/>
          <w:color w:val="auto"/>
        </w:rPr>
        <w:t xml:space="preserve">require only minor changes to optimise for </w:t>
      </w:r>
      <w:r w:rsidR="0055358F">
        <w:rPr>
          <w:rStyle w:val="Guidance"/>
          <w:i w:val="0"/>
          <w:color w:val="auto"/>
        </w:rPr>
        <w:t xml:space="preserve">any </w:t>
      </w:r>
      <w:r w:rsidRPr="009A175D">
        <w:rPr>
          <w:rStyle w:val="Guidance"/>
          <w:i w:val="0"/>
          <w:color w:val="auto"/>
        </w:rPr>
        <w:t xml:space="preserve">band </w:t>
      </w:r>
      <w:r w:rsidR="0055358F">
        <w:rPr>
          <w:rStyle w:val="Guidance"/>
          <w:i w:val="0"/>
          <w:color w:val="auto"/>
        </w:rPr>
        <w:t xml:space="preserve">within that </w:t>
      </w:r>
      <w:r w:rsidR="000E5815">
        <w:rPr>
          <w:rStyle w:val="Guidance"/>
          <w:i w:val="0"/>
          <w:color w:val="auto"/>
        </w:rPr>
        <w:t xml:space="preserve">extended </w:t>
      </w:r>
      <w:r w:rsidR="0055358F">
        <w:rPr>
          <w:rStyle w:val="Guidance"/>
          <w:i w:val="0"/>
          <w:color w:val="auto"/>
        </w:rPr>
        <w:t>range</w:t>
      </w:r>
      <w:r w:rsidRPr="009A175D">
        <w:rPr>
          <w:rStyle w:val="Guidance"/>
          <w:i w:val="0"/>
          <w:color w:val="auto"/>
        </w:rPr>
        <w:t>.</w:t>
      </w:r>
    </w:p>
    <w:p w:rsidR="004A6009" w:rsidRPr="00FB1466" w:rsidRDefault="004A6009" w:rsidP="00745BFF">
      <w:pPr>
        <w:pStyle w:val="Heading4"/>
      </w:pPr>
      <w:bookmarkStart w:id="44" w:name="_Toc233514057"/>
      <w:r>
        <w:t>7.2.2.3</w:t>
      </w:r>
      <w:r w:rsidRPr="00FB1466">
        <w:tab/>
        <w:t xml:space="preserve">Bandwidth </w:t>
      </w:r>
      <w:bookmarkEnd w:id="44"/>
    </w:p>
    <w:p w:rsidR="004A6009" w:rsidRPr="0084642F" w:rsidRDefault="004A6009" w:rsidP="00AE2755">
      <w:pPr>
        <w:rPr>
          <w:rStyle w:val="Guidance"/>
          <w:i w:val="0"/>
          <w:color w:val="auto"/>
        </w:rPr>
      </w:pPr>
      <w:r w:rsidRPr="001269B5" w:rsidDel="0084642F">
        <w:rPr>
          <w:rStyle w:val="Guidance"/>
          <w:color w:val="auto"/>
        </w:rPr>
        <w:t xml:space="preserve"> </w:t>
      </w:r>
      <w:r>
        <w:t>The necessary bandwidth (as defined by Articles 1.152 and 1.153 of the ITU Radio Regulations [i.10]) is 20 MHz and the occupied bandwidth complies with Clause 4.3.2.6 of ETSI EN 300 328 V1.8.1 [i.5] for operation in the 2 400 MHz to 2 483</w:t>
      </w:r>
      <w:proofErr w:type="gramStart"/>
      <w:r>
        <w:t>,5</w:t>
      </w:r>
      <w:proofErr w:type="gramEnd"/>
      <w:r>
        <w:t xml:space="preserve"> MHz band and falls within the emission mask specified in Clause 4.3.2.2 of ETSI EN 302 502 V1.2.1 [i.6] for operation in the 5 855 MHz to 5 875 MHz band.</w:t>
      </w:r>
    </w:p>
    <w:p w:rsidR="004A6009" w:rsidRDefault="004A6009" w:rsidP="00745BFF">
      <w:pPr>
        <w:pStyle w:val="Heading4"/>
      </w:pPr>
      <w:bookmarkStart w:id="45" w:name="_Toc233514058"/>
      <w:r>
        <w:t>7.2.2.4</w:t>
      </w:r>
      <w:r w:rsidRPr="00261685">
        <w:tab/>
        <w:t>Unwanted emissions</w:t>
      </w:r>
      <w:bookmarkEnd w:id="45"/>
    </w:p>
    <w:p w:rsidR="004A6009" w:rsidRPr="002101AA" w:rsidRDefault="004A6009" w:rsidP="00AE2755">
      <w:pPr>
        <w:rPr>
          <w:rStyle w:val="Guidance"/>
          <w:i w:val="0"/>
          <w:color w:val="auto"/>
        </w:rPr>
      </w:pPr>
      <w:r w:rsidRPr="001269B5" w:rsidDel="002101AA">
        <w:rPr>
          <w:rStyle w:val="Guidance"/>
          <w:color w:val="auto"/>
        </w:rPr>
        <w:t xml:space="preserve"> </w:t>
      </w:r>
      <w:r>
        <w:rPr>
          <w:rStyle w:val="Guidance"/>
          <w:i w:val="0"/>
          <w:color w:val="auto"/>
        </w:rPr>
        <w:t xml:space="preserve">The unwanted emissions, including spurious emissions and out-of-band emissions (as defined by Article 1.146 of the ITU Radio Regulations [i.10]) fall within the limits specified in Clauses 4.3.2.7 and 4.3.2.8 of </w:t>
      </w:r>
      <w:r>
        <w:t>ETSI EN 300 328 V1.8.1</w:t>
      </w:r>
      <w:r w:rsidDel="00C81184">
        <w:rPr>
          <w:rStyle w:val="Guidance"/>
          <w:i w:val="0"/>
          <w:color w:val="auto"/>
        </w:rPr>
        <w:t xml:space="preserve"> </w:t>
      </w:r>
      <w:r>
        <w:rPr>
          <w:rStyle w:val="Guidance"/>
          <w:i w:val="0"/>
          <w:color w:val="auto"/>
        </w:rPr>
        <w:t>5]</w:t>
      </w:r>
      <w:r w:rsidRPr="009B6FC7">
        <w:t xml:space="preserve"> </w:t>
      </w:r>
      <w:r>
        <w:t>for operation in the 2 400 MHz to 2 483,5 MHz band.  Unwanted emissions also comply with Clause 4.3.2 of ETSI EN 302 502 V1.2.1 [i.6] for operation in the 5 855 MHz to 5 875 MHz band.</w:t>
      </w:r>
      <w:r>
        <w:rPr>
          <w:rStyle w:val="Guidance"/>
          <w:i w:val="0"/>
          <w:color w:val="auto"/>
        </w:rPr>
        <w:t xml:space="preserve"> </w:t>
      </w:r>
    </w:p>
    <w:p w:rsidR="003F6820" w:rsidRDefault="003F6820" w:rsidP="00745BFF">
      <w:pPr>
        <w:pStyle w:val="Heading4"/>
      </w:pPr>
      <w:bookmarkStart w:id="46" w:name="_Toc233514059"/>
      <w:r>
        <w:t>[</w:t>
      </w:r>
      <w:r w:rsidRPr="00357D6E">
        <w:rPr>
          <w:i/>
          <w:sz w:val="20"/>
          <w:highlight w:val="yellow"/>
        </w:rPr>
        <w:t xml:space="preserve">Editorial Note: An appropriate emission mask </w:t>
      </w:r>
      <w:r w:rsidR="009D7AC4" w:rsidRPr="00357D6E">
        <w:rPr>
          <w:i/>
          <w:sz w:val="20"/>
          <w:highlight w:val="yellow"/>
        </w:rPr>
        <w:t xml:space="preserve">may need to </w:t>
      </w:r>
      <w:r w:rsidRPr="00357D6E">
        <w:rPr>
          <w:i/>
          <w:sz w:val="20"/>
          <w:highlight w:val="yellow"/>
        </w:rPr>
        <w:t xml:space="preserve">be added to this clause to reflect concerns expressed in </w:t>
      </w:r>
      <w:r w:rsidR="009D7AC4" w:rsidRPr="00357D6E">
        <w:rPr>
          <w:i/>
          <w:sz w:val="20"/>
          <w:highlight w:val="yellow"/>
        </w:rPr>
        <w:t xml:space="preserve">resolution meeting and described in </w:t>
      </w:r>
      <w:r w:rsidRPr="00357D6E">
        <w:rPr>
          <w:i/>
          <w:sz w:val="20"/>
          <w:highlight w:val="yellow"/>
        </w:rPr>
        <w:t>Clause 4.</w:t>
      </w:r>
      <w:r w:rsidR="009D7AC4" w:rsidRPr="00357D6E">
        <w:rPr>
          <w:i/>
          <w:sz w:val="20"/>
          <w:highlight w:val="yellow"/>
        </w:rPr>
        <w:t>3</w:t>
      </w:r>
      <w:r w:rsidRPr="00357D6E">
        <w:rPr>
          <w:highlight w:val="yellow"/>
        </w:rPr>
        <w:t>]</w:t>
      </w:r>
    </w:p>
    <w:p w:rsidR="004A6009" w:rsidRPr="0020298A" w:rsidRDefault="004A6009" w:rsidP="00745BFF">
      <w:pPr>
        <w:pStyle w:val="Heading4"/>
      </w:pPr>
      <w:r>
        <w:t>7.2.2</w:t>
      </w:r>
      <w:proofErr w:type="gramStart"/>
      <w:r>
        <w:t>.&lt;</w:t>
      </w:r>
      <w:proofErr w:type="gramEnd"/>
      <w:r>
        <w:t>x&gt;</w:t>
      </w:r>
      <w:r>
        <w:tab/>
        <w:t>&lt;Parameter&gt;</w:t>
      </w:r>
      <w:bookmarkEnd w:id="46"/>
    </w:p>
    <w:p w:rsidR="004A6009" w:rsidRDefault="004A6009" w:rsidP="003B65B0">
      <w:pPr>
        <w:pStyle w:val="Heading3"/>
      </w:pPr>
      <w:bookmarkStart w:id="47" w:name="_Toc233514060"/>
      <w:r>
        <w:t>7.2.3</w:t>
      </w:r>
      <w:r>
        <w:tab/>
        <w:t>Receiver parameters</w:t>
      </w:r>
      <w:bookmarkEnd w:id="47"/>
    </w:p>
    <w:p w:rsidR="004A6009" w:rsidRPr="001269B5" w:rsidRDefault="004A6009" w:rsidP="00CF2F6A">
      <w:pPr>
        <w:rPr>
          <w:rStyle w:val="Guidance"/>
          <w:color w:val="auto"/>
        </w:rPr>
      </w:pPr>
      <w:r w:rsidRPr="001269B5" w:rsidDel="005B6C8A">
        <w:rPr>
          <w:rStyle w:val="Guidance"/>
          <w:color w:val="auto"/>
        </w:rPr>
        <w:t xml:space="preserve"> </w:t>
      </w:r>
      <w:r w:rsidRPr="005B6C8A">
        <w:rPr>
          <w:rStyle w:val="Guidance"/>
          <w:i w:val="0"/>
          <w:color w:val="auto"/>
        </w:rPr>
        <w:t xml:space="preserve"> </w:t>
      </w:r>
      <w:r>
        <w:rPr>
          <w:rStyle w:val="Guidance"/>
          <w:i w:val="0"/>
          <w:color w:val="auto"/>
        </w:rPr>
        <w:t>The s</w:t>
      </w:r>
      <w:r w:rsidRPr="00C91230">
        <w:rPr>
          <w:rStyle w:val="Guidance"/>
          <w:i w:val="0"/>
          <w:color w:val="auto"/>
        </w:rPr>
        <w:t>ensitivity</w:t>
      </w:r>
      <w:r>
        <w:rPr>
          <w:rStyle w:val="Guidance"/>
          <w:i w:val="0"/>
          <w:color w:val="auto"/>
        </w:rPr>
        <w:t xml:space="preserve"> is</w:t>
      </w:r>
      <w:r w:rsidRPr="00C91230">
        <w:rPr>
          <w:rStyle w:val="Guidance"/>
          <w:i w:val="0"/>
          <w:color w:val="auto"/>
        </w:rPr>
        <w:t xml:space="preserve"> </w:t>
      </w:r>
      <w:r>
        <w:rPr>
          <w:rStyle w:val="Guidance"/>
          <w:i w:val="0"/>
          <w:color w:val="auto"/>
        </w:rPr>
        <w:t xml:space="preserve">better than or equal to </w:t>
      </w:r>
      <w:r w:rsidRPr="00C91230">
        <w:rPr>
          <w:rStyle w:val="Guidance"/>
          <w:i w:val="0"/>
          <w:color w:val="auto"/>
        </w:rPr>
        <w:t>-</w:t>
      </w:r>
      <w:r>
        <w:rPr>
          <w:rStyle w:val="Guidance"/>
          <w:i w:val="0"/>
          <w:color w:val="auto"/>
        </w:rPr>
        <w:t>87 </w:t>
      </w:r>
      <w:r w:rsidRPr="00C91230">
        <w:rPr>
          <w:rStyle w:val="Guidance"/>
          <w:i w:val="0"/>
          <w:color w:val="auto"/>
        </w:rPr>
        <w:t>dBm</w:t>
      </w:r>
      <w:r>
        <w:rPr>
          <w:rStyle w:val="Guidance"/>
          <w:i w:val="0"/>
          <w:color w:val="auto"/>
        </w:rPr>
        <w:t xml:space="preserve"> in a 20MHz bandwidth</w:t>
      </w:r>
      <w:r w:rsidRPr="00C91230">
        <w:rPr>
          <w:rStyle w:val="Guidance"/>
          <w:i w:val="0"/>
          <w:color w:val="auto"/>
        </w:rPr>
        <w:t xml:space="preserve"> on </w:t>
      </w:r>
      <w:r>
        <w:rPr>
          <w:rStyle w:val="Guidance"/>
          <w:i w:val="0"/>
          <w:color w:val="auto"/>
        </w:rPr>
        <w:t xml:space="preserve">both the </w:t>
      </w:r>
      <w:r w:rsidRPr="00C91230">
        <w:rPr>
          <w:rStyle w:val="Guidance"/>
          <w:i w:val="0"/>
          <w:color w:val="auto"/>
        </w:rPr>
        <w:t>ground station and aircraft station receivers</w:t>
      </w:r>
      <w:r>
        <w:rPr>
          <w:rStyle w:val="Guidance"/>
          <w:i w:val="0"/>
          <w:color w:val="auto"/>
        </w:rPr>
        <w:t xml:space="preserve">.  Adjacent channel selectivity is 43,5 dB for the ground station and 27 dB for the aircraft station, as specified in </w:t>
      </w:r>
      <w:r w:rsidRPr="00F70FAB">
        <w:t>3GPP TS 36.104</w:t>
      </w:r>
      <w:r>
        <w:rPr>
          <w:rStyle w:val="Guidance"/>
          <w:i w:val="0"/>
          <w:color w:val="auto"/>
        </w:rPr>
        <w:t xml:space="preserve"> [i.7] and </w:t>
      </w:r>
      <w:r w:rsidRPr="00F70FAB">
        <w:t>3GPP TS 36.10</w:t>
      </w:r>
      <w:r>
        <w:t>1</w:t>
      </w:r>
      <w:r>
        <w:rPr>
          <w:rStyle w:val="Guidance"/>
          <w:i w:val="0"/>
          <w:color w:val="auto"/>
        </w:rPr>
        <w:t xml:space="preserve"> [i.8] respectively.  Other </w:t>
      </w:r>
      <w:r w:rsidR="000532F1">
        <w:rPr>
          <w:rStyle w:val="Guidance"/>
          <w:i w:val="0"/>
          <w:color w:val="auto"/>
        </w:rPr>
        <w:t xml:space="preserve">relevant </w:t>
      </w:r>
      <w:r>
        <w:rPr>
          <w:rStyle w:val="Guidance"/>
          <w:i w:val="0"/>
          <w:color w:val="auto"/>
        </w:rPr>
        <w:t>receiver parameters comply with</w:t>
      </w:r>
      <w:r w:rsidR="000532F1">
        <w:rPr>
          <w:rStyle w:val="Guidance"/>
          <w:i w:val="0"/>
          <w:color w:val="auto"/>
        </w:rPr>
        <w:t xml:space="preserve"> </w:t>
      </w:r>
      <w:r>
        <w:rPr>
          <w:rStyle w:val="Guidance"/>
          <w:i w:val="0"/>
          <w:color w:val="auto"/>
        </w:rPr>
        <w:t>the</w:t>
      </w:r>
      <w:r w:rsidR="000532F1">
        <w:rPr>
          <w:rStyle w:val="Guidance"/>
          <w:i w:val="0"/>
          <w:color w:val="auto"/>
        </w:rPr>
        <w:t xml:space="preserve"> corresponding</w:t>
      </w:r>
      <w:r>
        <w:rPr>
          <w:rStyle w:val="Guidance"/>
          <w:i w:val="0"/>
          <w:color w:val="auto"/>
        </w:rPr>
        <w:t xml:space="preserve"> requirements within these 3GPP specifications.</w:t>
      </w:r>
    </w:p>
    <w:p w:rsidR="004A6009" w:rsidRDefault="004A6009" w:rsidP="003B65B0">
      <w:pPr>
        <w:pStyle w:val="Heading3"/>
      </w:pPr>
      <w:bookmarkStart w:id="48" w:name="_Toc233514061"/>
      <w:r>
        <w:lastRenderedPageBreak/>
        <w:t>7.2.4</w:t>
      </w:r>
      <w:r>
        <w:tab/>
        <w:t>Channel access parameters</w:t>
      </w:r>
      <w:bookmarkEnd w:id="48"/>
    </w:p>
    <w:p w:rsidR="004A6009" w:rsidRPr="001269B5" w:rsidRDefault="004A6009" w:rsidP="00CF2F6A">
      <w:pPr>
        <w:rPr>
          <w:rStyle w:val="Guidance"/>
          <w:color w:val="auto"/>
        </w:rPr>
      </w:pPr>
      <w:r w:rsidRPr="001269B5" w:rsidDel="00F30177">
        <w:rPr>
          <w:rStyle w:val="Guidance"/>
          <w:color w:val="auto"/>
        </w:rPr>
        <w:t xml:space="preserve"> </w:t>
      </w:r>
      <w:r w:rsidRPr="006633AD">
        <w:t xml:space="preserve"> </w:t>
      </w:r>
      <w:r w:rsidRPr="00F70FAB">
        <w:t xml:space="preserve">The </w:t>
      </w:r>
      <w:r>
        <w:t xml:space="preserve">operational </w:t>
      </w:r>
      <w:r w:rsidRPr="00F70FAB">
        <w:t>channel access parameters such as frame duration, resource grouping and allocation in time and frequency, random access procedures, are</w:t>
      </w:r>
      <w:r>
        <w:t xml:space="preserve"> fully configurable.</w:t>
      </w:r>
      <w:r w:rsidR="001B5EA3">
        <w:t xml:space="preserve">  Typically, the system employs 5 ms frames with 80% forward/20% return link (4ms to ground to air, 1ms air to ground).  The frequencies are broken into 12-24 channels, depending on </w:t>
      </w:r>
      <w:r w:rsidR="00F34219">
        <w:t xml:space="preserve">the </w:t>
      </w:r>
      <w:r w:rsidR="001B5EA3">
        <w:t>scheduler.  The access is fully scheduled using MAC messaging inside the 5ms frame.</w:t>
      </w:r>
    </w:p>
    <w:p w:rsidR="004A6009" w:rsidRDefault="004A6009" w:rsidP="003B65B0">
      <w:pPr>
        <w:pStyle w:val="Heading2"/>
      </w:pPr>
      <w:bookmarkStart w:id="49" w:name="_Toc233514062"/>
      <w:r>
        <w:t>7.3</w:t>
      </w:r>
      <w:r w:rsidRPr="00FB1466">
        <w:tab/>
        <w:t>Information on relevant standard</w:t>
      </w:r>
      <w:r>
        <w:t>(s)</w:t>
      </w:r>
      <w:bookmarkEnd w:id="49"/>
    </w:p>
    <w:p w:rsidR="004A6009" w:rsidRDefault="004A6009" w:rsidP="00DF0988">
      <w:r w:rsidRPr="007D252F">
        <w:t>See under clause 2.2 Informative references</w:t>
      </w:r>
      <w:r>
        <w:t xml:space="preserve">. </w:t>
      </w:r>
      <w:r w:rsidRPr="00F70FAB">
        <w:t>Broadband DA2G communication systems are to be covered in a Harmonized European Standard under the R&amp;TTE Directive.</w:t>
      </w:r>
    </w:p>
    <w:p w:rsidR="004A6009" w:rsidRPr="00DF0988" w:rsidRDefault="004A6009" w:rsidP="00DF0988"/>
    <w:p w:rsidR="004A6009" w:rsidRDefault="004A6009" w:rsidP="00DB37EA">
      <w:pPr>
        <w:pStyle w:val="Heading1"/>
      </w:pPr>
      <w:bookmarkStart w:id="50" w:name="_Toc233514063"/>
      <w:r>
        <w:t>8</w:t>
      </w:r>
      <w:r>
        <w:tab/>
        <w:t>Radio s</w:t>
      </w:r>
      <w:r w:rsidRPr="00FB1466">
        <w:t xml:space="preserve">pectrum </w:t>
      </w:r>
      <w:r>
        <w:t>request and justification</w:t>
      </w:r>
      <w:bookmarkEnd w:id="50"/>
    </w:p>
    <w:p w:rsidR="004A6009" w:rsidRDefault="004A6009" w:rsidP="005A4E96">
      <w:pPr>
        <w:rPr>
          <w:rStyle w:val="Guidance"/>
          <w:i w:val="0"/>
          <w:color w:val="auto"/>
        </w:rPr>
      </w:pPr>
      <w:r>
        <w:rPr>
          <w:rStyle w:val="Guidance"/>
          <w:i w:val="0"/>
          <w:color w:val="auto"/>
        </w:rPr>
        <w:t xml:space="preserve">The described broadband DA2G communications system is unlikely to require any dedicated spectrum to be made available, since the features of the technology permit co-frequency sharing with other radio applications with the minimum of constraints (e.g. careful siting of ground stations with workable exclusion zones around each site).  This is particularly the case when considering the potential for operation in </w:t>
      </w:r>
      <w:proofErr w:type="gramStart"/>
      <w:r>
        <w:rPr>
          <w:rStyle w:val="Guidance"/>
          <w:i w:val="0"/>
          <w:color w:val="auto"/>
        </w:rPr>
        <w:t>the  ISM</w:t>
      </w:r>
      <w:proofErr w:type="gramEnd"/>
      <w:r>
        <w:rPr>
          <w:rStyle w:val="Guidance"/>
          <w:i w:val="0"/>
          <w:color w:val="auto"/>
        </w:rPr>
        <w:t xml:space="preserve"> spectrum bands from 2 400 MHz to 2 483,5 MHz and/or 5 725 MHz to 5 875 MHz, which are used for various licence-exempt radio applications.</w:t>
      </w:r>
    </w:p>
    <w:p w:rsidR="004A6009" w:rsidRPr="006E6FDB" w:rsidRDefault="004A6009" w:rsidP="005A4E96">
      <w:pPr>
        <w:rPr>
          <w:rStyle w:val="Guidance"/>
          <w:i w:val="0"/>
          <w:color w:val="auto"/>
        </w:rPr>
      </w:pPr>
      <w:r>
        <w:rPr>
          <w:rStyle w:val="Guidance"/>
          <w:i w:val="0"/>
          <w:color w:val="auto"/>
        </w:rPr>
        <w:t>Whatever frequency band is ultimately chosen, the system can operate with variable bandwidths in any sub-band within the relevant frequency range.  For optimum performance, in TDD mode, the system would require a contiguous block of spectrum of 20 MHz.  Alternatively, 2 × 10 MHz contiguous blocks would be needed if operated in FDD mode (although the forward and return links need not necessarily be within the same frequency band).  These spectrum requirements are driven by the need to supply sufficient capacity to serve passengers and crew onboard the aircraft with the desired range of broadband services and have been noted by the ECC at its 30</w:t>
      </w:r>
      <w:r w:rsidRPr="00EB1F3C">
        <w:rPr>
          <w:rStyle w:val="Guidance"/>
          <w:i w:val="0"/>
          <w:color w:val="auto"/>
          <w:vertAlign w:val="superscript"/>
        </w:rPr>
        <w:t>th</w:t>
      </w:r>
      <w:r>
        <w:rPr>
          <w:rStyle w:val="Guidance"/>
          <w:i w:val="0"/>
          <w:color w:val="auto"/>
        </w:rPr>
        <w:t xml:space="preserve"> meeting in December 2011, based on the information given in [i.9].  </w:t>
      </w:r>
    </w:p>
    <w:p w:rsidR="004A6009" w:rsidRDefault="004A6009" w:rsidP="001A79BB">
      <w:pPr>
        <w:pStyle w:val="Heading1"/>
        <w:pBdr>
          <w:top w:val="single" w:sz="12" w:space="4" w:color="auto"/>
        </w:pBdr>
      </w:pPr>
      <w:bookmarkStart w:id="51" w:name="_Toc233514064"/>
      <w:r>
        <w:t>9</w:t>
      </w:r>
      <w:r>
        <w:tab/>
      </w:r>
      <w:r w:rsidRPr="006531E9">
        <w:t>Regulations</w:t>
      </w:r>
      <w:bookmarkEnd w:id="51"/>
    </w:p>
    <w:p w:rsidR="004A6009" w:rsidRDefault="004A6009" w:rsidP="00DB37EA">
      <w:pPr>
        <w:pStyle w:val="Heading2"/>
      </w:pPr>
      <w:bookmarkStart w:id="52" w:name="_Toc233514065"/>
      <w:r>
        <w:t>9.1</w:t>
      </w:r>
      <w:r>
        <w:tab/>
      </w:r>
      <w:r w:rsidRPr="00FB1466">
        <w:t>Current regulations</w:t>
      </w:r>
      <w:bookmarkEnd w:id="52"/>
    </w:p>
    <w:p w:rsidR="004A6009" w:rsidRDefault="004A6009" w:rsidP="00165E67">
      <w:r>
        <w:t>In Europe, there are currently no frequency bands which are designated for DA2G use and no specific regulations to facilitate introduction of such services.</w:t>
      </w:r>
    </w:p>
    <w:p w:rsidR="004A6009" w:rsidRDefault="004A6009" w:rsidP="00DB37EA">
      <w:pPr>
        <w:pStyle w:val="Heading2"/>
      </w:pPr>
      <w:bookmarkStart w:id="53" w:name="_Toc233514066"/>
      <w:r>
        <w:t>9</w:t>
      </w:r>
      <w:r w:rsidRPr="00D13691">
        <w:t>.2</w:t>
      </w:r>
      <w:r w:rsidRPr="00D13691">
        <w:tab/>
        <w:t>Proposed regulation and justification</w:t>
      </w:r>
      <w:bookmarkEnd w:id="53"/>
    </w:p>
    <w:p w:rsidR="004A6009" w:rsidRDefault="004A6009" w:rsidP="006A707C">
      <w:r w:rsidRPr="00385314">
        <w:t>It is proposed, after the finalisation of the required sharing and compatibility studies, t</w:t>
      </w:r>
      <w:r>
        <w:t>hat</w:t>
      </w:r>
      <w:r w:rsidRPr="00385314">
        <w:t xml:space="preserve"> an ECC Decision </w:t>
      </w:r>
      <w:r>
        <w:t xml:space="preserve">is developed </w:t>
      </w:r>
      <w:r w:rsidRPr="00385314">
        <w:t xml:space="preserve">for the designation of spectrum (2 </w:t>
      </w:r>
      <w:r>
        <w:t>×</w:t>
      </w:r>
      <w:r w:rsidRPr="00385314">
        <w:t xml:space="preserve"> 10 MHz or 20 MHz) </w:t>
      </w:r>
      <w:r>
        <w:t xml:space="preserve">within the frequency bands </w:t>
      </w:r>
      <w:r w:rsidRPr="00276CC8">
        <w:t>2</w:t>
      </w:r>
      <w:r>
        <w:t> </w:t>
      </w:r>
      <w:r w:rsidRPr="00276CC8">
        <w:t xml:space="preserve">400 </w:t>
      </w:r>
      <w:r>
        <w:t>MHz to</w:t>
      </w:r>
      <w:r w:rsidRPr="00276CC8">
        <w:t xml:space="preserve"> 2</w:t>
      </w:r>
      <w:r>
        <w:t> </w:t>
      </w:r>
      <w:r w:rsidRPr="00276CC8">
        <w:t>483</w:t>
      </w:r>
      <w:r>
        <w:t>.</w:t>
      </w:r>
      <w:r w:rsidRPr="00276CC8">
        <w:t>5 MHz</w:t>
      </w:r>
      <w:r w:rsidDel="002B576B">
        <w:t xml:space="preserve"> </w:t>
      </w:r>
      <w:r>
        <w:t>and/or 5 855 MHz to 5 875 MHz</w:t>
      </w:r>
      <w:r w:rsidRPr="00385314">
        <w:t xml:space="preserve"> for </w:t>
      </w:r>
      <w:r>
        <w:t xml:space="preserve">the </w:t>
      </w:r>
      <w:r w:rsidRPr="00385314">
        <w:t>Broadband DA2GC system using beamforming antennas</w:t>
      </w:r>
      <w:r>
        <w:t xml:space="preserve"> as described in the present document</w:t>
      </w:r>
      <w:r w:rsidRPr="00385314">
        <w:t>. Access to the spectrum should be as easy as possible, e.g. based on a light licensing procedure</w:t>
      </w:r>
      <w:r>
        <w:t>.  An ECC Decision would appear to be the most appropriate regulatory instrument, since this would give the highest degree of harmonisation across the CEPT region.</w:t>
      </w:r>
    </w:p>
    <w:p w:rsidR="004A6009" w:rsidRDefault="004A6009" w:rsidP="002701B2">
      <w:r>
        <w:t xml:space="preserve">Assuming that the conclusion from the sharing studies confirms the feasibility to operate the described system co-frequency with other applications within the frequency bands </w:t>
      </w:r>
      <w:r w:rsidRPr="00276CC8">
        <w:t>2</w:t>
      </w:r>
      <w:r>
        <w:t> </w:t>
      </w:r>
      <w:r w:rsidRPr="00276CC8">
        <w:t xml:space="preserve">400 </w:t>
      </w:r>
      <w:r>
        <w:t>MHz to</w:t>
      </w:r>
      <w:r w:rsidRPr="00276CC8">
        <w:t xml:space="preserve"> 2</w:t>
      </w:r>
      <w:r>
        <w:t> </w:t>
      </w:r>
      <w:r w:rsidRPr="00276CC8">
        <w:t>483</w:t>
      </w:r>
      <w:proofErr w:type="gramStart"/>
      <w:r>
        <w:t>,</w:t>
      </w:r>
      <w:r w:rsidRPr="00276CC8">
        <w:t>5</w:t>
      </w:r>
      <w:proofErr w:type="gramEnd"/>
      <w:r w:rsidRPr="00276CC8">
        <w:t xml:space="preserve"> MHz</w:t>
      </w:r>
      <w:r w:rsidDel="002B576B">
        <w:t xml:space="preserve"> </w:t>
      </w:r>
      <w:r>
        <w:t>and/or 5 855 MHz to 5 875 MHz, there would be a need for a relaxation of the current e.i.r.p. limits which apply in Europe in these bands.  Such a relaxation could be limited to broadband DA2G communications systems employing beamforming antennas and could be coupled with a requirement for consultation with the local regulator on the precise location of the ground stations.</w:t>
      </w:r>
    </w:p>
    <w:p w:rsidR="004A6009" w:rsidRDefault="004A6009" w:rsidP="002701B2">
      <w:r>
        <w:t>The current FCC rules applying to licence-exempt technologies in the 2,4 GHz band in the United States already permit an e.i.r.p., when using beamforming antennas, which can be at least 25 dB higher than the current 100 mW limit in Europe (depending on the antenna gain being used).  Although the precise figure for tolerable power in Europe will need to be confirmed by the CEPT, an increase to an e.i.r.p. (per beam) of at least +45dBm (in either the 2</w:t>
      </w:r>
      <w:proofErr w:type="gramStart"/>
      <w:r>
        <w:t>,4</w:t>
      </w:r>
      <w:proofErr w:type="gramEnd"/>
      <w:r>
        <w:t> GHz or 5,8 GHz band) would be the objective.  This would enable an efficient deployment of the described system across Europe at the desired level of performance.</w:t>
      </w:r>
    </w:p>
    <w:p w:rsidR="004A6009" w:rsidRPr="006679B4" w:rsidRDefault="004A6009" w:rsidP="002701B2"/>
    <w:p w:rsidR="004A6009" w:rsidRPr="00FB1466" w:rsidRDefault="004A6009" w:rsidP="00433C9B">
      <w:pPr>
        <w:pStyle w:val="Heading9"/>
      </w:pPr>
      <w:bookmarkStart w:id="54" w:name="_Toc233514067"/>
      <w:r>
        <w:lastRenderedPageBreak/>
        <w:t>Annex &lt;N&gt;</w:t>
      </w:r>
      <w:proofErr w:type="gramStart"/>
      <w:r>
        <w:t>:</w:t>
      </w:r>
      <w:proofErr w:type="gramEnd"/>
      <w:r w:rsidRPr="00FB1466">
        <w:br/>
        <w:t>Bibliography</w:t>
      </w:r>
      <w:bookmarkEnd w:id="54"/>
    </w:p>
    <w:p w:rsidR="004A6009" w:rsidRPr="00697D3D" w:rsidRDefault="004A6009" w:rsidP="00697D3D">
      <w:pPr>
        <w:rPr>
          <w:i/>
        </w:rPr>
      </w:pPr>
      <w:r w:rsidRPr="00697D3D">
        <w:rPr>
          <w:i/>
        </w:rPr>
        <w:t xml:space="preserve">The bibliography is the last annex of the </w:t>
      </w:r>
      <w:proofErr w:type="spellStart"/>
      <w:r w:rsidRPr="00697D3D">
        <w:rPr>
          <w:i/>
        </w:rPr>
        <w:t>SRdoc</w:t>
      </w:r>
      <w:proofErr w:type="spellEnd"/>
      <w:r w:rsidRPr="00697D3D">
        <w:rPr>
          <w:i/>
        </w:rPr>
        <w:t xml:space="preserve">. See ETSI Drafting Rules, clause 17. </w:t>
      </w:r>
    </w:p>
    <w:p w:rsidR="004A6009" w:rsidRPr="00FB1466" w:rsidRDefault="004A6009" w:rsidP="00625C33">
      <w:pPr>
        <w:pStyle w:val="Heading1"/>
        <w:ind w:left="0" w:firstLine="0"/>
      </w:pPr>
      <w:r w:rsidRPr="00FB1466">
        <w:br w:type="page"/>
      </w:r>
      <w:bookmarkStart w:id="55" w:name="_Toc233514068"/>
      <w:r w:rsidRPr="00FB1466">
        <w:lastRenderedPageBreak/>
        <w:t>History</w:t>
      </w:r>
      <w:bookmarkEnd w:id="55"/>
    </w:p>
    <w:tbl>
      <w:tblPr>
        <w:tblW w:w="0" w:type="auto"/>
        <w:jc w:val="center"/>
        <w:tblLayout w:type="fixed"/>
        <w:tblCellMar>
          <w:left w:w="28" w:type="dxa"/>
          <w:right w:w="28" w:type="dxa"/>
        </w:tblCellMar>
        <w:tblLook w:val="0000"/>
      </w:tblPr>
      <w:tblGrid>
        <w:gridCol w:w="1418"/>
        <w:gridCol w:w="1417"/>
        <w:gridCol w:w="6804"/>
      </w:tblGrid>
      <w:tr w:rsidR="004A6009" w:rsidRPr="00FB146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A6009" w:rsidRPr="00FB1466" w:rsidRDefault="004A6009" w:rsidP="005A4E96">
            <w:pPr>
              <w:spacing w:before="60" w:after="60"/>
              <w:jc w:val="center"/>
              <w:rPr>
                <w:b/>
                <w:sz w:val="24"/>
              </w:rPr>
            </w:pPr>
            <w:r w:rsidRPr="00FB1466">
              <w:rPr>
                <w:b/>
                <w:sz w:val="24"/>
              </w:rPr>
              <w:t>Document history</w:t>
            </w: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242582">
            <w:pPr>
              <w:pStyle w:val="FP"/>
              <w:spacing w:before="80" w:after="80"/>
              <w:ind w:left="57"/>
            </w:pPr>
            <w:r w:rsidRPr="00FB1466">
              <w:t>&lt;Version&gt;</w:t>
            </w:r>
            <w:r>
              <w:br/>
              <w:t>see note</w:t>
            </w: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r w:rsidRPr="00FB1466">
              <w:t>&lt;Date&gt;</w:t>
            </w:r>
          </w:p>
        </w:tc>
        <w:tc>
          <w:tcPr>
            <w:tcW w:w="6804" w:type="dxa"/>
            <w:tcBorders>
              <w:top w:val="single" w:sz="6" w:space="0" w:color="auto"/>
              <w:bottom w:val="single" w:sz="6" w:space="0" w:color="auto"/>
              <w:right w:val="single" w:sz="6" w:space="0" w:color="auto"/>
            </w:tcBorders>
          </w:tcPr>
          <w:p w:rsidR="004A6009" w:rsidRPr="00FB1466" w:rsidRDefault="004A6009" w:rsidP="005A4E96">
            <w:pPr>
              <w:pStyle w:val="FP"/>
              <w:tabs>
                <w:tab w:val="left" w:pos="3118"/>
              </w:tabs>
              <w:spacing w:before="80" w:after="80"/>
              <w:ind w:left="57"/>
            </w:pPr>
            <w:r w:rsidRPr="00FB1466">
              <w:t>&lt;Milestone&gt;</w:t>
            </w: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242582">
            <w:pPr>
              <w:pStyle w:val="FP"/>
              <w:spacing w:before="80" w:after="80"/>
              <w:ind w:left="57"/>
            </w:pPr>
            <w:r>
              <w:t>&lt;</w:t>
            </w:r>
            <w:proofErr w:type="spellStart"/>
            <w:r>
              <w:t>m.a.b_a.s.m</w:t>
            </w:r>
            <w:proofErr w:type="spellEnd"/>
            <w:r>
              <w:t>&gt;</w:t>
            </w: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ED1AA4" w:rsidRDefault="004A6009" w:rsidP="005A4E96">
            <w:pPr>
              <w:pStyle w:val="FP"/>
              <w:tabs>
                <w:tab w:val="left" w:pos="3118"/>
              </w:tabs>
              <w:spacing w:before="80" w:after="80"/>
              <w:ind w:left="57"/>
              <w:rPr>
                <w:i/>
              </w:rPr>
            </w:pP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8C3EE7" w:rsidRDefault="004A6009" w:rsidP="005A4E96">
            <w:pPr>
              <w:pStyle w:val="FP"/>
              <w:tabs>
                <w:tab w:val="left" w:pos="3261"/>
                <w:tab w:val="left" w:pos="4395"/>
              </w:tabs>
              <w:spacing w:before="80" w:after="80"/>
              <w:ind w:left="57"/>
            </w:pP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FB1466" w:rsidRDefault="004A6009" w:rsidP="005A4E96">
            <w:pPr>
              <w:pStyle w:val="FP"/>
              <w:tabs>
                <w:tab w:val="left" w:pos="3261"/>
                <w:tab w:val="left" w:pos="4395"/>
              </w:tabs>
              <w:spacing w:before="80" w:after="80"/>
              <w:ind w:left="57"/>
            </w:pP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FB1466" w:rsidRDefault="004A6009" w:rsidP="005A4E96">
            <w:pPr>
              <w:pStyle w:val="FP"/>
              <w:tabs>
                <w:tab w:val="left" w:pos="3261"/>
                <w:tab w:val="left" w:pos="4395"/>
              </w:tabs>
              <w:spacing w:before="80" w:after="80"/>
              <w:ind w:left="57"/>
            </w:pPr>
          </w:p>
        </w:tc>
      </w:tr>
      <w:tr w:rsidR="004A6009" w:rsidRPr="00FB1466" w:rsidTr="008D13B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A6009" w:rsidRPr="00FB1466" w:rsidRDefault="004A6009" w:rsidP="00242582">
            <w:pPr>
              <w:pStyle w:val="TAN"/>
            </w:pPr>
            <w:r>
              <w:t>NOTE:</w:t>
            </w:r>
            <w:r>
              <w:tab/>
            </w:r>
            <w:r w:rsidRPr="00ED1AA4">
              <w:t>See EG 201 788</w:t>
            </w:r>
            <w:r>
              <w:t xml:space="preserve"> (V2.1.1), c</w:t>
            </w:r>
            <w:r w:rsidRPr="00ED1AA4">
              <w:t>lause A.2</w:t>
            </w:r>
            <w:r>
              <w:t>.</w:t>
            </w:r>
          </w:p>
        </w:tc>
      </w:tr>
    </w:tbl>
    <w:p w:rsidR="004A6009" w:rsidRDefault="004A6009" w:rsidP="0023478D"/>
    <w:sectPr w:rsidR="004A6009" w:rsidSect="00726BB2">
      <w:headerReference w:type="default" r:id="rId26"/>
      <w:footerReference w:type="default" r:id="rId27"/>
      <w:footnotePr>
        <w:numRestart w:val="eachSect"/>
      </w:footnotePr>
      <w:pgSz w:w="11907" w:h="16840"/>
      <w:pgMar w:top="1418" w:right="1134" w:bottom="1134" w:left="1134" w:header="851" w:footer="34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52F" w:rsidRDefault="00E2252F">
      <w:r>
        <w:separator/>
      </w:r>
    </w:p>
  </w:endnote>
  <w:endnote w:type="continuationSeparator" w:id="0">
    <w:p w:rsidR="00E2252F" w:rsidRDefault="00E225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JGLFCK+ArialMT">
    <w:altName w:val="Arial"/>
    <w:panose1 w:val="00000000000000000000"/>
    <w:charset w:val="00"/>
    <w:family w:val="swiss"/>
    <w:notTrueType/>
    <w:pitch w:val="default"/>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2BC" w:rsidRDefault="00A512BC">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52F" w:rsidRDefault="00E2252F">
      <w:r>
        <w:separator/>
      </w:r>
    </w:p>
  </w:footnote>
  <w:footnote w:type="continuationSeparator" w:id="0">
    <w:p w:rsidR="00E2252F" w:rsidRDefault="00E225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2BC" w:rsidRDefault="00A512BC">
    <w:pPr>
      <w:pStyle w:val="Header"/>
      <w:framePr w:wrap="notBeside" w:vAnchor="page" w:hAnchor="margin" w:xAlign="center" w:y="6805"/>
      <w:widowControl/>
    </w:pPr>
    <w:r w:rsidRPr="00726BB2">
      <w:rPr>
        <w:sz w:val="20"/>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8.35pt;height:438.25pt" o:ole="" fillcolor="window">
          <v:imagedata r:id="rId1" o:title=""/>
        </v:shape>
        <o:OLEObject Type="Embed" ProgID="Word.Picture.8" ShapeID="_x0000_i1027" DrawAspect="Content" ObjectID="_1396259043" r:id="rId2"/>
      </w:object>
    </w:r>
  </w:p>
  <w:p w:rsidR="00A512BC" w:rsidRDefault="00A512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2BC" w:rsidRDefault="006910C7">
    <w:pPr>
      <w:pStyle w:val="Header"/>
      <w:framePr w:wrap="auto" w:vAnchor="text" w:hAnchor="margin" w:xAlign="right" w:y="1"/>
    </w:pPr>
    <w:fldSimple w:instr="styleref ZA ">
      <w:r w:rsidR="00677FCD">
        <w:t>Draft ETSI TR 101 599 V 0.0.10_a.s.m (2011-12)</w:t>
      </w:r>
    </w:fldSimple>
  </w:p>
  <w:p w:rsidR="00A512BC" w:rsidRDefault="006910C7">
    <w:pPr>
      <w:pStyle w:val="Header"/>
      <w:framePr w:wrap="auto" w:vAnchor="text" w:hAnchor="margin" w:xAlign="center" w:y="1"/>
    </w:pPr>
    <w:fldSimple w:instr="page ">
      <w:r w:rsidR="00677FCD">
        <w:t>5</w:t>
      </w:r>
    </w:fldSimple>
  </w:p>
  <w:p w:rsidR="00A512BC" w:rsidRDefault="006910C7">
    <w:pPr>
      <w:pStyle w:val="Header"/>
      <w:framePr w:wrap="auto" w:vAnchor="text" w:hAnchor="margin" w:y="1"/>
    </w:pPr>
    <w:fldSimple w:instr="styleref ZGSM ">
      <w:r w:rsidR="00677FCD">
        <w:t>(2011-12)</w:t>
      </w:r>
    </w:fldSimple>
  </w:p>
  <w:p w:rsidR="00A512BC" w:rsidRDefault="00A512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C4E63"/>
    <w:multiLevelType w:val="hybridMultilevel"/>
    <w:tmpl w:val="CD5A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C04CF"/>
    <w:multiLevelType w:val="hybridMultilevel"/>
    <w:tmpl w:val="36C48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9C1848"/>
    <w:multiLevelType w:val="multilevel"/>
    <w:tmpl w:val="871EED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19A2930"/>
    <w:multiLevelType w:val="hybridMultilevel"/>
    <w:tmpl w:val="86E2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C85DA3"/>
    <w:multiLevelType w:val="hybridMultilevel"/>
    <w:tmpl w:val="E7B8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FFC6BDD"/>
    <w:multiLevelType w:val="hybridMultilevel"/>
    <w:tmpl w:val="76AE92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7"/>
  </w:num>
  <w:num w:numId="6">
    <w:abstractNumId w:val="8"/>
  </w:num>
  <w:num w:numId="7">
    <w:abstractNumId w:val="4"/>
  </w:num>
  <w:num w:numId="8">
    <w:abstractNumId w:val="6"/>
  </w:num>
  <w:num w:numId="9">
    <w:abstractNumId w:val="2"/>
  </w:num>
  <w:num w:numId="10">
    <w:abstractNumId w:val="5"/>
  </w:num>
  <w:num w:numId="11">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trackRevisions/>
  <w:defaultTabStop w:val="720"/>
  <w:hyphenationZone w:val="425"/>
  <w:characterSpacingControl w:val="doNotCompress"/>
  <w:hdrShapeDefaults>
    <o:shapedefaults v:ext="edit" spidmax="54274"/>
  </w:hdrShapeDefaults>
  <w:footnotePr>
    <w:numRestart w:val="eachSect"/>
    <w:footnote w:id="-1"/>
    <w:footnote w:id="0"/>
  </w:footnotePr>
  <w:endnotePr>
    <w:endnote w:id="-1"/>
    <w:endnote w:id="0"/>
  </w:endnotePr>
  <w:compat/>
  <w:rsids>
    <w:rsidRoot w:val="005A4E96"/>
    <w:rsid w:val="00000720"/>
    <w:rsid w:val="00000AE4"/>
    <w:rsid w:val="000011EF"/>
    <w:rsid w:val="00002900"/>
    <w:rsid w:val="000108BD"/>
    <w:rsid w:val="000131A3"/>
    <w:rsid w:val="00013B05"/>
    <w:rsid w:val="00013BF0"/>
    <w:rsid w:val="0001415F"/>
    <w:rsid w:val="00015ED4"/>
    <w:rsid w:val="000218BC"/>
    <w:rsid w:val="000242EC"/>
    <w:rsid w:val="0002439D"/>
    <w:rsid w:val="0002452D"/>
    <w:rsid w:val="0002536B"/>
    <w:rsid w:val="00027398"/>
    <w:rsid w:val="00027832"/>
    <w:rsid w:val="00027A37"/>
    <w:rsid w:val="00034DE4"/>
    <w:rsid w:val="00034EA0"/>
    <w:rsid w:val="00040746"/>
    <w:rsid w:val="00047302"/>
    <w:rsid w:val="0004784D"/>
    <w:rsid w:val="00047F40"/>
    <w:rsid w:val="000532F1"/>
    <w:rsid w:val="00055551"/>
    <w:rsid w:val="000608C6"/>
    <w:rsid w:val="000665F7"/>
    <w:rsid w:val="00070E0D"/>
    <w:rsid w:val="00083264"/>
    <w:rsid w:val="000900BB"/>
    <w:rsid w:val="0009424E"/>
    <w:rsid w:val="000A3BC0"/>
    <w:rsid w:val="000A7B48"/>
    <w:rsid w:val="000B289F"/>
    <w:rsid w:val="000B5625"/>
    <w:rsid w:val="000B5BE2"/>
    <w:rsid w:val="000C24DD"/>
    <w:rsid w:val="000C357F"/>
    <w:rsid w:val="000C3CB5"/>
    <w:rsid w:val="000C4105"/>
    <w:rsid w:val="000C7299"/>
    <w:rsid w:val="000C7332"/>
    <w:rsid w:val="000D1797"/>
    <w:rsid w:val="000E116D"/>
    <w:rsid w:val="000E5587"/>
    <w:rsid w:val="000E5815"/>
    <w:rsid w:val="000E61BD"/>
    <w:rsid w:val="000E7C67"/>
    <w:rsid w:val="00100910"/>
    <w:rsid w:val="00101E4E"/>
    <w:rsid w:val="001125E1"/>
    <w:rsid w:val="001229EE"/>
    <w:rsid w:val="00122A59"/>
    <w:rsid w:val="001245D2"/>
    <w:rsid w:val="001269B5"/>
    <w:rsid w:val="00127FF1"/>
    <w:rsid w:val="00130AA5"/>
    <w:rsid w:val="00134907"/>
    <w:rsid w:val="00135692"/>
    <w:rsid w:val="001411F2"/>
    <w:rsid w:val="001412C4"/>
    <w:rsid w:val="001464F5"/>
    <w:rsid w:val="00146828"/>
    <w:rsid w:val="00146B94"/>
    <w:rsid w:val="001470D6"/>
    <w:rsid w:val="00152B2F"/>
    <w:rsid w:val="0015514A"/>
    <w:rsid w:val="001600A5"/>
    <w:rsid w:val="00161981"/>
    <w:rsid w:val="00164B78"/>
    <w:rsid w:val="00164BEC"/>
    <w:rsid w:val="00165E67"/>
    <w:rsid w:val="00166B7E"/>
    <w:rsid w:val="0017017B"/>
    <w:rsid w:val="00171175"/>
    <w:rsid w:val="00180138"/>
    <w:rsid w:val="00181065"/>
    <w:rsid w:val="00182B9F"/>
    <w:rsid w:val="0018452A"/>
    <w:rsid w:val="00184811"/>
    <w:rsid w:val="00185B57"/>
    <w:rsid w:val="00190986"/>
    <w:rsid w:val="001933BA"/>
    <w:rsid w:val="00193D7D"/>
    <w:rsid w:val="00195632"/>
    <w:rsid w:val="001965F8"/>
    <w:rsid w:val="00196607"/>
    <w:rsid w:val="001966EA"/>
    <w:rsid w:val="001A13CE"/>
    <w:rsid w:val="001A4435"/>
    <w:rsid w:val="001A590E"/>
    <w:rsid w:val="001A79BB"/>
    <w:rsid w:val="001B0718"/>
    <w:rsid w:val="001B1CE9"/>
    <w:rsid w:val="001B5EA3"/>
    <w:rsid w:val="001B6310"/>
    <w:rsid w:val="001B6474"/>
    <w:rsid w:val="001B713C"/>
    <w:rsid w:val="001C75D9"/>
    <w:rsid w:val="001E4CA4"/>
    <w:rsid w:val="001E62A7"/>
    <w:rsid w:val="001F07C7"/>
    <w:rsid w:val="001F0D24"/>
    <w:rsid w:val="001F3634"/>
    <w:rsid w:val="00200E1D"/>
    <w:rsid w:val="00201ED9"/>
    <w:rsid w:val="0020298A"/>
    <w:rsid w:val="0020510E"/>
    <w:rsid w:val="002053EB"/>
    <w:rsid w:val="00206645"/>
    <w:rsid w:val="00207ABC"/>
    <w:rsid w:val="002101AA"/>
    <w:rsid w:val="002103EE"/>
    <w:rsid w:val="00211CB9"/>
    <w:rsid w:val="00212ABE"/>
    <w:rsid w:val="00214464"/>
    <w:rsid w:val="0023478D"/>
    <w:rsid w:val="00236EBA"/>
    <w:rsid w:val="00237257"/>
    <w:rsid w:val="00237B2D"/>
    <w:rsid w:val="00241328"/>
    <w:rsid w:val="00242582"/>
    <w:rsid w:val="00242B30"/>
    <w:rsid w:val="00246C4F"/>
    <w:rsid w:val="00252937"/>
    <w:rsid w:val="00253F9B"/>
    <w:rsid w:val="002615F9"/>
    <w:rsid w:val="00261685"/>
    <w:rsid w:val="00263048"/>
    <w:rsid w:val="00264A88"/>
    <w:rsid w:val="002701B2"/>
    <w:rsid w:val="00271C4E"/>
    <w:rsid w:val="00275A74"/>
    <w:rsid w:val="00276CC8"/>
    <w:rsid w:val="00277880"/>
    <w:rsid w:val="002779C4"/>
    <w:rsid w:val="00284F79"/>
    <w:rsid w:val="002878CF"/>
    <w:rsid w:val="002900F5"/>
    <w:rsid w:val="002951D3"/>
    <w:rsid w:val="00297A6B"/>
    <w:rsid w:val="002A2D1D"/>
    <w:rsid w:val="002A4C42"/>
    <w:rsid w:val="002A6A34"/>
    <w:rsid w:val="002B0118"/>
    <w:rsid w:val="002B368B"/>
    <w:rsid w:val="002B3CD9"/>
    <w:rsid w:val="002B4347"/>
    <w:rsid w:val="002B4518"/>
    <w:rsid w:val="002B576B"/>
    <w:rsid w:val="002B7E1E"/>
    <w:rsid w:val="002C5949"/>
    <w:rsid w:val="002D420A"/>
    <w:rsid w:val="002E4E43"/>
    <w:rsid w:val="002E5F40"/>
    <w:rsid w:val="002E6587"/>
    <w:rsid w:val="002E6CCE"/>
    <w:rsid w:val="002F093F"/>
    <w:rsid w:val="002F16CA"/>
    <w:rsid w:val="002F7CB0"/>
    <w:rsid w:val="00304684"/>
    <w:rsid w:val="00306FD6"/>
    <w:rsid w:val="00312A24"/>
    <w:rsid w:val="00313BDD"/>
    <w:rsid w:val="00313E9D"/>
    <w:rsid w:val="00316AE4"/>
    <w:rsid w:val="00324A04"/>
    <w:rsid w:val="0033245C"/>
    <w:rsid w:val="00344B34"/>
    <w:rsid w:val="00352A46"/>
    <w:rsid w:val="0035324D"/>
    <w:rsid w:val="00353D9A"/>
    <w:rsid w:val="00357D6E"/>
    <w:rsid w:val="003623E2"/>
    <w:rsid w:val="003638BF"/>
    <w:rsid w:val="003640E2"/>
    <w:rsid w:val="003649C7"/>
    <w:rsid w:val="003661FE"/>
    <w:rsid w:val="003676C3"/>
    <w:rsid w:val="00367E24"/>
    <w:rsid w:val="00370B09"/>
    <w:rsid w:val="00370FA0"/>
    <w:rsid w:val="00373A0B"/>
    <w:rsid w:val="00373D9D"/>
    <w:rsid w:val="00385314"/>
    <w:rsid w:val="00386CB4"/>
    <w:rsid w:val="00386E2A"/>
    <w:rsid w:val="003954DD"/>
    <w:rsid w:val="00397250"/>
    <w:rsid w:val="003A1DAE"/>
    <w:rsid w:val="003A4674"/>
    <w:rsid w:val="003A47A4"/>
    <w:rsid w:val="003A7871"/>
    <w:rsid w:val="003B098D"/>
    <w:rsid w:val="003B500C"/>
    <w:rsid w:val="003B65B0"/>
    <w:rsid w:val="003C2066"/>
    <w:rsid w:val="003C30CB"/>
    <w:rsid w:val="003C3E18"/>
    <w:rsid w:val="003C4AFA"/>
    <w:rsid w:val="003C7A3F"/>
    <w:rsid w:val="003D07E5"/>
    <w:rsid w:val="003D2A05"/>
    <w:rsid w:val="003D5852"/>
    <w:rsid w:val="003D6380"/>
    <w:rsid w:val="003D671D"/>
    <w:rsid w:val="003D7741"/>
    <w:rsid w:val="003E4CFF"/>
    <w:rsid w:val="003E6186"/>
    <w:rsid w:val="003E74B1"/>
    <w:rsid w:val="003F3C6F"/>
    <w:rsid w:val="003F6075"/>
    <w:rsid w:val="003F6820"/>
    <w:rsid w:val="003F72DE"/>
    <w:rsid w:val="00401D09"/>
    <w:rsid w:val="004054AA"/>
    <w:rsid w:val="00414A9E"/>
    <w:rsid w:val="004151BC"/>
    <w:rsid w:val="00420310"/>
    <w:rsid w:val="00422A4B"/>
    <w:rsid w:val="004300AC"/>
    <w:rsid w:val="00432AB1"/>
    <w:rsid w:val="00433932"/>
    <w:rsid w:val="00433C9B"/>
    <w:rsid w:val="00436025"/>
    <w:rsid w:val="00436635"/>
    <w:rsid w:val="00437FE8"/>
    <w:rsid w:val="00440A62"/>
    <w:rsid w:val="0044411A"/>
    <w:rsid w:val="00446875"/>
    <w:rsid w:val="00467733"/>
    <w:rsid w:val="00470ABC"/>
    <w:rsid w:val="0047301B"/>
    <w:rsid w:val="00475E35"/>
    <w:rsid w:val="00476041"/>
    <w:rsid w:val="00476098"/>
    <w:rsid w:val="0047637E"/>
    <w:rsid w:val="004769B7"/>
    <w:rsid w:val="00485939"/>
    <w:rsid w:val="004939F7"/>
    <w:rsid w:val="00493CD2"/>
    <w:rsid w:val="00496B19"/>
    <w:rsid w:val="004A1A26"/>
    <w:rsid w:val="004A5130"/>
    <w:rsid w:val="004A6009"/>
    <w:rsid w:val="004A6080"/>
    <w:rsid w:val="004A6FD3"/>
    <w:rsid w:val="004B27DE"/>
    <w:rsid w:val="004B2A98"/>
    <w:rsid w:val="004B34E3"/>
    <w:rsid w:val="004B66D0"/>
    <w:rsid w:val="004C08D5"/>
    <w:rsid w:val="004C5321"/>
    <w:rsid w:val="004D3806"/>
    <w:rsid w:val="004D48FD"/>
    <w:rsid w:val="004D4B6F"/>
    <w:rsid w:val="004D4E00"/>
    <w:rsid w:val="004E093F"/>
    <w:rsid w:val="004E1104"/>
    <w:rsid w:val="004E27E0"/>
    <w:rsid w:val="004E6DF7"/>
    <w:rsid w:val="004E6F4A"/>
    <w:rsid w:val="004E75CF"/>
    <w:rsid w:val="004F5BC6"/>
    <w:rsid w:val="00501831"/>
    <w:rsid w:val="00507A68"/>
    <w:rsid w:val="005121FC"/>
    <w:rsid w:val="00517BFA"/>
    <w:rsid w:val="00524FE8"/>
    <w:rsid w:val="00530218"/>
    <w:rsid w:val="005324BE"/>
    <w:rsid w:val="005326BB"/>
    <w:rsid w:val="00533A3A"/>
    <w:rsid w:val="0053753A"/>
    <w:rsid w:val="00537AC0"/>
    <w:rsid w:val="00537CBB"/>
    <w:rsid w:val="0054089C"/>
    <w:rsid w:val="00545775"/>
    <w:rsid w:val="00550636"/>
    <w:rsid w:val="0055358F"/>
    <w:rsid w:val="00562E36"/>
    <w:rsid w:val="00571A3D"/>
    <w:rsid w:val="00571A79"/>
    <w:rsid w:val="005737D5"/>
    <w:rsid w:val="0057403F"/>
    <w:rsid w:val="0057415F"/>
    <w:rsid w:val="00577F98"/>
    <w:rsid w:val="005827E9"/>
    <w:rsid w:val="00593415"/>
    <w:rsid w:val="0059608D"/>
    <w:rsid w:val="00596B6C"/>
    <w:rsid w:val="00596BB7"/>
    <w:rsid w:val="00597B22"/>
    <w:rsid w:val="00597E72"/>
    <w:rsid w:val="005A3B9A"/>
    <w:rsid w:val="005A3C4C"/>
    <w:rsid w:val="005A3E8F"/>
    <w:rsid w:val="005A4E96"/>
    <w:rsid w:val="005A6C9C"/>
    <w:rsid w:val="005A7769"/>
    <w:rsid w:val="005B0113"/>
    <w:rsid w:val="005B1F13"/>
    <w:rsid w:val="005B5E92"/>
    <w:rsid w:val="005B6C8A"/>
    <w:rsid w:val="005C1AC4"/>
    <w:rsid w:val="005C6757"/>
    <w:rsid w:val="005D3A78"/>
    <w:rsid w:val="005D6309"/>
    <w:rsid w:val="005D7288"/>
    <w:rsid w:val="005D7BC3"/>
    <w:rsid w:val="005E1E3D"/>
    <w:rsid w:val="005E2041"/>
    <w:rsid w:val="005F09DB"/>
    <w:rsid w:val="005F0FE0"/>
    <w:rsid w:val="005F1137"/>
    <w:rsid w:val="005F1AD6"/>
    <w:rsid w:val="005F3B1E"/>
    <w:rsid w:val="005F7ACA"/>
    <w:rsid w:val="00602B61"/>
    <w:rsid w:val="006036F9"/>
    <w:rsid w:val="0060600D"/>
    <w:rsid w:val="00621644"/>
    <w:rsid w:val="00624E0D"/>
    <w:rsid w:val="00625C33"/>
    <w:rsid w:val="006266A1"/>
    <w:rsid w:val="00635EC4"/>
    <w:rsid w:val="00640E29"/>
    <w:rsid w:val="0064491B"/>
    <w:rsid w:val="00645889"/>
    <w:rsid w:val="006531E9"/>
    <w:rsid w:val="00653E2A"/>
    <w:rsid w:val="00653F6E"/>
    <w:rsid w:val="006550AC"/>
    <w:rsid w:val="0065579D"/>
    <w:rsid w:val="006574A5"/>
    <w:rsid w:val="00660466"/>
    <w:rsid w:val="006633AD"/>
    <w:rsid w:val="0066582F"/>
    <w:rsid w:val="00666A03"/>
    <w:rsid w:val="006679B4"/>
    <w:rsid w:val="00672C4D"/>
    <w:rsid w:val="00677FCD"/>
    <w:rsid w:val="00681EED"/>
    <w:rsid w:val="00685707"/>
    <w:rsid w:val="006910C7"/>
    <w:rsid w:val="00694240"/>
    <w:rsid w:val="00695DE3"/>
    <w:rsid w:val="006967C4"/>
    <w:rsid w:val="00697C28"/>
    <w:rsid w:val="00697D3D"/>
    <w:rsid w:val="006A124C"/>
    <w:rsid w:val="006A314A"/>
    <w:rsid w:val="006A4FF7"/>
    <w:rsid w:val="006A535B"/>
    <w:rsid w:val="006A707C"/>
    <w:rsid w:val="006B6206"/>
    <w:rsid w:val="006D357C"/>
    <w:rsid w:val="006D3A76"/>
    <w:rsid w:val="006E5B41"/>
    <w:rsid w:val="006E6FDB"/>
    <w:rsid w:val="006F0A58"/>
    <w:rsid w:val="006F48BF"/>
    <w:rsid w:val="006F73A7"/>
    <w:rsid w:val="007018D8"/>
    <w:rsid w:val="007020B5"/>
    <w:rsid w:val="00702155"/>
    <w:rsid w:val="007021A0"/>
    <w:rsid w:val="00702D5E"/>
    <w:rsid w:val="007040FA"/>
    <w:rsid w:val="007124C2"/>
    <w:rsid w:val="00723C20"/>
    <w:rsid w:val="00724D20"/>
    <w:rsid w:val="007256AA"/>
    <w:rsid w:val="00726BB2"/>
    <w:rsid w:val="00727F14"/>
    <w:rsid w:val="00732EF7"/>
    <w:rsid w:val="007427A7"/>
    <w:rsid w:val="00745BFF"/>
    <w:rsid w:val="00751F79"/>
    <w:rsid w:val="00756554"/>
    <w:rsid w:val="007614F4"/>
    <w:rsid w:val="00765BDD"/>
    <w:rsid w:val="00767C43"/>
    <w:rsid w:val="00767FA8"/>
    <w:rsid w:val="00770536"/>
    <w:rsid w:val="0077326F"/>
    <w:rsid w:val="007756F0"/>
    <w:rsid w:val="00776653"/>
    <w:rsid w:val="00777A13"/>
    <w:rsid w:val="00781A71"/>
    <w:rsid w:val="00784395"/>
    <w:rsid w:val="007860D5"/>
    <w:rsid w:val="00791343"/>
    <w:rsid w:val="007925EC"/>
    <w:rsid w:val="00794504"/>
    <w:rsid w:val="00796125"/>
    <w:rsid w:val="00796301"/>
    <w:rsid w:val="00796546"/>
    <w:rsid w:val="007A0D81"/>
    <w:rsid w:val="007A4923"/>
    <w:rsid w:val="007B0640"/>
    <w:rsid w:val="007B1BC0"/>
    <w:rsid w:val="007B22DB"/>
    <w:rsid w:val="007B2A51"/>
    <w:rsid w:val="007B3E5B"/>
    <w:rsid w:val="007B532E"/>
    <w:rsid w:val="007B59B3"/>
    <w:rsid w:val="007B5D08"/>
    <w:rsid w:val="007C040D"/>
    <w:rsid w:val="007D252F"/>
    <w:rsid w:val="007D2B47"/>
    <w:rsid w:val="007D2E80"/>
    <w:rsid w:val="007D4595"/>
    <w:rsid w:val="007E0B17"/>
    <w:rsid w:val="007E5F63"/>
    <w:rsid w:val="007E6DBF"/>
    <w:rsid w:val="007F40F3"/>
    <w:rsid w:val="007F5884"/>
    <w:rsid w:val="00803746"/>
    <w:rsid w:val="00810425"/>
    <w:rsid w:val="008124DC"/>
    <w:rsid w:val="00812AA4"/>
    <w:rsid w:val="00815DE1"/>
    <w:rsid w:val="008166A3"/>
    <w:rsid w:val="008168B8"/>
    <w:rsid w:val="00820EB0"/>
    <w:rsid w:val="00823167"/>
    <w:rsid w:val="00824779"/>
    <w:rsid w:val="00824B04"/>
    <w:rsid w:val="0083197B"/>
    <w:rsid w:val="00831EA9"/>
    <w:rsid w:val="00836046"/>
    <w:rsid w:val="00836785"/>
    <w:rsid w:val="00843439"/>
    <w:rsid w:val="00843FB0"/>
    <w:rsid w:val="00844137"/>
    <w:rsid w:val="0084642F"/>
    <w:rsid w:val="00856D81"/>
    <w:rsid w:val="00862B26"/>
    <w:rsid w:val="008707B3"/>
    <w:rsid w:val="008713CF"/>
    <w:rsid w:val="00871A26"/>
    <w:rsid w:val="008720B0"/>
    <w:rsid w:val="00872ACC"/>
    <w:rsid w:val="0087302C"/>
    <w:rsid w:val="0087361E"/>
    <w:rsid w:val="00873DCD"/>
    <w:rsid w:val="00876902"/>
    <w:rsid w:val="00880320"/>
    <w:rsid w:val="00880D93"/>
    <w:rsid w:val="00880E78"/>
    <w:rsid w:val="00881D11"/>
    <w:rsid w:val="00882072"/>
    <w:rsid w:val="00894026"/>
    <w:rsid w:val="008A311A"/>
    <w:rsid w:val="008A4418"/>
    <w:rsid w:val="008A5EDE"/>
    <w:rsid w:val="008B20E3"/>
    <w:rsid w:val="008B2B2A"/>
    <w:rsid w:val="008B4249"/>
    <w:rsid w:val="008C0DD7"/>
    <w:rsid w:val="008C1974"/>
    <w:rsid w:val="008C3055"/>
    <w:rsid w:val="008C358D"/>
    <w:rsid w:val="008C3EE7"/>
    <w:rsid w:val="008C43AA"/>
    <w:rsid w:val="008C63AE"/>
    <w:rsid w:val="008D13BF"/>
    <w:rsid w:val="008D32C1"/>
    <w:rsid w:val="008D5BC2"/>
    <w:rsid w:val="008D7AE1"/>
    <w:rsid w:val="008F378C"/>
    <w:rsid w:val="008F489B"/>
    <w:rsid w:val="008F5658"/>
    <w:rsid w:val="00904508"/>
    <w:rsid w:val="00910EC1"/>
    <w:rsid w:val="00912B70"/>
    <w:rsid w:val="00914AA2"/>
    <w:rsid w:val="009178ED"/>
    <w:rsid w:val="009211A6"/>
    <w:rsid w:val="00925CEF"/>
    <w:rsid w:val="00935BD5"/>
    <w:rsid w:val="00936AA8"/>
    <w:rsid w:val="009375A5"/>
    <w:rsid w:val="00942A40"/>
    <w:rsid w:val="0094537A"/>
    <w:rsid w:val="0095024D"/>
    <w:rsid w:val="00951714"/>
    <w:rsid w:val="0095261C"/>
    <w:rsid w:val="00955BC7"/>
    <w:rsid w:val="009566FB"/>
    <w:rsid w:val="00957FD8"/>
    <w:rsid w:val="00964CED"/>
    <w:rsid w:val="00965099"/>
    <w:rsid w:val="00966344"/>
    <w:rsid w:val="00967DDD"/>
    <w:rsid w:val="00970B56"/>
    <w:rsid w:val="00971AEF"/>
    <w:rsid w:val="009870B6"/>
    <w:rsid w:val="00990BB7"/>
    <w:rsid w:val="00995DA4"/>
    <w:rsid w:val="009A175D"/>
    <w:rsid w:val="009A1F88"/>
    <w:rsid w:val="009A4533"/>
    <w:rsid w:val="009A7ECA"/>
    <w:rsid w:val="009B03F0"/>
    <w:rsid w:val="009B17A7"/>
    <w:rsid w:val="009B530D"/>
    <w:rsid w:val="009B6FC7"/>
    <w:rsid w:val="009B736A"/>
    <w:rsid w:val="009D0633"/>
    <w:rsid w:val="009D668F"/>
    <w:rsid w:val="009D6BFE"/>
    <w:rsid w:val="009D7AC4"/>
    <w:rsid w:val="009E005E"/>
    <w:rsid w:val="009E0F76"/>
    <w:rsid w:val="009E37C8"/>
    <w:rsid w:val="009E43CB"/>
    <w:rsid w:val="009E57B3"/>
    <w:rsid w:val="009F0D3B"/>
    <w:rsid w:val="009F69A4"/>
    <w:rsid w:val="00A00DB6"/>
    <w:rsid w:val="00A01ADE"/>
    <w:rsid w:val="00A02194"/>
    <w:rsid w:val="00A0544D"/>
    <w:rsid w:val="00A058F2"/>
    <w:rsid w:val="00A06A0E"/>
    <w:rsid w:val="00A12796"/>
    <w:rsid w:val="00A147F6"/>
    <w:rsid w:val="00A1522B"/>
    <w:rsid w:val="00A1572D"/>
    <w:rsid w:val="00A16A64"/>
    <w:rsid w:val="00A205A3"/>
    <w:rsid w:val="00A250CF"/>
    <w:rsid w:val="00A26E6B"/>
    <w:rsid w:val="00A340FF"/>
    <w:rsid w:val="00A34C69"/>
    <w:rsid w:val="00A34EF9"/>
    <w:rsid w:val="00A3530B"/>
    <w:rsid w:val="00A35C01"/>
    <w:rsid w:val="00A36B26"/>
    <w:rsid w:val="00A43FBA"/>
    <w:rsid w:val="00A510EA"/>
    <w:rsid w:val="00A512BC"/>
    <w:rsid w:val="00A57D04"/>
    <w:rsid w:val="00A64A55"/>
    <w:rsid w:val="00A72A6A"/>
    <w:rsid w:val="00A75DDD"/>
    <w:rsid w:val="00A80B02"/>
    <w:rsid w:val="00A855A8"/>
    <w:rsid w:val="00A8653C"/>
    <w:rsid w:val="00A929D9"/>
    <w:rsid w:val="00A969B4"/>
    <w:rsid w:val="00AA06BF"/>
    <w:rsid w:val="00AA3500"/>
    <w:rsid w:val="00AA6864"/>
    <w:rsid w:val="00AA77AB"/>
    <w:rsid w:val="00AA7ECF"/>
    <w:rsid w:val="00AA7F69"/>
    <w:rsid w:val="00AB0624"/>
    <w:rsid w:val="00AB0DE2"/>
    <w:rsid w:val="00AB1095"/>
    <w:rsid w:val="00AB53A5"/>
    <w:rsid w:val="00AB7378"/>
    <w:rsid w:val="00AC1EDB"/>
    <w:rsid w:val="00AC7286"/>
    <w:rsid w:val="00AC75B3"/>
    <w:rsid w:val="00AD073B"/>
    <w:rsid w:val="00AD0BBB"/>
    <w:rsid w:val="00AD17ED"/>
    <w:rsid w:val="00AD2BC3"/>
    <w:rsid w:val="00AE2755"/>
    <w:rsid w:val="00AE6B9F"/>
    <w:rsid w:val="00AE76DD"/>
    <w:rsid w:val="00AF4442"/>
    <w:rsid w:val="00B036AA"/>
    <w:rsid w:val="00B10E49"/>
    <w:rsid w:val="00B146EB"/>
    <w:rsid w:val="00B14BCD"/>
    <w:rsid w:val="00B16214"/>
    <w:rsid w:val="00B17372"/>
    <w:rsid w:val="00B20558"/>
    <w:rsid w:val="00B21C6F"/>
    <w:rsid w:val="00B2426B"/>
    <w:rsid w:val="00B275A2"/>
    <w:rsid w:val="00B345DE"/>
    <w:rsid w:val="00B40BC6"/>
    <w:rsid w:val="00B4259D"/>
    <w:rsid w:val="00B4493E"/>
    <w:rsid w:val="00B44E85"/>
    <w:rsid w:val="00B51A8A"/>
    <w:rsid w:val="00B5209A"/>
    <w:rsid w:val="00B549EC"/>
    <w:rsid w:val="00B559FE"/>
    <w:rsid w:val="00B6021F"/>
    <w:rsid w:val="00B636B2"/>
    <w:rsid w:val="00B648BD"/>
    <w:rsid w:val="00B64DDC"/>
    <w:rsid w:val="00B65856"/>
    <w:rsid w:val="00B6704D"/>
    <w:rsid w:val="00B758E9"/>
    <w:rsid w:val="00B8032C"/>
    <w:rsid w:val="00B80B34"/>
    <w:rsid w:val="00B906FF"/>
    <w:rsid w:val="00B9117C"/>
    <w:rsid w:val="00B91312"/>
    <w:rsid w:val="00B937AE"/>
    <w:rsid w:val="00BA0027"/>
    <w:rsid w:val="00BA7B01"/>
    <w:rsid w:val="00BB114A"/>
    <w:rsid w:val="00BB1B32"/>
    <w:rsid w:val="00BB2D9B"/>
    <w:rsid w:val="00BB5477"/>
    <w:rsid w:val="00BC0E11"/>
    <w:rsid w:val="00BC1593"/>
    <w:rsid w:val="00BC1978"/>
    <w:rsid w:val="00BC1C36"/>
    <w:rsid w:val="00BC7B58"/>
    <w:rsid w:val="00BD0CAD"/>
    <w:rsid w:val="00BD5DF9"/>
    <w:rsid w:val="00BD677E"/>
    <w:rsid w:val="00BD75B2"/>
    <w:rsid w:val="00BE090C"/>
    <w:rsid w:val="00BE3D36"/>
    <w:rsid w:val="00BE671A"/>
    <w:rsid w:val="00BF3F38"/>
    <w:rsid w:val="00BF5865"/>
    <w:rsid w:val="00BF5A15"/>
    <w:rsid w:val="00BF6314"/>
    <w:rsid w:val="00C00A5A"/>
    <w:rsid w:val="00C01276"/>
    <w:rsid w:val="00C041B0"/>
    <w:rsid w:val="00C12C13"/>
    <w:rsid w:val="00C15AA5"/>
    <w:rsid w:val="00C1658D"/>
    <w:rsid w:val="00C17426"/>
    <w:rsid w:val="00C22749"/>
    <w:rsid w:val="00C23423"/>
    <w:rsid w:val="00C24162"/>
    <w:rsid w:val="00C24A89"/>
    <w:rsid w:val="00C3241E"/>
    <w:rsid w:val="00C374B4"/>
    <w:rsid w:val="00C44CF2"/>
    <w:rsid w:val="00C46B0D"/>
    <w:rsid w:val="00C50673"/>
    <w:rsid w:val="00C546AC"/>
    <w:rsid w:val="00C560FF"/>
    <w:rsid w:val="00C60E44"/>
    <w:rsid w:val="00C70510"/>
    <w:rsid w:val="00C732FF"/>
    <w:rsid w:val="00C73EB5"/>
    <w:rsid w:val="00C7404E"/>
    <w:rsid w:val="00C74552"/>
    <w:rsid w:val="00C77034"/>
    <w:rsid w:val="00C801E9"/>
    <w:rsid w:val="00C81184"/>
    <w:rsid w:val="00C81CF9"/>
    <w:rsid w:val="00C84333"/>
    <w:rsid w:val="00C84589"/>
    <w:rsid w:val="00C91230"/>
    <w:rsid w:val="00C94864"/>
    <w:rsid w:val="00C94882"/>
    <w:rsid w:val="00CA087D"/>
    <w:rsid w:val="00CA58C5"/>
    <w:rsid w:val="00CB15AA"/>
    <w:rsid w:val="00CB3017"/>
    <w:rsid w:val="00CB6646"/>
    <w:rsid w:val="00CB6F61"/>
    <w:rsid w:val="00CD0603"/>
    <w:rsid w:val="00CD53D7"/>
    <w:rsid w:val="00CD5534"/>
    <w:rsid w:val="00CE056F"/>
    <w:rsid w:val="00CE0F5D"/>
    <w:rsid w:val="00CE25FB"/>
    <w:rsid w:val="00CE5E2D"/>
    <w:rsid w:val="00CF25B8"/>
    <w:rsid w:val="00CF2F6A"/>
    <w:rsid w:val="00CF39DC"/>
    <w:rsid w:val="00CF7A3C"/>
    <w:rsid w:val="00D005B7"/>
    <w:rsid w:val="00D01031"/>
    <w:rsid w:val="00D011F8"/>
    <w:rsid w:val="00D047E4"/>
    <w:rsid w:val="00D13274"/>
    <w:rsid w:val="00D13691"/>
    <w:rsid w:val="00D16161"/>
    <w:rsid w:val="00D17B82"/>
    <w:rsid w:val="00D279F3"/>
    <w:rsid w:val="00D27FB5"/>
    <w:rsid w:val="00D3207C"/>
    <w:rsid w:val="00D3288B"/>
    <w:rsid w:val="00D37E56"/>
    <w:rsid w:val="00D41387"/>
    <w:rsid w:val="00D46130"/>
    <w:rsid w:val="00D50DAB"/>
    <w:rsid w:val="00D5448D"/>
    <w:rsid w:val="00D55B77"/>
    <w:rsid w:val="00D55FB9"/>
    <w:rsid w:val="00D56C52"/>
    <w:rsid w:val="00D62749"/>
    <w:rsid w:val="00D63F02"/>
    <w:rsid w:val="00D6489F"/>
    <w:rsid w:val="00D64C5B"/>
    <w:rsid w:val="00D71D3C"/>
    <w:rsid w:val="00D71DFD"/>
    <w:rsid w:val="00D73243"/>
    <w:rsid w:val="00D7552E"/>
    <w:rsid w:val="00D75D4B"/>
    <w:rsid w:val="00D76FB9"/>
    <w:rsid w:val="00D96F2A"/>
    <w:rsid w:val="00DA315B"/>
    <w:rsid w:val="00DB37EA"/>
    <w:rsid w:val="00DC236E"/>
    <w:rsid w:val="00DC5885"/>
    <w:rsid w:val="00DC7F4F"/>
    <w:rsid w:val="00DD2BBB"/>
    <w:rsid w:val="00DD2F68"/>
    <w:rsid w:val="00DD3663"/>
    <w:rsid w:val="00DD4807"/>
    <w:rsid w:val="00DD55DC"/>
    <w:rsid w:val="00DD5CE8"/>
    <w:rsid w:val="00DD684C"/>
    <w:rsid w:val="00DE0F6E"/>
    <w:rsid w:val="00DE2423"/>
    <w:rsid w:val="00DE4296"/>
    <w:rsid w:val="00DF0988"/>
    <w:rsid w:val="00DF23E5"/>
    <w:rsid w:val="00DF42B4"/>
    <w:rsid w:val="00DF561F"/>
    <w:rsid w:val="00E00A81"/>
    <w:rsid w:val="00E01A20"/>
    <w:rsid w:val="00E02966"/>
    <w:rsid w:val="00E0452E"/>
    <w:rsid w:val="00E0491F"/>
    <w:rsid w:val="00E106D9"/>
    <w:rsid w:val="00E15541"/>
    <w:rsid w:val="00E15B77"/>
    <w:rsid w:val="00E17A6E"/>
    <w:rsid w:val="00E2003A"/>
    <w:rsid w:val="00E2252F"/>
    <w:rsid w:val="00E22ADE"/>
    <w:rsid w:val="00E268E1"/>
    <w:rsid w:val="00E2749E"/>
    <w:rsid w:val="00E334F0"/>
    <w:rsid w:val="00E36113"/>
    <w:rsid w:val="00E36368"/>
    <w:rsid w:val="00E37616"/>
    <w:rsid w:val="00E41967"/>
    <w:rsid w:val="00E4242B"/>
    <w:rsid w:val="00E47A51"/>
    <w:rsid w:val="00E50941"/>
    <w:rsid w:val="00E51147"/>
    <w:rsid w:val="00E538F9"/>
    <w:rsid w:val="00E60EDB"/>
    <w:rsid w:val="00E648ED"/>
    <w:rsid w:val="00E65A6C"/>
    <w:rsid w:val="00E81F06"/>
    <w:rsid w:val="00E838A0"/>
    <w:rsid w:val="00E854AD"/>
    <w:rsid w:val="00E92329"/>
    <w:rsid w:val="00E94842"/>
    <w:rsid w:val="00E9536A"/>
    <w:rsid w:val="00EA052B"/>
    <w:rsid w:val="00EA0B67"/>
    <w:rsid w:val="00EA76CE"/>
    <w:rsid w:val="00EB06EC"/>
    <w:rsid w:val="00EB1913"/>
    <w:rsid w:val="00EB1F3C"/>
    <w:rsid w:val="00EB21B1"/>
    <w:rsid w:val="00EC1DC4"/>
    <w:rsid w:val="00EC6021"/>
    <w:rsid w:val="00ED0A8C"/>
    <w:rsid w:val="00ED19A4"/>
    <w:rsid w:val="00ED1AA4"/>
    <w:rsid w:val="00EE0BFB"/>
    <w:rsid w:val="00EE5DE7"/>
    <w:rsid w:val="00EE703C"/>
    <w:rsid w:val="00EF34A4"/>
    <w:rsid w:val="00EF6D14"/>
    <w:rsid w:val="00F02B7D"/>
    <w:rsid w:val="00F02FE9"/>
    <w:rsid w:val="00F04FE0"/>
    <w:rsid w:val="00F06B00"/>
    <w:rsid w:val="00F076DF"/>
    <w:rsid w:val="00F13562"/>
    <w:rsid w:val="00F13CCA"/>
    <w:rsid w:val="00F14F44"/>
    <w:rsid w:val="00F150D4"/>
    <w:rsid w:val="00F17793"/>
    <w:rsid w:val="00F20633"/>
    <w:rsid w:val="00F23718"/>
    <w:rsid w:val="00F23A6B"/>
    <w:rsid w:val="00F2567A"/>
    <w:rsid w:val="00F2641D"/>
    <w:rsid w:val="00F30177"/>
    <w:rsid w:val="00F30ADE"/>
    <w:rsid w:val="00F323CC"/>
    <w:rsid w:val="00F336C6"/>
    <w:rsid w:val="00F34219"/>
    <w:rsid w:val="00F34338"/>
    <w:rsid w:val="00F36F6A"/>
    <w:rsid w:val="00F42545"/>
    <w:rsid w:val="00F43B8C"/>
    <w:rsid w:val="00F5090D"/>
    <w:rsid w:val="00F51785"/>
    <w:rsid w:val="00F57944"/>
    <w:rsid w:val="00F60CE2"/>
    <w:rsid w:val="00F610BA"/>
    <w:rsid w:val="00F61EFD"/>
    <w:rsid w:val="00F621EC"/>
    <w:rsid w:val="00F65EE5"/>
    <w:rsid w:val="00F6761A"/>
    <w:rsid w:val="00F70FAB"/>
    <w:rsid w:val="00F8010A"/>
    <w:rsid w:val="00F81BFF"/>
    <w:rsid w:val="00F83688"/>
    <w:rsid w:val="00F8635D"/>
    <w:rsid w:val="00F9367D"/>
    <w:rsid w:val="00F95023"/>
    <w:rsid w:val="00FA4329"/>
    <w:rsid w:val="00FB00D5"/>
    <w:rsid w:val="00FB1466"/>
    <w:rsid w:val="00FB1B33"/>
    <w:rsid w:val="00FB2039"/>
    <w:rsid w:val="00FB2179"/>
    <w:rsid w:val="00FB3194"/>
    <w:rsid w:val="00FB3452"/>
    <w:rsid w:val="00FB4690"/>
    <w:rsid w:val="00FB7545"/>
    <w:rsid w:val="00FD0D27"/>
    <w:rsid w:val="00FD51FA"/>
    <w:rsid w:val="00FD670A"/>
    <w:rsid w:val="00FD7275"/>
    <w:rsid w:val="00FE45D0"/>
    <w:rsid w:val="00FE5453"/>
    <w:rsid w:val="00FE6FF2"/>
    <w:rsid w:val="00FE7222"/>
    <w:rsid w:val="00FE775B"/>
    <w:rsid w:val="00FE7846"/>
    <w:rsid w:val="00FF3F54"/>
    <w:rsid w:val="00FF510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649C7"/>
    <w:pPr>
      <w:overflowPunct w:val="0"/>
      <w:autoSpaceDE w:val="0"/>
      <w:autoSpaceDN w:val="0"/>
      <w:adjustRightInd w:val="0"/>
      <w:spacing w:after="180"/>
      <w:textAlignment w:val="baseline"/>
    </w:pPr>
    <w:rPr>
      <w:lang w:eastAsia="en-US"/>
    </w:rPr>
  </w:style>
  <w:style w:type="paragraph" w:styleId="Heading1">
    <w:name w:val="heading 1"/>
    <w:basedOn w:val="Normal"/>
    <w:next w:val="Normal"/>
    <w:link w:val="Heading1Char"/>
    <w:uiPriority w:val="99"/>
    <w:qFormat/>
    <w:rsid w:val="003649C7"/>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649C7"/>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649C7"/>
    <w:pPr>
      <w:spacing w:before="120"/>
      <w:outlineLvl w:val="2"/>
    </w:pPr>
    <w:rPr>
      <w:sz w:val="28"/>
    </w:rPr>
  </w:style>
  <w:style w:type="paragraph" w:styleId="Heading4">
    <w:name w:val="heading 4"/>
    <w:basedOn w:val="Heading3"/>
    <w:next w:val="Normal"/>
    <w:link w:val="Heading4Char"/>
    <w:uiPriority w:val="99"/>
    <w:qFormat/>
    <w:rsid w:val="003649C7"/>
    <w:pPr>
      <w:ind w:left="1418" w:hanging="1418"/>
      <w:outlineLvl w:val="3"/>
    </w:pPr>
    <w:rPr>
      <w:sz w:val="24"/>
    </w:rPr>
  </w:style>
  <w:style w:type="paragraph" w:styleId="Heading5">
    <w:name w:val="heading 5"/>
    <w:basedOn w:val="Heading4"/>
    <w:next w:val="Normal"/>
    <w:link w:val="Heading5Char"/>
    <w:uiPriority w:val="99"/>
    <w:qFormat/>
    <w:rsid w:val="003649C7"/>
    <w:pPr>
      <w:ind w:left="1701" w:hanging="1701"/>
      <w:outlineLvl w:val="4"/>
    </w:pPr>
    <w:rPr>
      <w:sz w:val="22"/>
    </w:rPr>
  </w:style>
  <w:style w:type="paragraph" w:styleId="Heading6">
    <w:name w:val="heading 6"/>
    <w:basedOn w:val="H6"/>
    <w:next w:val="Normal"/>
    <w:link w:val="Heading6Char"/>
    <w:uiPriority w:val="99"/>
    <w:qFormat/>
    <w:rsid w:val="003649C7"/>
    <w:pPr>
      <w:outlineLvl w:val="5"/>
    </w:pPr>
  </w:style>
  <w:style w:type="paragraph" w:styleId="Heading7">
    <w:name w:val="heading 7"/>
    <w:basedOn w:val="H6"/>
    <w:next w:val="Normal"/>
    <w:link w:val="Heading7Char"/>
    <w:uiPriority w:val="99"/>
    <w:qFormat/>
    <w:rsid w:val="003649C7"/>
    <w:pPr>
      <w:outlineLvl w:val="6"/>
    </w:pPr>
  </w:style>
  <w:style w:type="paragraph" w:styleId="Heading8">
    <w:name w:val="heading 8"/>
    <w:basedOn w:val="Heading1"/>
    <w:next w:val="Normal"/>
    <w:link w:val="Heading8Char"/>
    <w:uiPriority w:val="99"/>
    <w:qFormat/>
    <w:rsid w:val="003649C7"/>
    <w:pPr>
      <w:ind w:left="0" w:firstLine="0"/>
      <w:outlineLvl w:val="7"/>
    </w:pPr>
  </w:style>
  <w:style w:type="paragraph" w:styleId="Heading9">
    <w:name w:val="heading 9"/>
    <w:basedOn w:val="Heading8"/>
    <w:next w:val="Normal"/>
    <w:link w:val="Heading9Char"/>
    <w:uiPriority w:val="99"/>
    <w:qFormat/>
    <w:rsid w:val="003649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37EA"/>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BE3D3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E3D3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E3D36"/>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E3D36"/>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E3D36"/>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E3D36"/>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E3D36"/>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E3D36"/>
    <w:rPr>
      <w:rFonts w:ascii="Cambria" w:hAnsi="Cambria" w:cs="Times New Roman"/>
      <w:lang w:val="en-GB" w:eastAsia="en-US"/>
    </w:rPr>
  </w:style>
  <w:style w:type="paragraph" w:styleId="TOC9">
    <w:name w:val="toc 9"/>
    <w:basedOn w:val="TOC8"/>
    <w:uiPriority w:val="99"/>
    <w:rsid w:val="003649C7"/>
    <w:pPr>
      <w:ind w:left="1418" w:hanging="1418"/>
    </w:pPr>
  </w:style>
  <w:style w:type="paragraph" w:styleId="TOC8">
    <w:name w:val="toc 8"/>
    <w:basedOn w:val="TOC1"/>
    <w:uiPriority w:val="99"/>
    <w:semiHidden/>
    <w:rsid w:val="003649C7"/>
    <w:pPr>
      <w:spacing w:before="180"/>
      <w:ind w:left="2693" w:hanging="2693"/>
    </w:pPr>
    <w:rPr>
      <w:b/>
    </w:rPr>
  </w:style>
  <w:style w:type="paragraph" w:styleId="TOC1">
    <w:name w:val="toc 1"/>
    <w:basedOn w:val="Normal"/>
    <w:uiPriority w:val="99"/>
    <w:rsid w:val="003649C7"/>
    <w:pPr>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3649C7"/>
    <w:pPr>
      <w:keepLines/>
      <w:tabs>
        <w:tab w:val="center" w:pos="4536"/>
        <w:tab w:val="right" w:pos="9072"/>
      </w:tabs>
    </w:pPr>
    <w:rPr>
      <w:noProof/>
    </w:rPr>
  </w:style>
  <w:style w:type="character" w:customStyle="1" w:styleId="ZGSM">
    <w:name w:val="ZGSM"/>
    <w:uiPriority w:val="99"/>
    <w:rsid w:val="003649C7"/>
  </w:style>
  <w:style w:type="paragraph" w:styleId="Header">
    <w:name w:val="header"/>
    <w:basedOn w:val="Normal"/>
    <w:link w:val="HeaderChar"/>
    <w:uiPriority w:val="99"/>
    <w:rsid w:val="003649C7"/>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sid w:val="00BE3D36"/>
    <w:rPr>
      <w:rFonts w:cs="Times New Roman"/>
      <w:sz w:val="20"/>
      <w:szCs w:val="20"/>
      <w:lang w:val="en-GB" w:eastAsia="en-US"/>
    </w:rPr>
  </w:style>
  <w:style w:type="paragraph" w:customStyle="1" w:styleId="ZD">
    <w:name w:val="ZD"/>
    <w:uiPriority w:val="99"/>
    <w:rsid w:val="003649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3">
    <w:name w:val="toc 3"/>
    <w:basedOn w:val="TOC2"/>
    <w:uiPriority w:val="99"/>
    <w:rsid w:val="003649C7"/>
    <w:pPr>
      <w:ind w:left="1134" w:hanging="1134"/>
    </w:pPr>
  </w:style>
  <w:style w:type="paragraph" w:styleId="TOC2">
    <w:name w:val="toc 2"/>
    <w:basedOn w:val="TOC1"/>
    <w:uiPriority w:val="99"/>
    <w:rsid w:val="003649C7"/>
    <w:pPr>
      <w:spacing w:before="0"/>
      <w:ind w:left="851" w:hanging="851"/>
    </w:pPr>
    <w:rPr>
      <w:sz w:val="20"/>
    </w:rPr>
  </w:style>
  <w:style w:type="paragraph" w:customStyle="1" w:styleId="TT">
    <w:name w:val="TT"/>
    <w:basedOn w:val="Heading1"/>
    <w:next w:val="Normal"/>
    <w:uiPriority w:val="99"/>
    <w:rsid w:val="003649C7"/>
    <w:pPr>
      <w:outlineLvl w:val="9"/>
    </w:pPr>
  </w:style>
  <w:style w:type="paragraph" w:styleId="Footer">
    <w:name w:val="footer"/>
    <w:basedOn w:val="Header"/>
    <w:link w:val="FooterChar"/>
    <w:uiPriority w:val="99"/>
    <w:rsid w:val="003649C7"/>
    <w:pPr>
      <w:jc w:val="center"/>
    </w:pPr>
    <w:rPr>
      <w:i/>
    </w:rPr>
  </w:style>
  <w:style w:type="character" w:customStyle="1" w:styleId="FooterChar">
    <w:name w:val="Footer Char"/>
    <w:basedOn w:val="DefaultParagraphFont"/>
    <w:link w:val="Footer"/>
    <w:uiPriority w:val="99"/>
    <w:semiHidden/>
    <w:locked/>
    <w:rsid w:val="00BE3D36"/>
    <w:rPr>
      <w:rFonts w:cs="Times New Roman"/>
      <w:sz w:val="20"/>
      <w:szCs w:val="20"/>
      <w:lang w:val="en-GB" w:eastAsia="en-US"/>
    </w:rPr>
  </w:style>
  <w:style w:type="paragraph" w:customStyle="1" w:styleId="FP">
    <w:name w:val="FP"/>
    <w:basedOn w:val="Normal"/>
    <w:uiPriority w:val="99"/>
    <w:rsid w:val="003649C7"/>
    <w:pPr>
      <w:spacing w:after="0"/>
    </w:pPr>
  </w:style>
  <w:style w:type="paragraph" w:customStyle="1" w:styleId="B10">
    <w:name w:val="B1"/>
    <w:basedOn w:val="List"/>
    <w:uiPriority w:val="99"/>
    <w:rsid w:val="003649C7"/>
    <w:pPr>
      <w:ind w:left="738" w:hanging="454"/>
    </w:pPr>
  </w:style>
  <w:style w:type="paragraph" w:customStyle="1" w:styleId="ZA">
    <w:name w:val="ZA"/>
    <w:uiPriority w:val="99"/>
    <w:rsid w:val="0036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36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364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rsid w:val="0036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G">
    <w:name w:val="ZG"/>
    <w:uiPriority w:val="99"/>
    <w:rsid w:val="003649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ZTD">
    <w:name w:val="ZTD"/>
    <w:basedOn w:val="ZB"/>
    <w:uiPriority w:val="99"/>
    <w:rsid w:val="003649C7"/>
    <w:pPr>
      <w:framePr w:hRule="auto" w:wrap="notBeside" w:y="852"/>
    </w:pPr>
    <w:rPr>
      <w:i w:val="0"/>
      <w:sz w:val="40"/>
    </w:rPr>
  </w:style>
  <w:style w:type="paragraph" w:customStyle="1" w:styleId="ZV">
    <w:name w:val="ZV"/>
    <w:basedOn w:val="ZU"/>
    <w:uiPriority w:val="99"/>
    <w:rsid w:val="003649C7"/>
    <w:pPr>
      <w:framePr w:wrap="notBeside" w:y="16161"/>
    </w:pPr>
  </w:style>
  <w:style w:type="character" w:customStyle="1" w:styleId="Guidance">
    <w:name w:val="Guidance"/>
    <w:basedOn w:val="DefaultParagraphFont"/>
    <w:rsid w:val="005A4E96"/>
    <w:rPr>
      <w:rFonts w:cs="Times New Roman"/>
      <w:i/>
      <w:color w:val="0000FF"/>
      <w:sz w:val="20"/>
    </w:rPr>
  </w:style>
  <w:style w:type="character" w:styleId="Hyperlink">
    <w:name w:val="Hyperlink"/>
    <w:basedOn w:val="DefaultParagraphFont"/>
    <w:uiPriority w:val="99"/>
    <w:rsid w:val="005A4E96"/>
    <w:rPr>
      <w:rFonts w:cs="Times New Roman"/>
      <w:color w:val="0000FF"/>
      <w:u w:val="single"/>
    </w:rPr>
  </w:style>
  <w:style w:type="paragraph" w:customStyle="1" w:styleId="B1">
    <w:name w:val="B1+"/>
    <w:basedOn w:val="B10"/>
    <w:uiPriority w:val="99"/>
    <w:rsid w:val="003649C7"/>
    <w:pPr>
      <w:numPr>
        <w:numId w:val="1"/>
      </w:numPr>
    </w:pPr>
  </w:style>
  <w:style w:type="paragraph" w:styleId="List">
    <w:name w:val="List"/>
    <w:basedOn w:val="Normal"/>
    <w:uiPriority w:val="99"/>
    <w:rsid w:val="003649C7"/>
    <w:pPr>
      <w:ind w:left="568" w:hanging="284"/>
    </w:pPr>
  </w:style>
  <w:style w:type="paragraph" w:styleId="List2">
    <w:name w:val="List 2"/>
    <w:basedOn w:val="List"/>
    <w:uiPriority w:val="99"/>
    <w:rsid w:val="003649C7"/>
    <w:pPr>
      <w:ind w:left="851"/>
    </w:pPr>
  </w:style>
  <w:style w:type="paragraph" w:customStyle="1" w:styleId="B20">
    <w:name w:val="B2"/>
    <w:basedOn w:val="List2"/>
    <w:uiPriority w:val="99"/>
    <w:rsid w:val="003649C7"/>
    <w:pPr>
      <w:ind w:left="1191" w:hanging="454"/>
    </w:pPr>
  </w:style>
  <w:style w:type="paragraph" w:customStyle="1" w:styleId="B2">
    <w:name w:val="B2+"/>
    <w:basedOn w:val="B20"/>
    <w:uiPriority w:val="99"/>
    <w:rsid w:val="003649C7"/>
    <w:pPr>
      <w:numPr>
        <w:numId w:val="2"/>
      </w:numPr>
    </w:pPr>
  </w:style>
  <w:style w:type="paragraph" w:styleId="List3">
    <w:name w:val="List 3"/>
    <w:basedOn w:val="List2"/>
    <w:uiPriority w:val="99"/>
    <w:rsid w:val="003649C7"/>
    <w:pPr>
      <w:ind w:left="1135"/>
    </w:pPr>
  </w:style>
  <w:style w:type="paragraph" w:customStyle="1" w:styleId="B30">
    <w:name w:val="B3"/>
    <w:basedOn w:val="List3"/>
    <w:uiPriority w:val="99"/>
    <w:rsid w:val="003649C7"/>
    <w:pPr>
      <w:ind w:left="1645" w:hanging="454"/>
    </w:pPr>
  </w:style>
  <w:style w:type="paragraph" w:customStyle="1" w:styleId="B3">
    <w:name w:val="B3+"/>
    <w:basedOn w:val="B30"/>
    <w:uiPriority w:val="99"/>
    <w:rsid w:val="003649C7"/>
    <w:pPr>
      <w:numPr>
        <w:numId w:val="3"/>
      </w:numPr>
      <w:tabs>
        <w:tab w:val="left" w:pos="1134"/>
      </w:tabs>
    </w:pPr>
  </w:style>
  <w:style w:type="paragraph" w:styleId="List4">
    <w:name w:val="List 4"/>
    <w:basedOn w:val="List3"/>
    <w:uiPriority w:val="99"/>
    <w:rsid w:val="003649C7"/>
    <w:pPr>
      <w:ind w:left="1418"/>
    </w:pPr>
  </w:style>
  <w:style w:type="paragraph" w:customStyle="1" w:styleId="B4">
    <w:name w:val="B4"/>
    <w:basedOn w:val="List4"/>
    <w:uiPriority w:val="99"/>
    <w:rsid w:val="003649C7"/>
    <w:pPr>
      <w:ind w:left="2098" w:hanging="454"/>
    </w:pPr>
  </w:style>
  <w:style w:type="paragraph" w:styleId="List5">
    <w:name w:val="List 5"/>
    <w:basedOn w:val="List4"/>
    <w:uiPriority w:val="99"/>
    <w:rsid w:val="003649C7"/>
    <w:pPr>
      <w:ind w:left="1702"/>
    </w:pPr>
  </w:style>
  <w:style w:type="paragraph" w:customStyle="1" w:styleId="B5">
    <w:name w:val="B5"/>
    <w:basedOn w:val="List5"/>
    <w:uiPriority w:val="99"/>
    <w:rsid w:val="003649C7"/>
    <w:pPr>
      <w:ind w:left="2552" w:hanging="454"/>
    </w:pPr>
  </w:style>
  <w:style w:type="paragraph" w:customStyle="1" w:styleId="BL">
    <w:name w:val="BL"/>
    <w:basedOn w:val="Normal"/>
    <w:uiPriority w:val="99"/>
    <w:rsid w:val="003649C7"/>
    <w:pPr>
      <w:numPr>
        <w:numId w:val="4"/>
      </w:numPr>
      <w:tabs>
        <w:tab w:val="left" w:pos="851"/>
      </w:tabs>
    </w:pPr>
  </w:style>
  <w:style w:type="paragraph" w:customStyle="1" w:styleId="BN">
    <w:name w:val="BN"/>
    <w:basedOn w:val="Normal"/>
    <w:uiPriority w:val="99"/>
    <w:rsid w:val="003649C7"/>
    <w:pPr>
      <w:numPr>
        <w:numId w:val="5"/>
      </w:numPr>
    </w:pPr>
  </w:style>
  <w:style w:type="paragraph" w:customStyle="1" w:styleId="NO">
    <w:name w:val="NO"/>
    <w:basedOn w:val="Normal"/>
    <w:rsid w:val="003649C7"/>
    <w:pPr>
      <w:keepLines/>
      <w:ind w:left="1135" w:hanging="851"/>
    </w:pPr>
  </w:style>
  <w:style w:type="paragraph" w:customStyle="1" w:styleId="EditorsNote">
    <w:name w:val="Editor's Note"/>
    <w:basedOn w:val="NO"/>
    <w:uiPriority w:val="99"/>
    <w:rsid w:val="003649C7"/>
    <w:rPr>
      <w:color w:val="FF0000"/>
    </w:rPr>
  </w:style>
  <w:style w:type="paragraph" w:customStyle="1" w:styleId="EX">
    <w:name w:val="EX"/>
    <w:basedOn w:val="Normal"/>
    <w:link w:val="EXZchn"/>
    <w:uiPriority w:val="99"/>
    <w:rsid w:val="003649C7"/>
    <w:pPr>
      <w:keepLines/>
      <w:ind w:left="1702" w:hanging="1418"/>
    </w:pPr>
  </w:style>
  <w:style w:type="paragraph" w:customStyle="1" w:styleId="EW">
    <w:name w:val="EW"/>
    <w:basedOn w:val="EX"/>
    <w:uiPriority w:val="99"/>
    <w:rsid w:val="003649C7"/>
    <w:pPr>
      <w:spacing w:after="0"/>
    </w:pPr>
  </w:style>
  <w:style w:type="character" w:styleId="FootnoteReference">
    <w:name w:val="footnote reference"/>
    <w:basedOn w:val="DefaultParagraphFont"/>
    <w:uiPriority w:val="99"/>
    <w:semiHidden/>
    <w:rsid w:val="003649C7"/>
    <w:rPr>
      <w:rFonts w:cs="Times New Roman"/>
      <w:b/>
      <w:position w:val="6"/>
      <w:sz w:val="16"/>
    </w:rPr>
  </w:style>
  <w:style w:type="paragraph" w:styleId="FootnoteText">
    <w:name w:val="footnote text"/>
    <w:basedOn w:val="Normal"/>
    <w:link w:val="FootnoteTextChar"/>
    <w:uiPriority w:val="99"/>
    <w:semiHidden/>
    <w:rsid w:val="003649C7"/>
    <w:pPr>
      <w:keepLines/>
      <w:ind w:left="454" w:hanging="454"/>
    </w:pPr>
    <w:rPr>
      <w:sz w:val="16"/>
    </w:rPr>
  </w:style>
  <w:style w:type="character" w:customStyle="1" w:styleId="FootnoteTextChar">
    <w:name w:val="Footnote Text Char"/>
    <w:basedOn w:val="DefaultParagraphFont"/>
    <w:link w:val="FootnoteText"/>
    <w:uiPriority w:val="99"/>
    <w:semiHidden/>
    <w:locked/>
    <w:rsid w:val="00BE3D36"/>
    <w:rPr>
      <w:rFonts w:cs="Times New Roman"/>
      <w:sz w:val="20"/>
      <w:szCs w:val="20"/>
      <w:lang w:val="en-GB" w:eastAsia="en-US"/>
    </w:rPr>
  </w:style>
  <w:style w:type="paragraph" w:customStyle="1" w:styleId="H6">
    <w:name w:val="H6"/>
    <w:basedOn w:val="Heading5"/>
    <w:next w:val="Normal"/>
    <w:uiPriority w:val="99"/>
    <w:rsid w:val="003649C7"/>
    <w:pPr>
      <w:ind w:left="1985" w:hanging="1985"/>
      <w:outlineLvl w:val="9"/>
    </w:pPr>
    <w:rPr>
      <w:sz w:val="20"/>
    </w:rPr>
  </w:style>
  <w:style w:type="paragraph" w:styleId="Index1">
    <w:name w:val="index 1"/>
    <w:basedOn w:val="Normal"/>
    <w:uiPriority w:val="99"/>
    <w:semiHidden/>
    <w:rsid w:val="003649C7"/>
    <w:pPr>
      <w:keepLines/>
    </w:pPr>
  </w:style>
  <w:style w:type="paragraph" w:styleId="Index2">
    <w:name w:val="index 2"/>
    <w:basedOn w:val="Index1"/>
    <w:uiPriority w:val="99"/>
    <w:semiHidden/>
    <w:rsid w:val="003649C7"/>
    <w:pPr>
      <w:ind w:left="284"/>
    </w:pPr>
  </w:style>
  <w:style w:type="paragraph" w:customStyle="1" w:styleId="LD">
    <w:name w:val="LD"/>
    <w:uiPriority w:val="99"/>
    <w:rsid w:val="003649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uiPriority w:val="99"/>
    <w:rsid w:val="003649C7"/>
  </w:style>
  <w:style w:type="paragraph" w:styleId="ListBullet2">
    <w:name w:val="List Bullet 2"/>
    <w:basedOn w:val="ListBullet"/>
    <w:uiPriority w:val="99"/>
    <w:rsid w:val="003649C7"/>
    <w:pPr>
      <w:ind w:left="851"/>
    </w:pPr>
  </w:style>
  <w:style w:type="paragraph" w:styleId="ListBullet3">
    <w:name w:val="List Bullet 3"/>
    <w:basedOn w:val="ListBullet2"/>
    <w:uiPriority w:val="99"/>
    <w:rsid w:val="003649C7"/>
    <w:pPr>
      <w:ind w:left="1135"/>
    </w:pPr>
  </w:style>
  <w:style w:type="paragraph" w:styleId="ListBullet4">
    <w:name w:val="List Bullet 4"/>
    <w:basedOn w:val="ListBullet3"/>
    <w:uiPriority w:val="99"/>
    <w:rsid w:val="003649C7"/>
    <w:pPr>
      <w:ind w:left="1418"/>
    </w:pPr>
  </w:style>
  <w:style w:type="paragraph" w:styleId="ListBullet5">
    <w:name w:val="List Bullet 5"/>
    <w:basedOn w:val="ListBullet4"/>
    <w:uiPriority w:val="99"/>
    <w:rsid w:val="003649C7"/>
    <w:pPr>
      <w:ind w:left="1702"/>
    </w:pPr>
  </w:style>
  <w:style w:type="paragraph" w:styleId="ListNumber">
    <w:name w:val="List Number"/>
    <w:basedOn w:val="List"/>
    <w:uiPriority w:val="99"/>
    <w:rsid w:val="003649C7"/>
  </w:style>
  <w:style w:type="paragraph" w:styleId="ListNumber2">
    <w:name w:val="List Number 2"/>
    <w:basedOn w:val="ListNumber"/>
    <w:uiPriority w:val="99"/>
    <w:rsid w:val="003649C7"/>
    <w:pPr>
      <w:ind w:left="851"/>
    </w:pPr>
  </w:style>
  <w:style w:type="paragraph" w:customStyle="1" w:styleId="NF">
    <w:name w:val="NF"/>
    <w:basedOn w:val="NO"/>
    <w:uiPriority w:val="99"/>
    <w:rsid w:val="003649C7"/>
    <w:pPr>
      <w:keepNext/>
      <w:spacing w:after="0"/>
    </w:pPr>
    <w:rPr>
      <w:rFonts w:ascii="Arial" w:hAnsi="Arial"/>
      <w:sz w:val="18"/>
    </w:rPr>
  </w:style>
  <w:style w:type="paragraph" w:customStyle="1" w:styleId="NW">
    <w:name w:val="NW"/>
    <w:basedOn w:val="NO"/>
    <w:uiPriority w:val="99"/>
    <w:rsid w:val="003649C7"/>
    <w:pPr>
      <w:spacing w:after="0"/>
    </w:pPr>
  </w:style>
  <w:style w:type="paragraph" w:customStyle="1" w:styleId="PL">
    <w:name w:val="PL"/>
    <w:uiPriority w:val="99"/>
    <w:rsid w:val="0036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uiPriority w:val="99"/>
    <w:rsid w:val="003649C7"/>
    <w:pPr>
      <w:keepNext/>
      <w:keepLines/>
      <w:spacing w:after="0"/>
    </w:pPr>
    <w:rPr>
      <w:rFonts w:ascii="Arial" w:hAnsi="Arial"/>
      <w:sz w:val="18"/>
    </w:rPr>
  </w:style>
  <w:style w:type="paragraph" w:customStyle="1" w:styleId="TAC">
    <w:name w:val="TAC"/>
    <w:basedOn w:val="TAL"/>
    <w:uiPriority w:val="99"/>
    <w:rsid w:val="003649C7"/>
    <w:pPr>
      <w:jc w:val="center"/>
    </w:pPr>
  </w:style>
  <w:style w:type="paragraph" w:customStyle="1" w:styleId="TAH">
    <w:name w:val="TAH"/>
    <w:basedOn w:val="TAC"/>
    <w:uiPriority w:val="99"/>
    <w:rsid w:val="003649C7"/>
    <w:rPr>
      <w:b/>
    </w:rPr>
  </w:style>
  <w:style w:type="paragraph" w:customStyle="1" w:styleId="TAJ">
    <w:name w:val="TAJ"/>
    <w:basedOn w:val="Normal"/>
    <w:uiPriority w:val="99"/>
    <w:rsid w:val="003649C7"/>
    <w:pPr>
      <w:keepNext/>
      <w:keepLines/>
      <w:spacing w:after="0"/>
      <w:jc w:val="both"/>
    </w:pPr>
    <w:rPr>
      <w:rFonts w:ascii="Arial" w:hAnsi="Arial"/>
      <w:sz w:val="18"/>
    </w:rPr>
  </w:style>
  <w:style w:type="paragraph" w:customStyle="1" w:styleId="TAN">
    <w:name w:val="TAN"/>
    <w:basedOn w:val="TAL"/>
    <w:uiPriority w:val="99"/>
    <w:rsid w:val="003649C7"/>
    <w:pPr>
      <w:ind w:left="851" w:hanging="851"/>
    </w:pPr>
  </w:style>
  <w:style w:type="paragraph" w:customStyle="1" w:styleId="TAR">
    <w:name w:val="TAR"/>
    <w:basedOn w:val="TAL"/>
    <w:uiPriority w:val="99"/>
    <w:rsid w:val="003649C7"/>
    <w:pPr>
      <w:jc w:val="right"/>
    </w:pPr>
  </w:style>
  <w:style w:type="paragraph" w:customStyle="1" w:styleId="FL">
    <w:name w:val="FL"/>
    <w:basedOn w:val="Normal"/>
    <w:uiPriority w:val="99"/>
    <w:rsid w:val="003649C7"/>
    <w:pPr>
      <w:keepNext/>
      <w:keepLines/>
      <w:spacing w:before="60"/>
      <w:jc w:val="center"/>
    </w:pPr>
    <w:rPr>
      <w:rFonts w:ascii="Arial" w:hAnsi="Arial"/>
      <w:b/>
    </w:rPr>
  </w:style>
  <w:style w:type="paragraph" w:customStyle="1" w:styleId="TF">
    <w:name w:val="TF"/>
    <w:basedOn w:val="FL"/>
    <w:uiPriority w:val="99"/>
    <w:rsid w:val="003649C7"/>
    <w:pPr>
      <w:keepNext w:val="0"/>
      <w:spacing w:before="0" w:after="240"/>
    </w:pPr>
  </w:style>
  <w:style w:type="paragraph" w:customStyle="1" w:styleId="TH">
    <w:name w:val="TH"/>
    <w:basedOn w:val="FL"/>
    <w:next w:val="FL"/>
    <w:uiPriority w:val="99"/>
    <w:rsid w:val="003649C7"/>
  </w:style>
  <w:style w:type="paragraph" w:styleId="TOC4">
    <w:name w:val="toc 4"/>
    <w:basedOn w:val="TOC3"/>
    <w:uiPriority w:val="99"/>
    <w:rsid w:val="003649C7"/>
    <w:pPr>
      <w:ind w:left="1418" w:hanging="1418"/>
    </w:pPr>
  </w:style>
  <w:style w:type="paragraph" w:styleId="TOC5">
    <w:name w:val="toc 5"/>
    <w:basedOn w:val="TOC4"/>
    <w:uiPriority w:val="99"/>
    <w:semiHidden/>
    <w:rsid w:val="003649C7"/>
    <w:pPr>
      <w:ind w:left="1701" w:hanging="1701"/>
    </w:pPr>
  </w:style>
  <w:style w:type="paragraph" w:styleId="TOC6">
    <w:name w:val="toc 6"/>
    <w:basedOn w:val="TOC5"/>
    <w:next w:val="Normal"/>
    <w:uiPriority w:val="99"/>
    <w:semiHidden/>
    <w:rsid w:val="003649C7"/>
    <w:pPr>
      <w:ind w:left="1985" w:hanging="1985"/>
    </w:pPr>
  </w:style>
  <w:style w:type="paragraph" w:styleId="TOC7">
    <w:name w:val="toc 7"/>
    <w:basedOn w:val="TOC6"/>
    <w:next w:val="Normal"/>
    <w:uiPriority w:val="99"/>
    <w:semiHidden/>
    <w:rsid w:val="003649C7"/>
    <w:pPr>
      <w:ind w:left="2268" w:hanging="2268"/>
    </w:pPr>
  </w:style>
  <w:style w:type="paragraph" w:customStyle="1" w:styleId="ZH">
    <w:name w:val="ZH"/>
    <w:uiPriority w:val="99"/>
    <w:rsid w:val="003649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table" w:styleId="TableGrid">
    <w:name w:val="Table Grid"/>
    <w:basedOn w:val="TableNormal"/>
    <w:uiPriority w:val="99"/>
    <w:rsid w:val="00FB319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B37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3D36"/>
    <w:rPr>
      <w:rFonts w:cs="Times New Roman"/>
      <w:sz w:val="2"/>
      <w:lang w:val="en-GB" w:eastAsia="en-US"/>
    </w:rPr>
  </w:style>
  <w:style w:type="character" w:styleId="CommentReference">
    <w:name w:val="annotation reference"/>
    <w:basedOn w:val="DefaultParagraphFont"/>
    <w:rsid w:val="0004784D"/>
    <w:rPr>
      <w:rFonts w:cs="Times New Roman"/>
      <w:sz w:val="16"/>
      <w:szCs w:val="16"/>
    </w:rPr>
  </w:style>
  <w:style w:type="paragraph" w:styleId="CommentText">
    <w:name w:val="annotation text"/>
    <w:basedOn w:val="Normal"/>
    <w:link w:val="CommentTextChar"/>
    <w:rsid w:val="0004784D"/>
  </w:style>
  <w:style w:type="character" w:customStyle="1" w:styleId="CommentTextChar">
    <w:name w:val="Comment Text Char"/>
    <w:basedOn w:val="DefaultParagraphFont"/>
    <w:link w:val="CommentText"/>
    <w:locked/>
    <w:rsid w:val="0004784D"/>
    <w:rPr>
      <w:rFonts w:cs="Times New Roman"/>
      <w:lang w:eastAsia="en-US"/>
    </w:rPr>
  </w:style>
  <w:style w:type="paragraph" w:styleId="CommentSubject">
    <w:name w:val="annotation subject"/>
    <w:basedOn w:val="CommentText"/>
    <w:next w:val="CommentText"/>
    <w:link w:val="CommentSubjectChar"/>
    <w:uiPriority w:val="99"/>
    <w:rsid w:val="0004784D"/>
    <w:rPr>
      <w:b/>
      <w:bCs/>
    </w:rPr>
  </w:style>
  <w:style w:type="character" w:customStyle="1" w:styleId="CommentSubjectChar">
    <w:name w:val="Comment Subject Char"/>
    <w:basedOn w:val="CommentTextChar"/>
    <w:link w:val="CommentSubject"/>
    <w:uiPriority w:val="99"/>
    <w:locked/>
    <w:rsid w:val="0004784D"/>
    <w:rPr>
      <w:b/>
      <w:bCs/>
    </w:rPr>
  </w:style>
  <w:style w:type="character" w:customStyle="1" w:styleId="EXZchn">
    <w:name w:val="EX Zchn"/>
    <w:basedOn w:val="DefaultParagraphFont"/>
    <w:link w:val="EX"/>
    <w:uiPriority w:val="99"/>
    <w:locked/>
    <w:rsid w:val="009E57B3"/>
    <w:rPr>
      <w:rFonts w:cs="Times New Roman"/>
      <w:lang w:eastAsia="en-US"/>
    </w:rPr>
  </w:style>
  <w:style w:type="paragraph" w:customStyle="1" w:styleId="Table">
    <w:name w:val="Table"/>
    <w:basedOn w:val="Normal"/>
    <w:rsid w:val="00313BDD"/>
    <w:pPr>
      <w:keepNext/>
      <w:overflowPunct/>
      <w:autoSpaceDE/>
      <w:autoSpaceDN/>
      <w:adjustRightInd/>
      <w:spacing w:before="60" w:after="60" w:line="240" w:lineRule="atLeast"/>
      <w:jc w:val="center"/>
      <w:textAlignment w:val="auto"/>
    </w:pPr>
    <w:rPr>
      <w:rFonts w:ascii="Arial" w:hAnsi="Arial"/>
    </w:rPr>
  </w:style>
  <w:style w:type="paragraph" w:styleId="NoSpacing">
    <w:name w:val="No Spacing"/>
    <w:uiPriority w:val="99"/>
    <w:qFormat/>
    <w:rsid w:val="00B648BD"/>
    <w:rPr>
      <w:rFonts w:ascii="Arial" w:hAnsi="Arial" w:cs="Arial"/>
      <w:sz w:val="22"/>
      <w:szCs w:val="22"/>
      <w:lang w:val="de-DE" w:eastAsia="en-US"/>
    </w:rPr>
  </w:style>
  <w:style w:type="character" w:styleId="Strong">
    <w:name w:val="Strong"/>
    <w:basedOn w:val="DefaultParagraphFont"/>
    <w:uiPriority w:val="99"/>
    <w:qFormat/>
    <w:rsid w:val="00214464"/>
    <w:rPr>
      <w:rFonts w:cs="Times New Roman"/>
      <w:b/>
      <w:bCs/>
    </w:rPr>
  </w:style>
  <w:style w:type="paragraph" w:styleId="PlainText">
    <w:name w:val="Plain Text"/>
    <w:basedOn w:val="Normal"/>
    <w:link w:val="PlainTextChar"/>
    <w:uiPriority w:val="99"/>
    <w:locked/>
    <w:rsid w:val="00370FA0"/>
    <w:pPr>
      <w:overflowPunct/>
      <w:autoSpaceDE/>
      <w:autoSpaceDN/>
      <w:adjustRightInd/>
      <w:spacing w:after="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370FA0"/>
    <w:rPr>
      <w:rFonts w:ascii="Consolas" w:eastAsia="Calibri" w:hAnsi="Consolas"/>
      <w:sz w:val="21"/>
      <w:szCs w:val="21"/>
      <w:lang w:val="en-US" w:eastAsia="en-US"/>
    </w:rPr>
  </w:style>
  <w:style w:type="paragraph" w:customStyle="1" w:styleId="Default">
    <w:name w:val="Default"/>
    <w:rsid w:val="00914AA2"/>
    <w:pPr>
      <w:autoSpaceDE w:val="0"/>
      <w:autoSpaceDN w:val="0"/>
      <w:adjustRightInd w:val="0"/>
    </w:pPr>
    <w:rPr>
      <w:rFonts w:ascii="Arial" w:hAnsi="Arial" w:cs="Arial"/>
      <w:color w:val="000000"/>
      <w:sz w:val="24"/>
      <w:szCs w:val="24"/>
    </w:rPr>
  </w:style>
  <w:style w:type="paragraph" w:customStyle="1" w:styleId="CharCharCharCharCharChar">
    <w:name w:val="Char Char Char Char Char Char"/>
    <w:basedOn w:val="Normal"/>
    <w:rsid w:val="006D357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rPr>
  </w:style>
  <w:style w:type="paragraph" w:customStyle="1" w:styleId="TableTextS5">
    <w:name w:val="Table_TextS5"/>
    <w:basedOn w:val="Normal"/>
    <w:rsid w:val="006D357C"/>
    <w:pPr>
      <w:tabs>
        <w:tab w:val="left" w:pos="170"/>
        <w:tab w:val="left" w:pos="567"/>
        <w:tab w:val="left" w:pos="737"/>
        <w:tab w:val="left" w:pos="2977"/>
        <w:tab w:val="left" w:pos="3266"/>
      </w:tabs>
      <w:spacing w:before="40" w:after="40"/>
    </w:pPr>
  </w:style>
  <w:style w:type="paragraph" w:styleId="ListParagraph">
    <w:name w:val="List Paragraph"/>
    <w:basedOn w:val="Normal"/>
    <w:uiPriority w:val="34"/>
    <w:qFormat/>
    <w:rsid w:val="008C43AA"/>
    <w:pPr>
      <w:ind w:left="720"/>
      <w:contextualSpacing/>
    </w:pPr>
  </w:style>
</w:styles>
</file>

<file path=word/webSettings.xml><?xml version="1.0" encoding="utf-8"?>
<w:webSettings xmlns:r="http://schemas.openxmlformats.org/officeDocument/2006/relationships" xmlns:w="http://schemas.openxmlformats.org/wordprocessingml/2006/main">
  <w:divs>
    <w:div w:id="248395863">
      <w:bodyDiv w:val="1"/>
      <w:marLeft w:val="0"/>
      <w:marRight w:val="0"/>
      <w:marTop w:val="0"/>
      <w:marBottom w:val="0"/>
      <w:divBdr>
        <w:top w:val="none" w:sz="0" w:space="0" w:color="auto"/>
        <w:left w:val="none" w:sz="0" w:space="0" w:color="auto"/>
        <w:bottom w:val="none" w:sz="0" w:space="0" w:color="auto"/>
        <w:right w:val="none" w:sz="0" w:space="0" w:color="auto"/>
      </w:divBdr>
    </w:div>
    <w:div w:id="9207993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ct-carmen.eu/" TargetMode="External"/><Relationship Id="rId18" Type="http://schemas.openxmlformats.org/officeDocument/2006/relationships/image" Target="media/image4.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Office_PowerPoint_Slide1.sldx"/><Relationship Id="rId7" Type="http://schemas.openxmlformats.org/officeDocument/2006/relationships/endnotes" Target="endnotes.xml"/><Relationship Id="rId12" Type="http://schemas.openxmlformats.org/officeDocument/2006/relationships/hyperlink" Target="http://docbox.etsi.org/Reference" TargetMode="External"/><Relationship Id="rId17" Type="http://schemas.openxmlformats.org/officeDocument/2006/relationships/image" Target="media/image3.jpeg"/><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app.etsi.org/IPR/home.asp"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hyperlink" Target="http://www.bluetooth.org" TargetMode="Externa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hyperlink" Target="http://portal.etsi.org/tb/status/status.asp"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etsi.org" TargetMode="External"/><Relationship Id="rId14" Type="http://schemas.openxmlformats.org/officeDocument/2006/relationships/chart" Target="charts/chart1.xml"/><Relationship Id="rId22" Type="http://schemas.openxmlformats.org/officeDocument/2006/relationships/image" Target="media/image7.emf"/><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lineChart>
        <c:grouping val="standard"/>
        <c:ser>
          <c:idx val="0"/>
          <c:order val="0"/>
          <c:tx>
            <c:strRef>
              <c:f>Sheet1!$D$7</c:f>
              <c:strCache>
                <c:ptCount val="1"/>
                <c:pt idx="0">
                  <c:v>Max. eirp density (dBm/MHz)</c:v>
                </c:pt>
              </c:strCache>
            </c:strRef>
          </c:tx>
          <c:marker>
            <c:symbol val="none"/>
          </c:marker>
          <c:cat>
            <c:numRef>
              <c:f>Sheet1!$B$8:$B$26</c:f>
              <c:numCache>
                <c:formatCode>General</c:formatCode>
                <c:ptCount val="19"/>
                <c:pt idx="0">
                  <c:v>-90</c:v>
                </c:pt>
                <c:pt idx="3">
                  <c:v>-60</c:v>
                </c:pt>
                <c:pt idx="6">
                  <c:v>-30</c:v>
                </c:pt>
                <c:pt idx="9">
                  <c:v>0</c:v>
                </c:pt>
                <c:pt idx="12">
                  <c:v>30</c:v>
                </c:pt>
                <c:pt idx="15">
                  <c:v>60</c:v>
                </c:pt>
                <c:pt idx="18">
                  <c:v>90</c:v>
                </c:pt>
              </c:numCache>
            </c:numRef>
          </c:cat>
          <c:val>
            <c:numRef>
              <c:f>Sheet1!$D$8:$D$26</c:f>
              <c:numCache>
                <c:formatCode>General</c:formatCode>
                <c:ptCount val="19"/>
                <c:pt idx="0">
                  <c:v>-3</c:v>
                </c:pt>
                <c:pt idx="1">
                  <c:v>-3</c:v>
                </c:pt>
                <c:pt idx="2">
                  <c:v>-3</c:v>
                </c:pt>
                <c:pt idx="3">
                  <c:v>-3</c:v>
                </c:pt>
                <c:pt idx="4">
                  <c:v>-3</c:v>
                </c:pt>
                <c:pt idx="5">
                  <c:v>-3</c:v>
                </c:pt>
                <c:pt idx="6">
                  <c:v>-3</c:v>
                </c:pt>
                <c:pt idx="7">
                  <c:v>-3</c:v>
                </c:pt>
                <c:pt idx="8">
                  <c:v>-3</c:v>
                </c:pt>
                <c:pt idx="9">
                  <c:v>-3</c:v>
                </c:pt>
                <c:pt idx="10">
                  <c:v>-3</c:v>
                </c:pt>
                <c:pt idx="11">
                  <c:v>32</c:v>
                </c:pt>
                <c:pt idx="12">
                  <c:v>32</c:v>
                </c:pt>
                <c:pt idx="13">
                  <c:v>32</c:v>
                </c:pt>
                <c:pt idx="14">
                  <c:v>32</c:v>
                </c:pt>
                <c:pt idx="15">
                  <c:v>32</c:v>
                </c:pt>
                <c:pt idx="16">
                  <c:v>32</c:v>
                </c:pt>
                <c:pt idx="17">
                  <c:v>32</c:v>
                </c:pt>
                <c:pt idx="18">
                  <c:v>32</c:v>
                </c:pt>
              </c:numCache>
            </c:numRef>
          </c:val>
        </c:ser>
        <c:marker val="1"/>
        <c:axId val="80028800"/>
        <c:axId val="80030336"/>
      </c:lineChart>
      <c:catAx>
        <c:axId val="80028800"/>
        <c:scaling>
          <c:orientation val="minMax"/>
        </c:scaling>
        <c:axPos val="b"/>
        <c:minorGridlines/>
        <c:numFmt formatCode="General" sourceLinked="1"/>
        <c:tickLblPos val="nextTo"/>
        <c:txPr>
          <a:bodyPr/>
          <a:lstStyle/>
          <a:p>
            <a:pPr>
              <a:defRPr lang="en-US"/>
            </a:pPr>
            <a:endParaRPr lang="en-US"/>
          </a:p>
        </c:txPr>
        <c:crossAx val="80030336"/>
        <c:crosses val="autoZero"/>
        <c:auto val="1"/>
        <c:lblAlgn val="ctr"/>
        <c:lblOffset val="0"/>
        <c:tickMarkSkip val="1"/>
      </c:catAx>
      <c:valAx>
        <c:axId val="80030336"/>
        <c:scaling>
          <c:orientation val="minMax"/>
        </c:scaling>
        <c:axPos val="l"/>
        <c:majorGridlines/>
        <c:numFmt formatCode="General" sourceLinked="1"/>
        <c:tickLblPos val="nextTo"/>
        <c:txPr>
          <a:bodyPr/>
          <a:lstStyle/>
          <a:p>
            <a:pPr>
              <a:defRPr lang="en-US"/>
            </a:pPr>
            <a:endParaRPr lang="en-US"/>
          </a:p>
        </c:txPr>
        <c:crossAx val="80028800"/>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26D3A-C419-4484-A41A-79828A7B6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Pages>
  <Words>8667</Words>
  <Characters>49403</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Electromagnetic compatibility</vt:lpstr>
    </vt:vector>
  </TitlesOfParts>
  <Company>Cisco</Company>
  <LinksUpToDate>false</LinksUpToDate>
  <CharactersWithSpaces>57955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Electromagnetic compatibility</dc:title>
  <dc:creator>etsi</dc:creator>
  <cp:lastModifiedBy>Stephen Priestman</cp:lastModifiedBy>
  <cp:revision>8</cp:revision>
  <cp:lastPrinted>2009-03-11T14:18:00Z</cp:lastPrinted>
  <dcterms:created xsi:type="dcterms:W3CDTF">2012-04-17T20:35:00Z</dcterms:created>
  <dcterms:modified xsi:type="dcterms:W3CDTF">2012-04-18T11:57:00Z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