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97"/>
        <w:gridCol w:w="1731"/>
        <w:gridCol w:w="3569"/>
      </w:tblGrid>
      <w:tr w:rsidR="006D7DEA" w:rsidRPr="00A76D9F" w:rsidTr="006D7DEA">
        <w:trPr>
          <w:cantSplit/>
        </w:trPr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DEA" w:rsidRPr="009706AD" w:rsidRDefault="006D7DEA" w:rsidP="00122955">
            <w:pPr>
              <w:pStyle w:val="Header1"/>
              <w:rPr>
                <w:sz w:val="22"/>
              </w:rPr>
            </w:pPr>
            <w:r>
              <w:rPr>
                <w:sz w:val="24"/>
                <w:lang w:val="en-GB"/>
              </w:rPr>
              <w:br w:type="page"/>
            </w:r>
            <w:r>
              <w:rPr>
                <w:noProof/>
                <w:sz w:val="22"/>
                <w:lang w:val="pl-PL" w:eastAsia="pl-PL"/>
              </w:rPr>
              <w:drawing>
                <wp:inline distT="0" distB="0" distL="0" distR="0" wp14:anchorId="36DB2782" wp14:editId="1087731B">
                  <wp:extent cx="1943100" cy="533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EA" w:rsidRPr="009706AD" w:rsidRDefault="006D7DEA" w:rsidP="00122955">
            <w:pPr>
              <w:pStyle w:val="Header1"/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6D7DEA" w:rsidRPr="009706AD" w:rsidRDefault="006D7DEA" w:rsidP="006D7DEA">
            <w:pPr>
              <w:pStyle w:val="Header1"/>
              <w:tabs>
                <w:tab w:val="clear" w:pos="4536"/>
                <w:tab w:val="right" w:pos="3357"/>
              </w:tabs>
              <w:rPr>
                <w:sz w:val="22"/>
              </w:rPr>
            </w:pPr>
            <w:r>
              <w:rPr>
                <w:sz w:val="22"/>
              </w:rPr>
              <w:t>Com-ITU doc. (14) 02</w:t>
            </w:r>
            <w:r>
              <w:rPr>
                <w:sz w:val="22"/>
              </w:rPr>
              <w:t>3</w:t>
            </w:r>
            <w:r w:rsidRPr="009706AD">
              <w:rPr>
                <w:sz w:val="22"/>
              </w:rPr>
              <w:tab/>
            </w:r>
          </w:p>
        </w:tc>
      </w:tr>
      <w:tr w:rsidR="006D7DEA" w:rsidRPr="00A76D9F" w:rsidTr="006D7DE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Pr="009706AD" w:rsidRDefault="006D7DEA" w:rsidP="00122955">
            <w:pPr>
              <w:pStyle w:val="Header1"/>
              <w:rPr>
                <w:sz w:val="22"/>
                <w:szCs w:val="22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Pr="009706AD" w:rsidRDefault="006D7DEA" w:rsidP="00122955">
            <w:pPr>
              <w:pStyle w:val="Header1"/>
              <w:rPr>
                <w:sz w:val="22"/>
                <w:lang w:val="en-GB"/>
              </w:rPr>
            </w:pPr>
          </w:p>
        </w:tc>
      </w:tr>
      <w:tr w:rsidR="006D7DEA" w:rsidRPr="00A76D9F" w:rsidTr="006D7DE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Default="006D7DEA" w:rsidP="00122955">
            <w:pPr>
              <w:pStyle w:val="Header1"/>
              <w:rPr>
                <w:sz w:val="22"/>
              </w:rPr>
            </w:pPr>
            <w:r>
              <w:rPr>
                <w:sz w:val="22"/>
              </w:rPr>
              <w:t>Amsterdam, The Netherlands</w:t>
            </w:r>
          </w:p>
          <w:p w:rsidR="006D7DEA" w:rsidRPr="009706AD" w:rsidRDefault="006D7DEA" w:rsidP="00122955">
            <w:pPr>
              <w:pStyle w:val="Header1"/>
              <w:rPr>
                <w:sz w:val="22"/>
              </w:rPr>
            </w:pPr>
            <w:r>
              <w:rPr>
                <w:sz w:val="22"/>
              </w:rPr>
              <w:t>26-28 May, 2014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Pr="009706AD" w:rsidRDefault="006D7DEA" w:rsidP="00122955">
            <w:pPr>
              <w:pStyle w:val="Header1"/>
              <w:rPr>
                <w:sz w:val="22"/>
                <w:lang w:val="en-GB"/>
              </w:rPr>
            </w:pPr>
          </w:p>
        </w:tc>
      </w:tr>
      <w:tr w:rsidR="006D7DEA" w:rsidRPr="00A76D9F" w:rsidTr="006D7DEA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Default="006D7DEA" w:rsidP="00122955">
            <w:pPr>
              <w:pStyle w:val="Header1"/>
              <w:rPr>
                <w:sz w:val="8"/>
              </w:rPr>
            </w:pPr>
          </w:p>
          <w:p w:rsidR="006D7DEA" w:rsidRDefault="006D7DEA" w:rsidP="00122955">
            <w:pPr>
              <w:pStyle w:val="Header1"/>
              <w:rPr>
                <w:sz w:val="8"/>
              </w:rPr>
            </w:pPr>
          </w:p>
          <w:p w:rsidR="006D7DEA" w:rsidRPr="0098621D" w:rsidRDefault="006D7DEA" w:rsidP="00122955">
            <w:pPr>
              <w:pStyle w:val="Header1"/>
              <w:rPr>
                <w:sz w:val="8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Pr="005C17BB" w:rsidRDefault="006D7DEA" w:rsidP="00122955">
            <w:pPr>
              <w:pStyle w:val="Header1"/>
              <w:rPr>
                <w:sz w:val="8"/>
                <w:lang w:val="en-GB"/>
              </w:rPr>
            </w:pPr>
          </w:p>
        </w:tc>
      </w:tr>
      <w:tr w:rsidR="006D7DEA" w:rsidRPr="00A76D9F" w:rsidTr="006D7DE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Pr="009706AD" w:rsidRDefault="006D7DEA" w:rsidP="00122955">
            <w:pPr>
              <w:pStyle w:val="Header1"/>
              <w:rPr>
                <w:sz w:val="22"/>
              </w:rPr>
            </w:pPr>
            <w:r w:rsidRPr="009706AD">
              <w:rPr>
                <w:sz w:val="22"/>
              </w:rPr>
              <w:t>Date issued: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Pr="009706AD" w:rsidRDefault="006D7DEA" w:rsidP="00122955">
            <w:pPr>
              <w:pStyle w:val="Header1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21 May 2014</w:t>
            </w:r>
          </w:p>
        </w:tc>
      </w:tr>
      <w:tr w:rsidR="006D7DEA" w:rsidRPr="00A76D9F" w:rsidTr="006D7DE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Pr="009706AD" w:rsidRDefault="006D7DEA" w:rsidP="00122955">
            <w:pPr>
              <w:pStyle w:val="Header1"/>
              <w:rPr>
                <w:sz w:val="22"/>
              </w:rPr>
            </w:pPr>
            <w:r w:rsidRPr="009706AD">
              <w:rPr>
                <w:sz w:val="22"/>
              </w:rPr>
              <w:t>Source: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Pr="0090295D" w:rsidRDefault="006D7DEA" w:rsidP="00122955">
            <w:pPr>
              <w:pStyle w:val="Header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Czech Republic</w:t>
            </w:r>
          </w:p>
        </w:tc>
      </w:tr>
      <w:tr w:rsidR="006D7DEA" w:rsidRPr="00A76D9F" w:rsidTr="006D7DE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Pr="009706AD" w:rsidRDefault="006D7DEA" w:rsidP="00122955">
            <w:pPr>
              <w:pStyle w:val="Header1"/>
              <w:rPr>
                <w:sz w:val="22"/>
              </w:rPr>
            </w:pPr>
            <w:r w:rsidRPr="009706AD">
              <w:rPr>
                <w:sz w:val="22"/>
                <w:lang w:val="en-GB"/>
              </w:rPr>
              <w:t>Subject: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DEA" w:rsidRPr="009706AD" w:rsidRDefault="006D7DEA" w:rsidP="00122955">
            <w:pPr>
              <w:pStyle w:val="Header1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Draft Brief PP-14</w:t>
            </w:r>
          </w:p>
        </w:tc>
      </w:tr>
    </w:tbl>
    <w:p w:rsidR="006D7DEA" w:rsidRPr="006D7413" w:rsidRDefault="006D7DEA" w:rsidP="006D7DEA">
      <w:pPr>
        <w:rPr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79439" wp14:editId="35DE1823">
                <wp:simplePos x="0" y="0"/>
                <wp:positionH relativeFrom="column">
                  <wp:posOffset>2600325</wp:posOffset>
                </wp:positionH>
                <wp:positionV relativeFrom="paragraph">
                  <wp:posOffset>187960</wp:posOffset>
                </wp:positionV>
                <wp:extent cx="457200" cy="348615"/>
                <wp:effectExtent l="0" t="0" r="19050" b="13335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EA" w:rsidRPr="00254FD9" w:rsidRDefault="006D7DEA" w:rsidP="006D7DEA">
                            <w:pPr>
                              <w:jc w:val="center"/>
                              <w:rPr>
                                <w:rFonts w:cs="Arial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lang w:val="de-D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7943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04.75pt;margin-top:14.8pt;width:36pt;height:2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">
                <v:textbox>
                  <w:txbxContent>
                    <w:p w:rsidR="006D7DEA" w:rsidRPr="00254FD9" w:rsidRDefault="006D7DEA" w:rsidP="006D7DEA">
                      <w:pPr>
                        <w:jc w:val="center"/>
                        <w:rPr>
                          <w:rFonts w:cs="Arial"/>
                          <w:lang w:val="de-DE"/>
                        </w:rPr>
                      </w:pPr>
                      <w:r>
                        <w:rPr>
                          <w:rFonts w:cs="Arial"/>
                          <w:lang w:val="de-DE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D7DEA" w:rsidRDefault="006D7DEA" w:rsidP="006D7DEA">
      <w:pPr>
        <w:rPr>
          <w:lang w:val="en-GB"/>
        </w:rPr>
      </w:pPr>
      <w:r w:rsidRPr="0016435A">
        <w:rPr>
          <w:lang w:val="en-GB"/>
        </w:rPr>
        <w:t xml:space="preserve">Password protection required? (Y/N) </w:t>
      </w:r>
    </w:p>
    <w:p w:rsidR="006D7DEA" w:rsidRPr="00CD0B09" w:rsidRDefault="006D7DEA" w:rsidP="006D7DEA">
      <w:pPr>
        <w:pStyle w:val="Tytu"/>
        <w:rPr>
          <w:lang w:val="en-GB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D7DEA" w:rsidRPr="00A76D9F" w:rsidTr="00122955">
        <w:trPr>
          <w:cantSplit/>
          <w:trHeight w:val="446"/>
        </w:trPr>
        <w:tc>
          <w:tcPr>
            <w:tcW w:w="9640" w:type="dxa"/>
            <w:tcBorders>
              <w:bottom w:val="nil"/>
            </w:tcBorders>
          </w:tcPr>
          <w:p w:rsidR="006D7DEA" w:rsidRPr="009706AD" w:rsidRDefault="006D7DEA" w:rsidP="00122955">
            <w:pPr>
              <w:pStyle w:val="Header1"/>
              <w:rPr>
                <w:sz w:val="22"/>
                <w:lang w:val="en-US"/>
              </w:rPr>
            </w:pPr>
            <w:r w:rsidRPr="009706AD">
              <w:rPr>
                <w:sz w:val="22"/>
                <w:lang w:val="en-US"/>
              </w:rPr>
              <w:t xml:space="preserve">Summary: </w:t>
            </w:r>
          </w:p>
        </w:tc>
      </w:tr>
      <w:tr w:rsidR="006D7DEA" w:rsidRPr="002F01A9" w:rsidTr="00122955">
        <w:trPr>
          <w:cantSplit/>
          <w:trHeight w:val="1112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:rsidR="006D7DEA" w:rsidRPr="00A76D9F" w:rsidRDefault="006D7DEA" w:rsidP="00122955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Draft ECP on a decision on Rules for ITU </w:t>
            </w:r>
            <w:proofErr w:type="spellStart"/>
            <w:r>
              <w:rPr>
                <w:bCs/>
                <w:lang w:val="en-US"/>
              </w:rPr>
              <w:t>programmes</w:t>
            </w:r>
            <w:proofErr w:type="spellEnd"/>
            <w:r>
              <w:rPr>
                <w:bCs/>
                <w:lang w:val="en-US"/>
              </w:rPr>
              <w:t xml:space="preserve"> and projects.</w:t>
            </w:r>
            <w:bookmarkStart w:id="0" w:name="_GoBack"/>
            <w:bookmarkEnd w:id="0"/>
          </w:p>
        </w:tc>
      </w:tr>
      <w:tr w:rsidR="006D7DEA" w:rsidRPr="00A76D9F" w:rsidTr="00122955">
        <w:trPr>
          <w:cantSplit/>
          <w:trHeight w:val="443"/>
        </w:trPr>
        <w:tc>
          <w:tcPr>
            <w:tcW w:w="9640" w:type="dxa"/>
            <w:tcBorders>
              <w:bottom w:val="nil"/>
            </w:tcBorders>
          </w:tcPr>
          <w:p w:rsidR="006D7DEA" w:rsidRPr="009706AD" w:rsidRDefault="006D7DEA" w:rsidP="00122955">
            <w:pPr>
              <w:pStyle w:val="Header1"/>
              <w:rPr>
                <w:sz w:val="22"/>
                <w:lang w:val="en-US"/>
              </w:rPr>
            </w:pPr>
            <w:r w:rsidRPr="009706AD">
              <w:rPr>
                <w:sz w:val="22"/>
                <w:lang w:val="en-US"/>
              </w:rPr>
              <w:t xml:space="preserve">Proposal: </w:t>
            </w:r>
          </w:p>
        </w:tc>
      </w:tr>
      <w:tr w:rsidR="006D7DEA" w:rsidRPr="0034140F" w:rsidTr="00122955">
        <w:trPr>
          <w:cantSplit/>
          <w:trHeight w:val="945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:rsidR="006D7DEA" w:rsidRPr="00A76D9F" w:rsidRDefault="006D7DEA" w:rsidP="00122955">
            <w:pPr>
              <w:rPr>
                <w:lang w:val="en-US"/>
              </w:rPr>
            </w:pPr>
            <w:r>
              <w:rPr>
                <w:lang w:val="en-US"/>
              </w:rPr>
              <w:t>For adoption.</w:t>
            </w:r>
          </w:p>
          <w:p w:rsidR="006D7DEA" w:rsidRPr="00A76D9F" w:rsidRDefault="006D7DEA" w:rsidP="00122955">
            <w:pPr>
              <w:rPr>
                <w:lang w:val="en-US"/>
              </w:rPr>
            </w:pPr>
          </w:p>
        </w:tc>
      </w:tr>
      <w:tr w:rsidR="006D7DEA" w:rsidRPr="00A76D9F" w:rsidTr="00122955">
        <w:trPr>
          <w:cantSplit/>
          <w:trHeight w:val="431"/>
        </w:trPr>
        <w:tc>
          <w:tcPr>
            <w:tcW w:w="9640" w:type="dxa"/>
            <w:tcBorders>
              <w:bottom w:val="nil"/>
            </w:tcBorders>
          </w:tcPr>
          <w:p w:rsidR="006D7DEA" w:rsidRPr="009706AD" w:rsidRDefault="006D7DEA" w:rsidP="00122955">
            <w:pPr>
              <w:pStyle w:val="Header1"/>
              <w:rPr>
                <w:sz w:val="22"/>
                <w:lang w:val="en-US"/>
              </w:rPr>
            </w:pPr>
            <w:r w:rsidRPr="009706AD">
              <w:rPr>
                <w:sz w:val="22"/>
                <w:lang w:val="en-US"/>
              </w:rPr>
              <w:t xml:space="preserve">Background: </w:t>
            </w:r>
          </w:p>
        </w:tc>
      </w:tr>
      <w:tr w:rsidR="006D7DEA" w:rsidRPr="00A76D9F" w:rsidTr="00122955">
        <w:trPr>
          <w:cantSplit/>
          <w:trHeight w:val="784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:rsidR="006D7DEA" w:rsidRPr="00A76D9F" w:rsidRDefault="006D7DEA" w:rsidP="00122955">
            <w:pPr>
              <w:rPr>
                <w:bCs/>
                <w:lang w:val="en-GB"/>
              </w:rPr>
            </w:pPr>
          </w:p>
        </w:tc>
      </w:tr>
    </w:tbl>
    <w:p w:rsidR="006D7DEA" w:rsidRDefault="006D7DEA" w:rsidP="006D7DEA">
      <w:pPr>
        <w:rPr>
          <w:lang w:val="en-GB"/>
        </w:rPr>
      </w:pPr>
    </w:p>
    <w:p w:rsidR="006D7DEA" w:rsidRPr="001A704C" w:rsidRDefault="006D7DEA" w:rsidP="006D7DEA">
      <w:pPr>
        <w:rPr>
          <w:rFonts w:cs="Calibri"/>
          <w:b/>
          <w:lang w:val="en-US"/>
        </w:rPr>
      </w:pPr>
    </w:p>
    <w:p w:rsidR="006D7DEA" w:rsidRPr="001A704C" w:rsidRDefault="006D7DEA" w:rsidP="006D7DEA">
      <w:pPr>
        <w:rPr>
          <w:rFonts w:cs="Calibri"/>
          <w:b/>
          <w:lang w:val="en-US"/>
        </w:rPr>
      </w:pPr>
    </w:p>
    <w:p w:rsidR="006D7DEA" w:rsidRDefault="006D7DEA">
      <w:pPr>
        <w:overflowPunct/>
        <w:autoSpaceDE/>
        <w:autoSpaceDN/>
        <w:adjustRightInd/>
        <w:textAlignment w:val="auto"/>
        <w:rPr>
          <w:sz w:val="24"/>
          <w:lang w:val="en-GB"/>
        </w:rPr>
      </w:pPr>
    </w:p>
    <w:p w:rsidR="006D7DEA" w:rsidRDefault="006D7DEA">
      <w:pPr>
        <w:overflowPunct/>
        <w:autoSpaceDE/>
        <w:autoSpaceDN/>
        <w:adjustRightInd/>
        <w:textAlignment w:val="auto"/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8F3B35" w:rsidRPr="000E2D58" w:rsidRDefault="00CD4720" w:rsidP="00CD4720">
      <w:pPr>
        <w:jc w:val="center"/>
        <w:rPr>
          <w:sz w:val="24"/>
          <w:lang w:val="en-GB"/>
        </w:rPr>
      </w:pPr>
      <w:r w:rsidRPr="000E2D58">
        <w:rPr>
          <w:sz w:val="24"/>
          <w:lang w:val="en-GB"/>
        </w:rPr>
        <w:lastRenderedPageBreak/>
        <w:t>DECISION XX/X (</w:t>
      </w:r>
      <w:proofErr w:type="spellStart"/>
      <w:r w:rsidRPr="000E2D58">
        <w:rPr>
          <w:sz w:val="24"/>
          <w:lang w:val="en-GB"/>
        </w:rPr>
        <w:t>Busan</w:t>
      </w:r>
      <w:proofErr w:type="spellEnd"/>
      <w:r w:rsidRPr="000E2D58">
        <w:rPr>
          <w:sz w:val="24"/>
          <w:lang w:val="en-GB"/>
        </w:rPr>
        <w:t>, 2014)</w:t>
      </w:r>
    </w:p>
    <w:p w:rsidR="00CD4720" w:rsidRPr="000E2D58" w:rsidRDefault="00CD4720">
      <w:pPr>
        <w:jc w:val="both"/>
        <w:rPr>
          <w:sz w:val="24"/>
          <w:lang w:val="en-GB"/>
        </w:rPr>
      </w:pPr>
    </w:p>
    <w:p w:rsidR="00CD4720" w:rsidRPr="000E2D58" w:rsidRDefault="00CD4720" w:rsidP="00CD4720">
      <w:pPr>
        <w:jc w:val="center"/>
        <w:rPr>
          <w:b/>
          <w:sz w:val="24"/>
          <w:lang w:val="en-GB"/>
        </w:rPr>
      </w:pPr>
      <w:r w:rsidRPr="000E2D58">
        <w:rPr>
          <w:b/>
          <w:sz w:val="24"/>
          <w:lang w:val="en-GB"/>
        </w:rPr>
        <w:t>Rules for the ITU programmes and projects</w:t>
      </w:r>
    </w:p>
    <w:p w:rsidR="00CD4720" w:rsidRPr="000E2D58" w:rsidRDefault="00CD4720">
      <w:pPr>
        <w:jc w:val="both"/>
        <w:rPr>
          <w:sz w:val="24"/>
          <w:lang w:val="en-GB"/>
        </w:rPr>
      </w:pPr>
    </w:p>
    <w:p w:rsidR="00CD4720" w:rsidRPr="000E2D58" w:rsidRDefault="00CD4720">
      <w:p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>The Plenipotentiary Conference of the Internati</w:t>
      </w:r>
      <w:r w:rsidR="000E2D58">
        <w:rPr>
          <w:sz w:val="24"/>
          <w:lang w:val="en-GB"/>
        </w:rPr>
        <w:t>onal Telecommunication Union (Bu</w:t>
      </w:r>
      <w:r w:rsidRPr="000E2D58">
        <w:rPr>
          <w:sz w:val="24"/>
          <w:lang w:val="en-GB"/>
        </w:rPr>
        <w:t>san, 2014)</w:t>
      </w:r>
    </w:p>
    <w:p w:rsidR="00CD4720" w:rsidRPr="000E2D58" w:rsidRDefault="00CD4720">
      <w:pPr>
        <w:jc w:val="both"/>
        <w:rPr>
          <w:sz w:val="24"/>
          <w:lang w:val="en-GB"/>
        </w:rPr>
      </w:pPr>
    </w:p>
    <w:p w:rsidR="00CD4720" w:rsidRPr="000E2D58" w:rsidRDefault="00D81FE0">
      <w:pPr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>bearing in mind</w:t>
      </w:r>
    </w:p>
    <w:p w:rsidR="00CD4720" w:rsidRPr="000E2D58" w:rsidRDefault="00CD4720">
      <w:pPr>
        <w:jc w:val="both"/>
        <w:rPr>
          <w:i/>
          <w:sz w:val="24"/>
          <w:lang w:val="en-GB"/>
        </w:rPr>
      </w:pPr>
    </w:p>
    <w:p w:rsidR="00CD4720" w:rsidRPr="000E2D58" w:rsidRDefault="00CD4720" w:rsidP="00CD4720">
      <w:pPr>
        <w:pStyle w:val="Akapitzlist"/>
        <w:numPr>
          <w:ilvl w:val="0"/>
          <w:numId w:val="1"/>
        </w:num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 xml:space="preserve">That </w:t>
      </w:r>
      <w:r w:rsidR="00811E0D">
        <w:rPr>
          <w:sz w:val="24"/>
          <w:lang w:val="en-GB"/>
        </w:rPr>
        <w:t xml:space="preserve">in line with the </w:t>
      </w:r>
      <w:r w:rsidRPr="000E2D58">
        <w:rPr>
          <w:sz w:val="24"/>
          <w:lang w:val="en-GB"/>
        </w:rPr>
        <w:t>Article 8</w:t>
      </w:r>
      <w:r w:rsidR="00811E0D">
        <w:rPr>
          <w:sz w:val="24"/>
          <w:lang w:val="en-GB"/>
        </w:rPr>
        <w:t xml:space="preserve"> of the ITU Constitution, </w:t>
      </w:r>
      <w:r w:rsidR="00C75F9C" w:rsidRPr="000E2D58">
        <w:rPr>
          <w:sz w:val="24"/>
          <w:lang w:val="en-GB"/>
        </w:rPr>
        <w:t>the Plenipotentiary Conference establishes strategic plan for the Union a</w:t>
      </w:r>
      <w:r w:rsidR="00F058DC">
        <w:rPr>
          <w:sz w:val="24"/>
          <w:lang w:val="en-GB"/>
        </w:rPr>
        <w:t>s</w:t>
      </w:r>
      <w:r w:rsidR="00C75F9C" w:rsidRPr="000E2D58">
        <w:rPr>
          <w:sz w:val="24"/>
          <w:lang w:val="en-GB"/>
        </w:rPr>
        <w:t xml:space="preserve"> </w:t>
      </w:r>
      <w:r w:rsidR="00F058DC">
        <w:rPr>
          <w:sz w:val="24"/>
          <w:lang w:val="en-GB"/>
        </w:rPr>
        <w:t xml:space="preserve">the </w:t>
      </w:r>
      <w:r w:rsidR="00C75F9C" w:rsidRPr="000E2D58">
        <w:rPr>
          <w:sz w:val="24"/>
          <w:lang w:val="en-GB"/>
        </w:rPr>
        <w:t>basis for the budget for the Union and determin</w:t>
      </w:r>
      <w:r w:rsidR="000E2D58">
        <w:rPr>
          <w:sz w:val="24"/>
          <w:lang w:val="en-GB"/>
        </w:rPr>
        <w:t>e</w:t>
      </w:r>
      <w:r w:rsidR="00C75F9C" w:rsidRPr="000E2D58">
        <w:rPr>
          <w:sz w:val="24"/>
          <w:lang w:val="en-GB"/>
        </w:rPr>
        <w:t>s related financial limits,</w:t>
      </w:r>
    </w:p>
    <w:p w:rsidR="00C75F9C" w:rsidRPr="000E2D58" w:rsidRDefault="00C75F9C" w:rsidP="00CD4720">
      <w:pPr>
        <w:pStyle w:val="Akapitzlist"/>
        <w:numPr>
          <w:ilvl w:val="0"/>
          <w:numId w:val="1"/>
        </w:num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>That Article 4 of the Convention gives the Council the duty to consider the repor</w:t>
      </w:r>
      <w:r w:rsidR="000E2D58">
        <w:rPr>
          <w:sz w:val="24"/>
          <w:lang w:val="en-GB"/>
        </w:rPr>
        <w:t>t</w:t>
      </w:r>
      <w:r w:rsidRPr="000E2D58">
        <w:rPr>
          <w:sz w:val="24"/>
          <w:lang w:val="en-GB"/>
        </w:rPr>
        <w:t xml:space="preserve"> prepared by the Secretary-General on implementation of the strategic plan adopted by the Plenipotentiary Conference and to tak</w:t>
      </w:r>
      <w:r w:rsidR="000E2D58">
        <w:rPr>
          <w:sz w:val="24"/>
          <w:lang w:val="en-GB"/>
        </w:rPr>
        <w:t>e</w:t>
      </w:r>
      <w:r w:rsidRPr="000E2D58">
        <w:rPr>
          <w:sz w:val="24"/>
          <w:lang w:val="en-GB"/>
        </w:rPr>
        <w:t xml:space="preserve"> appropriate action,</w:t>
      </w:r>
    </w:p>
    <w:p w:rsidR="00C75F9C" w:rsidRPr="000E2D58" w:rsidRDefault="00C75F9C" w:rsidP="00C75F9C">
      <w:pPr>
        <w:jc w:val="both"/>
        <w:rPr>
          <w:sz w:val="24"/>
          <w:lang w:val="en-GB"/>
        </w:rPr>
      </w:pPr>
    </w:p>
    <w:p w:rsidR="00C75F9C" w:rsidRPr="000E2D58" w:rsidRDefault="00C75F9C" w:rsidP="00C75F9C">
      <w:pPr>
        <w:jc w:val="both"/>
        <w:rPr>
          <w:i/>
          <w:sz w:val="24"/>
          <w:lang w:val="en-GB"/>
        </w:rPr>
      </w:pPr>
      <w:r w:rsidRPr="000E2D58">
        <w:rPr>
          <w:i/>
          <w:sz w:val="24"/>
          <w:lang w:val="en-GB"/>
        </w:rPr>
        <w:t>recognizing</w:t>
      </w:r>
    </w:p>
    <w:p w:rsidR="00C75F9C" w:rsidRPr="000E2D58" w:rsidRDefault="00C75F9C" w:rsidP="00C75F9C">
      <w:pPr>
        <w:jc w:val="both"/>
        <w:rPr>
          <w:sz w:val="24"/>
          <w:lang w:val="en-GB"/>
        </w:rPr>
      </w:pPr>
    </w:p>
    <w:p w:rsidR="00C75F9C" w:rsidRPr="000E2D58" w:rsidRDefault="00746069" w:rsidP="00746069">
      <w:pPr>
        <w:pStyle w:val="Akapitzlist"/>
        <w:numPr>
          <w:ilvl w:val="0"/>
          <w:numId w:val="2"/>
        </w:num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 xml:space="preserve">financial </w:t>
      </w:r>
      <w:r w:rsidR="0079718B">
        <w:rPr>
          <w:sz w:val="24"/>
          <w:lang w:val="en-GB"/>
        </w:rPr>
        <w:t>challenges</w:t>
      </w:r>
      <w:r w:rsidR="0079718B" w:rsidRPr="000E2D58">
        <w:rPr>
          <w:sz w:val="24"/>
          <w:lang w:val="en-GB"/>
        </w:rPr>
        <w:t xml:space="preserve"> </w:t>
      </w:r>
      <w:r w:rsidRPr="000E2D58">
        <w:rPr>
          <w:sz w:val="24"/>
          <w:lang w:val="en-GB"/>
        </w:rPr>
        <w:t>the Union has to cope with,</w:t>
      </w:r>
    </w:p>
    <w:p w:rsidR="00811E0D" w:rsidRDefault="00811E0D" w:rsidP="00746069">
      <w:pPr>
        <w:pStyle w:val="Akapitzlist"/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t</w:t>
      </w:r>
      <w:r w:rsidRPr="000E2D58">
        <w:rPr>
          <w:sz w:val="24"/>
          <w:lang w:val="en-GB"/>
        </w:rPr>
        <w:t xml:space="preserve">he need to </w:t>
      </w:r>
      <w:r>
        <w:rPr>
          <w:sz w:val="24"/>
          <w:lang w:val="en-GB"/>
        </w:rPr>
        <w:t>strengthen efforts</w:t>
      </w:r>
      <w:r w:rsidRPr="000E2D58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leading to </w:t>
      </w:r>
      <w:r w:rsidRPr="000E2D58">
        <w:rPr>
          <w:sz w:val="24"/>
          <w:lang w:val="en-GB"/>
        </w:rPr>
        <w:t>reduc</w:t>
      </w:r>
      <w:r>
        <w:rPr>
          <w:sz w:val="24"/>
          <w:lang w:val="en-GB"/>
        </w:rPr>
        <w:t>ed</w:t>
      </w:r>
      <w:r w:rsidRPr="000E2D58">
        <w:rPr>
          <w:sz w:val="24"/>
          <w:lang w:val="en-GB"/>
        </w:rPr>
        <w:t xml:space="preserve"> expenditures</w:t>
      </w:r>
      <w:r>
        <w:rPr>
          <w:sz w:val="24"/>
          <w:lang w:val="en-GB"/>
        </w:rPr>
        <w:t>;</w:t>
      </w:r>
    </w:p>
    <w:p w:rsidR="00746069" w:rsidRPr="000E2D58" w:rsidRDefault="00811E0D" w:rsidP="00746069">
      <w:pPr>
        <w:pStyle w:val="Akapitzlist"/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o</w:t>
      </w:r>
      <w:r w:rsidR="0079718B">
        <w:rPr>
          <w:sz w:val="24"/>
          <w:lang w:val="en-GB"/>
        </w:rPr>
        <w:t>pportunities for improvements throughout t</w:t>
      </w:r>
      <w:r w:rsidR="0079718B" w:rsidRPr="000E2D58">
        <w:rPr>
          <w:sz w:val="24"/>
          <w:lang w:val="en-GB"/>
        </w:rPr>
        <w:t xml:space="preserve">he </w:t>
      </w:r>
      <w:r w:rsidR="00E6674F">
        <w:rPr>
          <w:sz w:val="24"/>
          <w:lang w:val="en-GB"/>
        </w:rPr>
        <w:t>programmes and projects cycles,</w:t>
      </w:r>
    </w:p>
    <w:p w:rsidR="00C75F9C" w:rsidRPr="000E2D58" w:rsidRDefault="00C75F9C" w:rsidP="00C75F9C">
      <w:pPr>
        <w:jc w:val="both"/>
        <w:rPr>
          <w:sz w:val="24"/>
          <w:lang w:val="en-GB"/>
        </w:rPr>
      </w:pPr>
    </w:p>
    <w:p w:rsidR="00746069" w:rsidRDefault="00746069" w:rsidP="00C75F9C">
      <w:pPr>
        <w:jc w:val="both"/>
        <w:rPr>
          <w:i/>
          <w:sz w:val="24"/>
          <w:lang w:val="en-GB"/>
        </w:rPr>
      </w:pPr>
      <w:r w:rsidRPr="000E2D58">
        <w:rPr>
          <w:i/>
          <w:sz w:val="24"/>
          <w:lang w:val="en-GB"/>
        </w:rPr>
        <w:t>decides</w:t>
      </w:r>
    </w:p>
    <w:p w:rsidR="00C976C0" w:rsidRPr="000E2D58" w:rsidRDefault="00C976C0" w:rsidP="00C75F9C">
      <w:pPr>
        <w:jc w:val="both"/>
        <w:rPr>
          <w:i/>
          <w:sz w:val="24"/>
          <w:lang w:val="en-GB"/>
        </w:rPr>
      </w:pPr>
    </w:p>
    <w:p w:rsidR="00746069" w:rsidRPr="000E2D58" w:rsidRDefault="00746069" w:rsidP="00C75F9C">
      <w:p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>1 that each programme and</w:t>
      </w:r>
      <w:r w:rsidR="00F73476" w:rsidRPr="000E2D58">
        <w:rPr>
          <w:sz w:val="24"/>
          <w:lang w:val="en-GB"/>
        </w:rPr>
        <w:t xml:space="preserve"> </w:t>
      </w:r>
      <w:r w:rsidRPr="000E2D58">
        <w:rPr>
          <w:sz w:val="24"/>
          <w:lang w:val="en-GB"/>
        </w:rPr>
        <w:t xml:space="preserve">each project </w:t>
      </w:r>
      <w:r w:rsidR="00E66C05" w:rsidRPr="000E2D58">
        <w:rPr>
          <w:sz w:val="24"/>
          <w:lang w:val="en-GB"/>
        </w:rPr>
        <w:t xml:space="preserve">will be </w:t>
      </w:r>
      <w:r w:rsidR="009238B9">
        <w:rPr>
          <w:sz w:val="24"/>
          <w:lang w:val="en-GB"/>
        </w:rPr>
        <w:t xml:space="preserve">– before submission to the Council – </w:t>
      </w:r>
      <w:r w:rsidR="00E66C05" w:rsidRPr="000E2D58">
        <w:rPr>
          <w:sz w:val="24"/>
          <w:lang w:val="en-GB"/>
        </w:rPr>
        <w:t xml:space="preserve">evaluated by the respective sector Director </w:t>
      </w:r>
      <w:r w:rsidR="000E2D58" w:rsidRPr="000E2D58">
        <w:rPr>
          <w:sz w:val="24"/>
          <w:lang w:val="en-GB"/>
        </w:rPr>
        <w:t xml:space="preserve">or by the General Secretariat </w:t>
      </w:r>
      <w:r w:rsidR="00E6674F">
        <w:rPr>
          <w:sz w:val="24"/>
          <w:lang w:val="en-GB"/>
        </w:rPr>
        <w:t xml:space="preserve">in case of horizontal ones </w:t>
      </w:r>
      <w:r w:rsidR="00E66C05" w:rsidRPr="000E2D58">
        <w:rPr>
          <w:sz w:val="24"/>
          <w:lang w:val="en-GB"/>
        </w:rPr>
        <w:t>having in mind:</w:t>
      </w:r>
    </w:p>
    <w:p w:rsidR="00E66C05" w:rsidRPr="000E2D58" w:rsidRDefault="00E66C05" w:rsidP="00E66C05">
      <w:pPr>
        <w:pStyle w:val="Akapitzlist"/>
        <w:numPr>
          <w:ilvl w:val="0"/>
          <w:numId w:val="3"/>
        </w:num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 xml:space="preserve">S – sustainability </w:t>
      </w:r>
      <w:r w:rsidR="0077318A">
        <w:rPr>
          <w:sz w:val="24"/>
          <w:lang w:val="en-GB"/>
        </w:rPr>
        <w:t>in terms of</w:t>
      </w:r>
      <w:r w:rsidR="0077318A" w:rsidRPr="000E2D58">
        <w:rPr>
          <w:sz w:val="24"/>
          <w:lang w:val="en-GB"/>
        </w:rPr>
        <w:t xml:space="preserve"> </w:t>
      </w:r>
      <w:r w:rsidR="00F73476" w:rsidRPr="000E2D58">
        <w:rPr>
          <w:sz w:val="24"/>
          <w:lang w:val="en-GB"/>
        </w:rPr>
        <w:t xml:space="preserve">self-financing </w:t>
      </w:r>
      <w:r w:rsidR="0077318A">
        <w:rPr>
          <w:sz w:val="24"/>
          <w:lang w:val="en-GB"/>
        </w:rPr>
        <w:t xml:space="preserve">for the period of </w:t>
      </w:r>
      <w:r w:rsidR="00F73476" w:rsidRPr="000E2D58">
        <w:rPr>
          <w:sz w:val="24"/>
          <w:lang w:val="en-GB"/>
        </w:rPr>
        <w:t xml:space="preserve">at least 3 years after the </w:t>
      </w:r>
      <w:r w:rsidR="0077318A">
        <w:rPr>
          <w:sz w:val="24"/>
          <w:lang w:val="en-GB"/>
        </w:rPr>
        <w:t>funding</w:t>
      </w:r>
      <w:r w:rsidR="0077318A" w:rsidRPr="000E2D58">
        <w:rPr>
          <w:sz w:val="24"/>
          <w:lang w:val="en-GB"/>
        </w:rPr>
        <w:t xml:space="preserve"> </w:t>
      </w:r>
      <w:r w:rsidR="00F73476" w:rsidRPr="000E2D58">
        <w:rPr>
          <w:sz w:val="24"/>
          <w:lang w:val="en-GB"/>
        </w:rPr>
        <w:t xml:space="preserve">from </w:t>
      </w:r>
      <w:r w:rsidR="0077318A">
        <w:rPr>
          <w:sz w:val="24"/>
          <w:lang w:val="en-GB"/>
        </w:rPr>
        <w:t xml:space="preserve">the </w:t>
      </w:r>
      <w:r w:rsidR="00F73476" w:rsidRPr="000E2D58">
        <w:rPr>
          <w:sz w:val="24"/>
          <w:lang w:val="en-GB"/>
        </w:rPr>
        <w:t>ITU</w:t>
      </w:r>
      <w:r w:rsidR="00FD7EFB">
        <w:rPr>
          <w:sz w:val="24"/>
          <w:lang w:val="en-GB"/>
        </w:rPr>
        <w:t xml:space="preserve"> ends</w:t>
      </w:r>
      <w:r w:rsidR="00422A57" w:rsidRPr="000E2D58">
        <w:rPr>
          <w:sz w:val="24"/>
          <w:lang w:val="en-GB"/>
        </w:rPr>
        <w:t>;</w:t>
      </w:r>
    </w:p>
    <w:p w:rsidR="00E66C05" w:rsidRPr="000E2D58" w:rsidRDefault="00E66C05" w:rsidP="00E66C05">
      <w:pPr>
        <w:pStyle w:val="Akapitzlist"/>
        <w:numPr>
          <w:ilvl w:val="0"/>
          <w:numId w:val="3"/>
        </w:num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 xml:space="preserve">T – transparency </w:t>
      </w:r>
      <w:r w:rsidR="0077318A">
        <w:rPr>
          <w:sz w:val="24"/>
          <w:lang w:val="en-GB"/>
        </w:rPr>
        <w:t>throughout the programmes and projects cycles</w:t>
      </w:r>
      <w:r w:rsidR="00422A57" w:rsidRPr="000E2D58">
        <w:rPr>
          <w:sz w:val="24"/>
          <w:lang w:val="en-GB"/>
        </w:rPr>
        <w:t>;</w:t>
      </w:r>
    </w:p>
    <w:p w:rsidR="00E66C05" w:rsidRPr="000E2D58" w:rsidRDefault="00E66C05" w:rsidP="00E66C05">
      <w:pPr>
        <w:pStyle w:val="Akapitzlist"/>
        <w:numPr>
          <w:ilvl w:val="0"/>
          <w:numId w:val="3"/>
        </w:num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 xml:space="preserve">A – accountability to </w:t>
      </w:r>
      <w:r w:rsidR="005A75FD">
        <w:rPr>
          <w:sz w:val="24"/>
          <w:lang w:val="en-GB"/>
        </w:rPr>
        <w:t>maintain</w:t>
      </w:r>
      <w:r w:rsidR="005A75FD" w:rsidRPr="000E2D58">
        <w:rPr>
          <w:sz w:val="24"/>
          <w:lang w:val="en-GB"/>
        </w:rPr>
        <w:t xml:space="preserve"> </w:t>
      </w:r>
      <w:r w:rsidR="005A75FD">
        <w:rPr>
          <w:sz w:val="24"/>
          <w:lang w:val="en-GB"/>
        </w:rPr>
        <w:t xml:space="preserve">utmost </w:t>
      </w:r>
      <w:r w:rsidR="000E2D58">
        <w:rPr>
          <w:sz w:val="24"/>
          <w:lang w:val="en-GB"/>
        </w:rPr>
        <w:t>effi</w:t>
      </w:r>
      <w:r w:rsidRPr="000E2D58">
        <w:rPr>
          <w:sz w:val="24"/>
          <w:lang w:val="en-GB"/>
        </w:rPr>
        <w:t>c</w:t>
      </w:r>
      <w:r w:rsidR="000E2D58">
        <w:rPr>
          <w:sz w:val="24"/>
          <w:lang w:val="en-GB"/>
        </w:rPr>
        <w:t>iency</w:t>
      </w:r>
      <w:r w:rsidRPr="000E2D58">
        <w:rPr>
          <w:sz w:val="24"/>
          <w:lang w:val="en-GB"/>
        </w:rPr>
        <w:t xml:space="preserve"> of the </w:t>
      </w:r>
      <w:r w:rsidR="005A75FD">
        <w:rPr>
          <w:sz w:val="24"/>
          <w:lang w:val="en-GB"/>
        </w:rPr>
        <w:t>resources</w:t>
      </w:r>
      <w:r w:rsidR="005A75FD" w:rsidRPr="000E2D58">
        <w:rPr>
          <w:sz w:val="24"/>
          <w:lang w:val="en-GB"/>
        </w:rPr>
        <w:t xml:space="preserve"> </w:t>
      </w:r>
      <w:r w:rsidRPr="000E2D58">
        <w:rPr>
          <w:sz w:val="24"/>
          <w:lang w:val="en-GB"/>
        </w:rPr>
        <w:t>involved</w:t>
      </w:r>
      <w:r w:rsidR="00422A57" w:rsidRPr="000E2D58">
        <w:rPr>
          <w:sz w:val="24"/>
          <w:lang w:val="en-GB"/>
        </w:rPr>
        <w:t>;</w:t>
      </w:r>
    </w:p>
    <w:p w:rsidR="00E66C05" w:rsidRPr="000E2D58" w:rsidRDefault="00E66C05" w:rsidP="005A75FD">
      <w:pPr>
        <w:pStyle w:val="Akapitzlist"/>
        <w:numPr>
          <w:ilvl w:val="0"/>
          <w:numId w:val="3"/>
        </w:num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 xml:space="preserve">R – responsibility of the beneficiary to </w:t>
      </w:r>
      <w:r w:rsidR="00F73476" w:rsidRPr="000E2D58">
        <w:rPr>
          <w:sz w:val="24"/>
          <w:lang w:val="en-GB"/>
        </w:rPr>
        <w:t xml:space="preserve">the ITU </w:t>
      </w:r>
      <w:r w:rsidR="005A75FD">
        <w:rPr>
          <w:sz w:val="24"/>
          <w:lang w:val="en-GB"/>
        </w:rPr>
        <w:t>, including through providing</w:t>
      </w:r>
      <w:r w:rsidR="005A75FD" w:rsidRPr="000E2D58">
        <w:rPr>
          <w:sz w:val="24"/>
          <w:lang w:val="en-GB"/>
        </w:rPr>
        <w:t xml:space="preserve"> </w:t>
      </w:r>
      <w:r w:rsidR="00F73476" w:rsidRPr="000E2D58">
        <w:rPr>
          <w:sz w:val="24"/>
          <w:lang w:val="en-GB"/>
        </w:rPr>
        <w:t xml:space="preserve">all necessary </w:t>
      </w:r>
      <w:r w:rsidR="005A75FD">
        <w:rPr>
          <w:sz w:val="24"/>
          <w:lang w:val="en-GB"/>
        </w:rPr>
        <w:t>details</w:t>
      </w:r>
      <w:r w:rsidR="005A75FD" w:rsidRPr="000E2D58">
        <w:rPr>
          <w:sz w:val="24"/>
          <w:lang w:val="en-GB"/>
        </w:rPr>
        <w:t xml:space="preserve"> </w:t>
      </w:r>
      <w:r w:rsidR="005A75FD">
        <w:rPr>
          <w:sz w:val="24"/>
          <w:lang w:val="en-GB"/>
        </w:rPr>
        <w:t>on</w:t>
      </w:r>
      <w:r w:rsidR="00F73476" w:rsidRPr="000E2D58">
        <w:rPr>
          <w:sz w:val="24"/>
          <w:lang w:val="en-GB"/>
        </w:rPr>
        <w:t xml:space="preserve"> the programme/project finances and results so that </w:t>
      </w:r>
      <w:r w:rsidR="005A75FD">
        <w:rPr>
          <w:sz w:val="24"/>
          <w:lang w:val="en-GB"/>
        </w:rPr>
        <w:t xml:space="preserve">the </w:t>
      </w:r>
      <w:r w:rsidR="00F73476" w:rsidRPr="000E2D58">
        <w:rPr>
          <w:sz w:val="24"/>
          <w:lang w:val="en-GB"/>
        </w:rPr>
        <w:t>relevant ITU sector is able</w:t>
      </w:r>
      <w:r w:rsidR="005A75FD">
        <w:rPr>
          <w:sz w:val="24"/>
          <w:lang w:val="en-GB"/>
        </w:rPr>
        <w:t xml:space="preserve"> to </w:t>
      </w:r>
      <w:r w:rsidR="005A75FD" w:rsidRPr="005A75FD">
        <w:rPr>
          <w:sz w:val="24"/>
          <w:lang w:val="en-GB"/>
        </w:rPr>
        <w:t>thoroughly</w:t>
      </w:r>
      <w:r w:rsidR="005A75FD">
        <w:rPr>
          <w:sz w:val="24"/>
          <w:lang w:val="en-GB"/>
        </w:rPr>
        <w:t xml:space="preserve"> evaluate them</w:t>
      </w:r>
      <w:r w:rsidR="00422A57" w:rsidRPr="000E2D58">
        <w:rPr>
          <w:sz w:val="24"/>
          <w:lang w:val="en-GB"/>
        </w:rPr>
        <w:t>;</w:t>
      </w:r>
    </w:p>
    <w:p w:rsidR="00746069" w:rsidRDefault="00F73476" w:rsidP="00F73476">
      <w:p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>2 that each programme exceeding 1 million Swiss Francs and each project exceeding 100.000 Swiss Francs will be approved by the Council based on the evaluation</w:t>
      </w:r>
      <w:r w:rsidR="00E2753C">
        <w:rPr>
          <w:sz w:val="24"/>
          <w:lang w:val="en-GB"/>
        </w:rPr>
        <w:t>,</w:t>
      </w:r>
      <w:r w:rsidR="00E2753C" w:rsidRPr="00E2753C">
        <w:rPr>
          <w:sz w:val="24"/>
          <w:lang w:val="en-GB"/>
        </w:rPr>
        <w:t xml:space="preserve"> </w:t>
      </w:r>
      <w:r w:rsidR="00FD7EFB">
        <w:rPr>
          <w:sz w:val="24"/>
          <w:lang w:val="en-GB"/>
        </w:rPr>
        <w:t>including</w:t>
      </w:r>
      <w:r w:rsidR="00E2753C">
        <w:rPr>
          <w:sz w:val="24"/>
          <w:lang w:val="en-GB"/>
        </w:rPr>
        <w:t xml:space="preserve"> </w:t>
      </w:r>
      <w:r w:rsidR="00FD7EFB">
        <w:rPr>
          <w:sz w:val="24"/>
          <w:lang w:val="en-GB"/>
        </w:rPr>
        <w:t xml:space="preserve">targeted </w:t>
      </w:r>
      <w:r w:rsidR="00E2753C">
        <w:rPr>
          <w:sz w:val="24"/>
          <w:lang w:val="en-GB"/>
        </w:rPr>
        <w:t>concrete results and cost analysis,</w:t>
      </w:r>
      <w:r w:rsidRPr="000E2D58">
        <w:rPr>
          <w:sz w:val="24"/>
          <w:lang w:val="en-GB"/>
        </w:rPr>
        <w:t xml:space="preserve"> </w:t>
      </w:r>
      <w:r w:rsidR="00E2753C">
        <w:rPr>
          <w:sz w:val="24"/>
          <w:lang w:val="en-GB"/>
        </w:rPr>
        <w:t xml:space="preserve">and recommendations </w:t>
      </w:r>
      <w:r w:rsidRPr="000E2D58">
        <w:rPr>
          <w:sz w:val="24"/>
          <w:lang w:val="en-GB"/>
        </w:rPr>
        <w:t>by the respective sector Director</w:t>
      </w:r>
      <w:r w:rsidR="000E2D58" w:rsidRPr="000E2D58">
        <w:rPr>
          <w:sz w:val="24"/>
          <w:lang w:val="en-GB"/>
        </w:rPr>
        <w:t xml:space="preserve"> </w:t>
      </w:r>
      <w:r w:rsidR="00D92BBB">
        <w:rPr>
          <w:sz w:val="24"/>
          <w:lang w:val="en-GB"/>
        </w:rPr>
        <w:t>or General S</w:t>
      </w:r>
      <w:r w:rsidR="000E2D58" w:rsidRPr="000E2D58">
        <w:rPr>
          <w:sz w:val="24"/>
          <w:lang w:val="en-GB"/>
        </w:rPr>
        <w:t>ecretariat</w:t>
      </w:r>
      <w:r w:rsidR="005A75FD">
        <w:rPr>
          <w:sz w:val="24"/>
          <w:lang w:val="en-GB"/>
        </w:rPr>
        <w:t xml:space="preserve"> in case of horizontal ones</w:t>
      </w:r>
      <w:r w:rsidRPr="000E2D58">
        <w:rPr>
          <w:sz w:val="24"/>
          <w:lang w:val="en-GB"/>
        </w:rPr>
        <w:t xml:space="preserve">. </w:t>
      </w:r>
    </w:p>
    <w:p w:rsidR="00E2753C" w:rsidRPr="000E2D58" w:rsidRDefault="00E2753C" w:rsidP="00F73476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3 that a concise report is to be submitted to the Council upon the programme/project’s </w:t>
      </w:r>
      <w:r w:rsidRPr="00E2753C">
        <w:rPr>
          <w:sz w:val="24"/>
          <w:lang w:val="en-GB"/>
        </w:rPr>
        <w:t>completion</w:t>
      </w:r>
      <w:r>
        <w:rPr>
          <w:sz w:val="24"/>
          <w:lang w:val="en-GB"/>
        </w:rPr>
        <w:t>, including concrete results achieved and cost analysis</w:t>
      </w:r>
      <w:r w:rsidR="00811E0D">
        <w:rPr>
          <w:sz w:val="24"/>
          <w:lang w:val="en-GB"/>
        </w:rPr>
        <w:t>;</w:t>
      </w:r>
    </w:p>
    <w:p w:rsidR="00746069" w:rsidRPr="000E2D58" w:rsidRDefault="00746069" w:rsidP="00C75F9C">
      <w:pPr>
        <w:jc w:val="both"/>
        <w:rPr>
          <w:sz w:val="24"/>
          <w:lang w:val="en-GB"/>
        </w:rPr>
      </w:pPr>
    </w:p>
    <w:p w:rsidR="00746069" w:rsidRDefault="00746069" w:rsidP="00C75F9C">
      <w:pPr>
        <w:jc w:val="both"/>
        <w:rPr>
          <w:i/>
          <w:sz w:val="24"/>
          <w:lang w:val="en-GB"/>
        </w:rPr>
      </w:pPr>
      <w:r w:rsidRPr="000E2D58">
        <w:rPr>
          <w:i/>
          <w:sz w:val="24"/>
          <w:lang w:val="en-GB"/>
        </w:rPr>
        <w:t>instructs the Secretary-General and the Directors of the Bureaux</w:t>
      </w:r>
    </w:p>
    <w:p w:rsidR="00C976C0" w:rsidRPr="000E2D58" w:rsidRDefault="00C976C0" w:rsidP="00C75F9C">
      <w:pPr>
        <w:jc w:val="both"/>
        <w:rPr>
          <w:i/>
          <w:sz w:val="24"/>
          <w:lang w:val="en-GB"/>
        </w:rPr>
      </w:pPr>
    </w:p>
    <w:p w:rsidR="00746069" w:rsidRPr="000E2D58" w:rsidRDefault="00422A57" w:rsidP="00C75F9C">
      <w:p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 xml:space="preserve">1 </w:t>
      </w:r>
      <w:r w:rsidR="00746069" w:rsidRPr="000E2D58">
        <w:rPr>
          <w:sz w:val="24"/>
          <w:lang w:val="en-GB"/>
        </w:rPr>
        <w:t xml:space="preserve">to </w:t>
      </w:r>
      <w:r w:rsidR="009238B9">
        <w:rPr>
          <w:sz w:val="24"/>
          <w:lang w:val="en-GB"/>
        </w:rPr>
        <w:t>implement this decision to its full extent,</w:t>
      </w:r>
    </w:p>
    <w:p w:rsidR="00422A57" w:rsidRPr="000E2D58" w:rsidRDefault="00422A57" w:rsidP="00C75F9C">
      <w:p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>2 to review the existing programmes and projects and indicate those that do not meet the above mentioned criteria so the Council may decide</w:t>
      </w:r>
      <w:r w:rsidR="009238B9">
        <w:rPr>
          <w:sz w:val="24"/>
          <w:lang w:val="en-GB"/>
        </w:rPr>
        <w:t xml:space="preserve"> </w:t>
      </w:r>
      <w:r w:rsidR="000C1C0C">
        <w:rPr>
          <w:sz w:val="24"/>
          <w:lang w:val="en-GB"/>
        </w:rPr>
        <w:t>about their further status</w:t>
      </w:r>
      <w:r w:rsidR="00FD7EFB">
        <w:rPr>
          <w:sz w:val="24"/>
          <w:lang w:val="en-GB"/>
        </w:rPr>
        <w:t>,</w:t>
      </w:r>
    </w:p>
    <w:p w:rsidR="00422A57" w:rsidRPr="000E2D58" w:rsidRDefault="00422A57" w:rsidP="00C75F9C">
      <w:p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t xml:space="preserve">3 to </w:t>
      </w:r>
      <w:r w:rsidR="000C1C0C">
        <w:rPr>
          <w:sz w:val="24"/>
          <w:lang w:val="en-GB"/>
        </w:rPr>
        <w:t>publish information</w:t>
      </w:r>
      <w:r w:rsidR="00811E0D">
        <w:rPr>
          <w:sz w:val="24"/>
          <w:lang w:val="en-GB"/>
        </w:rPr>
        <w:t>,</w:t>
      </w:r>
      <w:r w:rsidR="000C1C0C">
        <w:rPr>
          <w:sz w:val="24"/>
          <w:lang w:val="en-GB"/>
        </w:rPr>
        <w:t xml:space="preserve"> </w:t>
      </w:r>
      <w:r w:rsidR="00811E0D">
        <w:rPr>
          <w:sz w:val="24"/>
          <w:lang w:val="en-GB"/>
        </w:rPr>
        <w:t xml:space="preserve">through an on-line database, </w:t>
      </w:r>
      <w:r w:rsidR="000C1C0C">
        <w:rPr>
          <w:sz w:val="24"/>
          <w:lang w:val="en-GB"/>
        </w:rPr>
        <w:t xml:space="preserve">on the programmes and projects throughout their cycles, including submission, </w:t>
      </w:r>
      <w:r w:rsidR="00D92BBB">
        <w:rPr>
          <w:sz w:val="24"/>
          <w:lang w:val="en-GB"/>
        </w:rPr>
        <w:t xml:space="preserve">evaluation </w:t>
      </w:r>
      <w:r w:rsidR="000C1C0C">
        <w:rPr>
          <w:sz w:val="24"/>
          <w:lang w:val="en-GB"/>
        </w:rPr>
        <w:t>and reporting</w:t>
      </w:r>
      <w:r w:rsidR="00811E0D">
        <w:rPr>
          <w:sz w:val="24"/>
          <w:lang w:val="en-GB"/>
        </w:rPr>
        <w:t>,</w:t>
      </w:r>
    </w:p>
    <w:p w:rsidR="00746069" w:rsidRPr="000E2D58" w:rsidRDefault="00746069" w:rsidP="00C75F9C">
      <w:pPr>
        <w:jc w:val="both"/>
        <w:rPr>
          <w:sz w:val="24"/>
          <w:lang w:val="en-GB"/>
        </w:rPr>
      </w:pPr>
    </w:p>
    <w:p w:rsidR="00422A57" w:rsidRDefault="000C1C0C" w:rsidP="00C75F9C">
      <w:pPr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>invites</w:t>
      </w:r>
      <w:r w:rsidRPr="000E2D58">
        <w:rPr>
          <w:i/>
          <w:sz w:val="24"/>
          <w:lang w:val="en-GB"/>
        </w:rPr>
        <w:t xml:space="preserve"> </w:t>
      </w:r>
      <w:r w:rsidR="00422A57" w:rsidRPr="000E2D58">
        <w:rPr>
          <w:i/>
          <w:sz w:val="24"/>
          <w:lang w:val="en-GB"/>
        </w:rPr>
        <w:t>the Council</w:t>
      </w:r>
    </w:p>
    <w:p w:rsidR="00C976C0" w:rsidRPr="000E2D58" w:rsidRDefault="00C976C0" w:rsidP="00C75F9C">
      <w:pPr>
        <w:jc w:val="both"/>
        <w:rPr>
          <w:i/>
          <w:sz w:val="24"/>
          <w:lang w:val="en-GB"/>
        </w:rPr>
      </w:pPr>
    </w:p>
    <w:p w:rsidR="00422A57" w:rsidRPr="000E2D58" w:rsidRDefault="00422A57" w:rsidP="00C75F9C">
      <w:pPr>
        <w:jc w:val="both"/>
        <w:rPr>
          <w:sz w:val="24"/>
          <w:lang w:val="en-GB"/>
        </w:rPr>
      </w:pPr>
      <w:r w:rsidRPr="000E2D58">
        <w:rPr>
          <w:sz w:val="24"/>
          <w:lang w:val="en-GB"/>
        </w:rPr>
        <w:lastRenderedPageBreak/>
        <w:t xml:space="preserve">to </w:t>
      </w:r>
      <w:r w:rsidR="000C1C0C">
        <w:rPr>
          <w:sz w:val="24"/>
          <w:lang w:val="en-GB"/>
        </w:rPr>
        <w:t xml:space="preserve">provide </w:t>
      </w:r>
      <w:r w:rsidRPr="000E2D58">
        <w:rPr>
          <w:sz w:val="24"/>
          <w:lang w:val="en-GB"/>
        </w:rPr>
        <w:t xml:space="preserve">the Directors of the Bureaux </w:t>
      </w:r>
      <w:r w:rsidR="00F058DC">
        <w:rPr>
          <w:sz w:val="24"/>
          <w:lang w:val="en-GB"/>
        </w:rPr>
        <w:t xml:space="preserve">and the General secretariat </w:t>
      </w:r>
      <w:r w:rsidR="000C1C0C">
        <w:rPr>
          <w:sz w:val="24"/>
          <w:lang w:val="en-GB"/>
        </w:rPr>
        <w:t>all necessary assistance to implement</w:t>
      </w:r>
      <w:r w:rsidR="000E2D58" w:rsidRPr="000E2D58">
        <w:rPr>
          <w:sz w:val="24"/>
          <w:lang w:val="en-GB"/>
        </w:rPr>
        <w:t xml:space="preserve"> this Decision</w:t>
      </w:r>
      <w:r w:rsidR="00811E0D">
        <w:rPr>
          <w:sz w:val="24"/>
          <w:lang w:val="en-GB"/>
        </w:rPr>
        <w:t>.</w:t>
      </w:r>
    </w:p>
    <w:sectPr w:rsidR="00422A57" w:rsidRPr="000E2D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69B4"/>
    <w:multiLevelType w:val="hybridMultilevel"/>
    <w:tmpl w:val="D13475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CD058E"/>
    <w:multiLevelType w:val="hybridMultilevel"/>
    <w:tmpl w:val="2ABE45C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41B63"/>
    <w:multiLevelType w:val="hybridMultilevel"/>
    <w:tmpl w:val="9C8C28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20"/>
    <w:rsid w:val="000C1C0C"/>
    <w:rsid w:val="000E2D58"/>
    <w:rsid w:val="00124781"/>
    <w:rsid w:val="00422A57"/>
    <w:rsid w:val="004B6343"/>
    <w:rsid w:val="005A75FD"/>
    <w:rsid w:val="006D7DEA"/>
    <w:rsid w:val="00746069"/>
    <w:rsid w:val="0077318A"/>
    <w:rsid w:val="0079718B"/>
    <w:rsid w:val="00811E0D"/>
    <w:rsid w:val="008F3B35"/>
    <w:rsid w:val="009238B9"/>
    <w:rsid w:val="00B3286D"/>
    <w:rsid w:val="00C75F9C"/>
    <w:rsid w:val="00C976C0"/>
    <w:rsid w:val="00CD4720"/>
    <w:rsid w:val="00D81FE0"/>
    <w:rsid w:val="00D92BBB"/>
    <w:rsid w:val="00E2753C"/>
    <w:rsid w:val="00E6674F"/>
    <w:rsid w:val="00E66C05"/>
    <w:rsid w:val="00F058DC"/>
    <w:rsid w:val="00F73476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59323-E63D-47D1-90AB-66FF6ACE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7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1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F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F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F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F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agwek"/>
    <w:rsid w:val="006D7DEA"/>
    <w:pPr>
      <w:overflowPunct/>
      <w:autoSpaceDE/>
      <w:autoSpaceDN/>
      <w:adjustRightInd/>
      <w:textAlignment w:val="auto"/>
    </w:pPr>
    <w:rPr>
      <w:rFonts w:ascii="Arial" w:hAnsi="Arial"/>
      <w:b/>
      <w:lang w:val="nb-NO" w:eastAsia="de-DE"/>
    </w:rPr>
  </w:style>
  <w:style w:type="paragraph" w:styleId="Tytu">
    <w:name w:val="Title"/>
    <w:basedOn w:val="Normalny"/>
    <w:link w:val="TytuZnak"/>
    <w:qFormat/>
    <w:rsid w:val="006D7DEA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  <w:lang w:val="de-DE" w:eastAsia="de-DE"/>
    </w:rPr>
  </w:style>
  <w:style w:type="character" w:customStyle="1" w:styleId="TytuZnak">
    <w:name w:val="Tytuł Znak"/>
    <w:basedOn w:val="Domylnaczcionkaakapitu"/>
    <w:link w:val="Tytu"/>
    <w:rsid w:val="006D7DEA"/>
    <w:rPr>
      <w:rFonts w:ascii="Arial" w:hAnsi="Arial"/>
      <w:b/>
      <w:sz w:val="28"/>
      <w:lang w:val="de-DE" w:eastAsia="de-DE"/>
    </w:rPr>
  </w:style>
  <w:style w:type="paragraph" w:styleId="Nagwek">
    <w:name w:val="header"/>
    <w:basedOn w:val="Normalny"/>
    <w:link w:val="NagwekZnak"/>
    <w:uiPriority w:val="99"/>
    <w:semiHidden/>
    <w:unhideWhenUsed/>
    <w:rsid w:val="006D7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952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8287426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průmyslu a obchodu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Vrbová Annelies</dc:creator>
  <cp:lastModifiedBy>Marcin Krasuski</cp:lastModifiedBy>
  <cp:revision>2</cp:revision>
  <dcterms:created xsi:type="dcterms:W3CDTF">2014-05-21T11:45:00Z</dcterms:created>
  <dcterms:modified xsi:type="dcterms:W3CDTF">2014-05-21T11:45:00Z</dcterms:modified>
</cp:coreProperties>
</file>