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72" w:type="dxa"/>
        <w:tblLayout w:type="fixed"/>
        <w:tblCellMar>
          <w:left w:w="70" w:type="dxa"/>
          <w:right w:w="70" w:type="dxa"/>
        </w:tblCellMar>
        <w:tblLook w:val="0000" w:firstRow="0" w:lastRow="0" w:firstColumn="0" w:lastColumn="0" w:noHBand="0" w:noVBand="0"/>
      </w:tblPr>
      <w:tblGrid>
        <w:gridCol w:w="1813"/>
        <w:gridCol w:w="2916"/>
        <w:gridCol w:w="5052"/>
      </w:tblGrid>
      <w:tr w:rsidR="00263FFB" w:rsidRPr="00A3755D" w:rsidTr="008B6BF6">
        <w:trPr>
          <w:trHeight w:val="1348"/>
        </w:trPr>
        <w:tc>
          <w:tcPr>
            <w:tcW w:w="4729" w:type="dxa"/>
            <w:gridSpan w:val="2"/>
            <w:tcBorders>
              <w:top w:val="nil"/>
              <w:left w:val="nil"/>
              <w:bottom w:val="nil"/>
              <w:right w:val="nil"/>
            </w:tcBorders>
            <w:vAlign w:val="center"/>
          </w:tcPr>
          <w:p w:rsidR="00263FFB" w:rsidRPr="00263FFB" w:rsidRDefault="00FF0E5A" w:rsidP="001B0583">
            <w:pPr>
              <w:pStyle w:val="ECCLetterHead"/>
            </w:pPr>
            <w:r w:rsidRPr="00FC4F6F">
              <w:rPr>
                <w:noProof/>
                <w:lang w:val="de-DE" w:eastAsia="de-DE"/>
              </w:rPr>
              <w:drawing>
                <wp:inline distT="0" distB="0" distL="0" distR="0" wp14:anchorId="778FCEF0" wp14:editId="6302C7C5">
                  <wp:extent cx="1623695" cy="826770"/>
                  <wp:effectExtent l="0" t="0" r="0" b="0"/>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3695" cy="826770"/>
                          </a:xfrm>
                          <a:prstGeom prst="rect">
                            <a:avLst/>
                          </a:prstGeom>
                          <a:noFill/>
                          <a:ln>
                            <a:noFill/>
                          </a:ln>
                        </pic:spPr>
                      </pic:pic>
                    </a:graphicData>
                  </a:graphic>
                </wp:inline>
              </w:drawing>
            </w:r>
            <w:r w:rsidR="001B0583">
              <w:t>CPG</w:t>
            </w:r>
          </w:p>
        </w:tc>
        <w:tc>
          <w:tcPr>
            <w:tcW w:w="5052" w:type="dxa"/>
            <w:tcBorders>
              <w:top w:val="nil"/>
              <w:left w:val="nil"/>
              <w:bottom w:val="nil"/>
              <w:right w:val="nil"/>
            </w:tcBorders>
          </w:tcPr>
          <w:p w:rsidR="00263FFB" w:rsidRPr="00263FFB" w:rsidRDefault="00263FFB" w:rsidP="0074595D">
            <w:pPr>
              <w:pStyle w:val="ECCLetterHead"/>
            </w:pPr>
            <w:r w:rsidRPr="00A3755D">
              <w:tab/>
              <w:t xml:space="preserve">Doc. </w:t>
            </w:r>
            <w:r w:rsidR="00BA68BE">
              <w:t>CPG</w:t>
            </w:r>
            <w:r w:rsidRPr="00263FFB">
              <w:t>(</w:t>
            </w:r>
            <w:r w:rsidR="002E0691">
              <w:t>19</w:t>
            </w:r>
            <w:r w:rsidRPr="00263FFB">
              <w:t>)</w:t>
            </w:r>
            <w:r w:rsidR="00911BD3">
              <w:t>137</w:t>
            </w:r>
          </w:p>
        </w:tc>
      </w:tr>
      <w:tr w:rsidR="00BA68BE" w:rsidRPr="00A3755D" w:rsidTr="00564DE1">
        <w:tblPrEx>
          <w:tblCellMar>
            <w:left w:w="108" w:type="dxa"/>
            <w:right w:w="108" w:type="dxa"/>
          </w:tblCellMar>
        </w:tblPrEx>
        <w:trPr>
          <w:trHeight w:val="405"/>
        </w:trPr>
        <w:tc>
          <w:tcPr>
            <w:tcW w:w="9781" w:type="dxa"/>
            <w:gridSpan w:val="3"/>
            <w:tcBorders>
              <w:top w:val="nil"/>
              <w:left w:val="nil"/>
              <w:bottom w:val="nil"/>
              <w:right w:val="nil"/>
            </w:tcBorders>
            <w:vAlign w:val="center"/>
          </w:tcPr>
          <w:p w:rsidR="00BA68BE" w:rsidRPr="00BA68BE" w:rsidRDefault="00BA68BE" w:rsidP="00165F06">
            <w:pPr>
              <w:pStyle w:val="ECCLetterHead"/>
            </w:pPr>
            <w:r w:rsidRPr="005627AB">
              <w:t>CPG19-</w:t>
            </w:r>
            <w:r w:rsidR="00165F06">
              <w:t>9</w:t>
            </w:r>
          </w:p>
        </w:tc>
      </w:tr>
      <w:tr w:rsidR="00BA68BE" w:rsidRPr="00A3755D" w:rsidTr="00564DE1">
        <w:tblPrEx>
          <w:tblCellMar>
            <w:left w:w="108" w:type="dxa"/>
            <w:right w:w="108" w:type="dxa"/>
          </w:tblCellMar>
        </w:tblPrEx>
        <w:trPr>
          <w:trHeight w:val="405"/>
        </w:trPr>
        <w:tc>
          <w:tcPr>
            <w:tcW w:w="9781" w:type="dxa"/>
            <w:gridSpan w:val="3"/>
            <w:tcBorders>
              <w:top w:val="nil"/>
              <w:left w:val="nil"/>
              <w:bottom w:val="nil"/>
              <w:right w:val="nil"/>
            </w:tcBorders>
            <w:vAlign w:val="center"/>
          </w:tcPr>
          <w:p w:rsidR="00BA68BE" w:rsidRPr="00BA68BE" w:rsidRDefault="00165F06" w:rsidP="00165F06">
            <w:pPr>
              <w:pStyle w:val="ECCLetterHead"/>
            </w:pPr>
            <w:r>
              <w:t>Ankara</w:t>
            </w:r>
            <w:r w:rsidR="00BA68BE" w:rsidRPr="00BA68BE">
              <w:t xml:space="preserve">, </w:t>
            </w:r>
            <w:r>
              <w:t>Turkey</w:t>
            </w:r>
            <w:r w:rsidR="00BA68BE" w:rsidRPr="00BA68BE">
              <w:t>, 2</w:t>
            </w:r>
            <w:r>
              <w:t>6</w:t>
            </w:r>
            <w:r w:rsidR="00BA68BE" w:rsidRPr="00BA68BE">
              <w:rPr>
                <w:vertAlign w:val="superscript"/>
              </w:rPr>
              <w:t>th</w:t>
            </w:r>
            <w:r w:rsidR="00BA68BE">
              <w:t xml:space="preserve"> </w:t>
            </w:r>
            <w:r w:rsidR="00BA68BE" w:rsidRPr="00BA68BE">
              <w:t xml:space="preserve">- </w:t>
            </w:r>
            <w:r>
              <w:t>30</w:t>
            </w:r>
            <w:r w:rsidR="00BA68BE" w:rsidRPr="00BA68BE">
              <w:rPr>
                <w:vertAlign w:val="superscript"/>
              </w:rPr>
              <w:t>th</w:t>
            </w:r>
            <w:r w:rsidR="00BA68BE">
              <w:t xml:space="preserve"> </w:t>
            </w:r>
            <w:r>
              <w:t>August</w:t>
            </w:r>
            <w:r w:rsidR="00BA68BE" w:rsidRPr="00BA68BE">
              <w:t xml:space="preserve"> 201</w:t>
            </w:r>
            <w:r w:rsidR="00B36FA6">
              <w:t>9</w:t>
            </w:r>
          </w:p>
        </w:tc>
      </w:tr>
      <w:tr w:rsidR="00263FFB" w:rsidRPr="00A3755D" w:rsidTr="00564DE1">
        <w:tblPrEx>
          <w:tblCellMar>
            <w:left w:w="108" w:type="dxa"/>
            <w:right w:w="108" w:type="dxa"/>
          </w:tblCellMar>
        </w:tblPrEx>
        <w:trPr>
          <w:trHeight w:hRule="exact" w:val="79"/>
        </w:trPr>
        <w:tc>
          <w:tcPr>
            <w:tcW w:w="4729" w:type="dxa"/>
            <w:gridSpan w:val="2"/>
            <w:tcBorders>
              <w:top w:val="nil"/>
              <w:left w:val="nil"/>
              <w:bottom w:val="nil"/>
              <w:right w:val="nil"/>
            </w:tcBorders>
            <w:vAlign w:val="center"/>
          </w:tcPr>
          <w:p w:rsidR="00263FFB" w:rsidRPr="00A3755D" w:rsidRDefault="00263FFB" w:rsidP="00263FFB">
            <w:pPr>
              <w:pStyle w:val="ECCLetterHead"/>
            </w:pPr>
          </w:p>
        </w:tc>
        <w:tc>
          <w:tcPr>
            <w:tcW w:w="5052" w:type="dxa"/>
            <w:tcBorders>
              <w:top w:val="nil"/>
              <w:left w:val="nil"/>
              <w:bottom w:val="nil"/>
              <w:right w:val="nil"/>
            </w:tcBorders>
            <w:vAlign w:val="center"/>
          </w:tcPr>
          <w:p w:rsidR="00263FFB" w:rsidRPr="00A3755D" w:rsidRDefault="00263FFB" w:rsidP="00263FFB">
            <w:pPr>
              <w:pStyle w:val="ECCLetterHead"/>
            </w:pPr>
          </w:p>
        </w:tc>
      </w:tr>
      <w:tr w:rsidR="00263FFB" w:rsidRPr="00A3755D" w:rsidTr="00564DE1">
        <w:tblPrEx>
          <w:tblCellMar>
            <w:left w:w="108" w:type="dxa"/>
            <w:right w:w="108" w:type="dxa"/>
          </w:tblCellMar>
        </w:tblPrEx>
        <w:trPr>
          <w:trHeight w:val="405"/>
        </w:trPr>
        <w:tc>
          <w:tcPr>
            <w:tcW w:w="1813" w:type="dxa"/>
            <w:tcBorders>
              <w:top w:val="nil"/>
              <w:left w:val="nil"/>
              <w:bottom w:val="nil"/>
              <w:right w:val="nil"/>
            </w:tcBorders>
            <w:vAlign w:val="center"/>
          </w:tcPr>
          <w:p w:rsidR="00263FFB" w:rsidRPr="00263FFB" w:rsidRDefault="00263FFB" w:rsidP="00263FFB">
            <w:pPr>
              <w:pStyle w:val="ECCLetterHead"/>
            </w:pPr>
            <w:r w:rsidRPr="00A3755D">
              <w:t xml:space="preserve">Date issued: </w:t>
            </w:r>
          </w:p>
        </w:tc>
        <w:tc>
          <w:tcPr>
            <w:tcW w:w="7968" w:type="dxa"/>
            <w:gridSpan w:val="2"/>
            <w:tcBorders>
              <w:top w:val="nil"/>
              <w:left w:val="nil"/>
              <w:bottom w:val="nil"/>
              <w:right w:val="nil"/>
            </w:tcBorders>
            <w:vAlign w:val="center"/>
          </w:tcPr>
          <w:p w:rsidR="00263FFB" w:rsidRPr="00263FFB" w:rsidRDefault="007F00C0" w:rsidP="00165F06">
            <w:pPr>
              <w:pStyle w:val="ECCLetterHead"/>
            </w:pPr>
            <w:r>
              <w:t>21</w:t>
            </w:r>
            <w:r w:rsidRPr="007F00C0">
              <w:rPr>
                <w:vertAlign w:val="superscript"/>
              </w:rPr>
              <w:t>st</w:t>
            </w:r>
            <w:r>
              <w:t xml:space="preserve"> </w:t>
            </w:r>
            <w:r w:rsidR="0074595D">
              <w:t>August</w:t>
            </w:r>
            <w:r w:rsidR="00564DE1">
              <w:t xml:space="preserve"> 201</w:t>
            </w:r>
            <w:r w:rsidR="00165F06">
              <w:t>9</w:t>
            </w:r>
          </w:p>
        </w:tc>
      </w:tr>
      <w:tr w:rsidR="00263FFB" w:rsidRPr="00A3755D" w:rsidTr="00564DE1">
        <w:tblPrEx>
          <w:tblCellMar>
            <w:left w:w="108" w:type="dxa"/>
            <w:right w:w="108" w:type="dxa"/>
          </w:tblCellMar>
        </w:tblPrEx>
        <w:trPr>
          <w:trHeight w:val="405"/>
        </w:trPr>
        <w:tc>
          <w:tcPr>
            <w:tcW w:w="1813" w:type="dxa"/>
            <w:tcBorders>
              <w:top w:val="nil"/>
              <w:left w:val="nil"/>
              <w:bottom w:val="nil"/>
              <w:right w:val="nil"/>
            </w:tcBorders>
            <w:vAlign w:val="center"/>
          </w:tcPr>
          <w:p w:rsidR="00263FFB" w:rsidRPr="00263FFB" w:rsidRDefault="00263FFB" w:rsidP="00263FFB">
            <w:pPr>
              <w:pStyle w:val="ECCLetterHead"/>
            </w:pPr>
            <w:r w:rsidRPr="00A3755D">
              <w:t xml:space="preserve">Source: </w:t>
            </w:r>
          </w:p>
        </w:tc>
        <w:tc>
          <w:tcPr>
            <w:tcW w:w="7968" w:type="dxa"/>
            <w:gridSpan w:val="2"/>
            <w:tcBorders>
              <w:top w:val="nil"/>
              <w:left w:val="nil"/>
              <w:bottom w:val="nil"/>
              <w:right w:val="nil"/>
            </w:tcBorders>
            <w:vAlign w:val="center"/>
          </w:tcPr>
          <w:p w:rsidR="00263FFB" w:rsidRPr="00263FFB" w:rsidRDefault="0004376B" w:rsidP="00263FFB">
            <w:pPr>
              <w:pStyle w:val="ECCLetterHead"/>
            </w:pPr>
            <w:r>
              <w:t>France</w:t>
            </w:r>
          </w:p>
        </w:tc>
      </w:tr>
      <w:tr w:rsidR="00263FFB" w:rsidRPr="00A3755D" w:rsidTr="00564DE1">
        <w:tblPrEx>
          <w:tblCellMar>
            <w:left w:w="108" w:type="dxa"/>
            <w:right w:w="108" w:type="dxa"/>
          </w:tblCellMar>
        </w:tblPrEx>
        <w:trPr>
          <w:trHeight w:val="405"/>
        </w:trPr>
        <w:tc>
          <w:tcPr>
            <w:tcW w:w="1813" w:type="dxa"/>
            <w:tcBorders>
              <w:top w:val="nil"/>
              <w:left w:val="nil"/>
              <w:bottom w:val="nil"/>
              <w:right w:val="nil"/>
            </w:tcBorders>
            <w:vAlign w:val="center"/>
          </w:tcPr>
          <w:p w:rsidR="00263FFB" w:rsidRPr="00263FFB" w:rsidRDefault="00263FFB" w:rsidP="00263FFB">
            <w:pPr>
              <w:pStyle w:val="ECCLetterHead"/>
            </w:pPr>
            <w:r w:rsidRPr="00A3755D">
              <w:t xml:space="preserve">Subject: </w:t>
            </w:r>
          </w:p>
        </w:tc>
        <w:tc>
          <w:tcPr>
            <w:tcW w:w="7968" w:type="dxa"/>
            <w:gridSpan w:val="2"/>
            <w:tcBorders>
              <w:top w:val="nil"/>
              <w:left w:val="nil"/>
              <w:bottom w:val="nil"/>
              <w:right w:val="nil"/>
            </w:tcBorders>
            <w:vAlign w:val="center"/>
          </w:tcPr>
          <w:p w:rsidR="00263FFB" w:rsidRPr="00263FFB" w:rsidRDefault="0074595D" w:rsidP="007F00C0">
            <w:pPr>
              <w:pStyle w:val="ECCLetterHead"/>
            </w:pPr>
            <w:r>
              <w:t xml:space="preserve">AI10: </w:t>
            </w:r>
            <w:r w:rsidR="007F00C0">
              <w:t xml:space="preserve">information on </w:t>
            </w:r>
            <w:r w:rsidR="00EF41CB">
              <w:t xml:space="preserve">the </w:t>
            </w:r>
            <w:r w:rsidR="007F00C0">
              <w:t xml:space="preserve">proposal relating to </w:t>
            </w:r>
            <w:r w:rsidR="007F00C0" w:rsidRPr="007F00C0">
              <w:t>new non-safety aeronautical mobile applications</w:t>
            </w:r>
          </w:p>
        </w:tc>
      </w:tr>
      <w:tr w:rsidR="00263FFB" w:rsidRPr="00A3755D" w:rsidTr="00564DE1">
        <w:tblPrEx>
          <w:tblCellMar>
            <w:left w:w="108" w:type="dxa"/>
            <w:right w:w="108" w:type="dxa"/>
          </w:tblCellMar>
        </w:tblPrEx>
        <w:trPr>
          <w:trHeight w:val="1040"/>
        </w:trPr>
        <w:tc>
          <w:tcPr>
            <w:tcW w:w="9781" w:type="dxa"/>
            <w:gridSpan w:val="3"/>
            <w:tcBorders>
              <w:top w:val="nil"/>
              <w:left w:val="nil"/>
              <w:bottom w:val="nil"/>
              <w:right w:val="nil"/>
            </w:tcBorders>
            <w:vAlign w:val="center"/>
          </w:tcPr>
          <w:p w:rsidR="00263FFB" w:rsidRPr="00263FFB" w:rsidRDefault="00263FFB" w:rsidP="00263FFB">
            <w:pPr>
              <w:pStyle w:val="ECCTabletext"/>
            </w:pPr>
            <w:r w:rsidRPr="00263FFB">
              <w:rPr>
                <w:noProof/>
                <w:lang w:val="de-DE" w:eastAsia="de-DE"/>
              </w:rPr>
              <mc:AlternateContent>
                <mc:Choice Requires="wps">
                  <w:drawing>
                    <wp:anchor distT="0" distB="0" distL="114300" distR="114300" simplePos="0" relativeHeight="251658240" behindDoc="1" locked="0" layoutInCell="0" allowOverlap="1" wp14:anchorId="7CB6B0B2" wp14:editId="07A59E98">
                      <wp:simplePos x="0" y="0"/>
                      <wp:positionH relativeFrom="column">
                        <wp:posOffset>2585085</wp:posOffset>
                      </wp:positionH>
                      <wp:positionV relativeFrom="paragraph">
                        <wp:posOffset>175895</wp:posOffset>
                      </wp:positionV>
                      <wp:extent cx="457200" cy="269875"/>
                      <wp:effectExtent l="0" t="0" r="19050" b="15875"/>
                      <wp:wrapTight wrapText="bothSides">
                        <wp:wrapPolygon edited="0">
                          <wp:start x="0" y="0"/>
                          <wp:lineTo x="0" y="21346"/>
                          <wp:lineTo x="21600" y="21346"/>
                          <wp:lineTo x="21600" y="0"/>
                          <wp:lineTo x="0" y="0"/>
                        </wp:wrapPolygon>
                      </wp:wrapTight>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rsidR="00263FFB" w:rsidRPr="00F45561" w:rsidRDefault="00F45561" w:rsidP="00F45561">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6B0B2" id="_x0000_t202" coordsize="21600,21600" o:spt="202" path="m,l,21600r21600,l21600,xe">
                      <v:stroke joinstyle="miter"/>
                      <v:path gradientshapeok="t" o:connecttype="rect"/>
                    </v:shapetype>
                    <v:shape id="Textfeld 24" o:spid="_x0000_s1026" type="#_x0000_t202" style="position:absolute;left:0;text-align:left;margin-left:203.55pt;margin-top:13.85pt;width:36pt;height:2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r9MQIAAFMEAAAOAAAAZHJzL2Uyb0RvYy54bWysVNuO2yAQfa/Uf0C8N068STZrxVlts01V&#10;aXuRdvsBGGMbFTN0ILHTr+8YJ+n29lLVD4iB4XDmnMHr27417KDQa7A5n02mnCkrodS2zvnnp92r&#10;FWc+CFsKA1bl/Kg8v928fLHuXKZSaMCUChmBWJ91LudNCC5LEi8b1Qo/AacsbVaArQgUYp2UKDpC&#10;b02STqfLpAMsHYJU3tPq/bjJNxG/qpQMH6vKq8BMzolbiCPGsRjGZLMWWY3CNVqeaIh/YNEKbenS&#10;C9S9CILtUf8G1WqJ4KEKEwltAlWlpYo1UDWz6S/VPDbCqVgLiePdRSb//2Dlh8MnZLrMeTrnzIqW&#10;PHpSfaiUKRktkT6d8xmlPTpKDP1r6MnnWKt3DyC/eGZh2whbqztE6BolSuI3G04mz46OOH4AKbr3&#10;UNI9Yh8gAvUVtoN4JAcjdPLpePGGuDBJi/PFNfnNmaStdHmzul7EG0R2PuzQh7cKWjZMco5kfQQX&#10;hwcfBjIiO6cMd3kwutxpY2KAdbE1yA6C2mQXvxP6T2nGsi7nN4t0Mdb/V4hp/P4E0epA/W50m/PV&#10;JUlkg2pvbBm7MQhtxjlRNvYk46DcqGHoi/5kSwHlkQRFGPua3iFNGsBvnHXU0zn3X/cCFWfmnSVT&#10;5ldRwhCDdEUEOMMYXC2JDGdFDAahKRBWElTOZcBzsA3j09k71HVDd42NYOGOrKx0lHnwfOR1Yk6d&#10;G9U/vbLhaTyPY9aPf8HmOwAAAP//AwBQSwMEFAAGAAgAAAAhAG4lytDhAAAACQEAAA8AAABkcnMv&#10;ZG93bnJldi54bWxMj01PwkAQhu8m/ofNmHghstuGUCidEiUx8WIU5OBx6Q7dhv1ougvUf+96kuPM&#10;PHnneav1aA270BA67xCyqQBGrvGqcy3C/uv1aQEsROmUNN4Rwg8FWNf3d5Uslb+6LV12sWUpxIVS&#10;IugY+5Lz0GiyMkx9Ty7djn6wMqZxaLka5DWFW8NzIebcys6lD1r2tNHUnHZniyDfJ9959vHWnOab&#10;T7NcTPT+xWwRHx/G5xWwSGP8h+FPP6lDnZwO/uxUYAZhJoosoQh5UQBLwKxYpsUBoRA58Lritw3q&#10;XwAAAP//AwBQSwECLQAUAAYACAAAACEAtoM4kv4AAADhAQAAEwAAAAAAAAAAAAAAAAAAAAAAW0Nv&#10;bnRlbnRfVHlwZXNdLnhtbFBLAQItABQABgAIAAAAIQA4/SH/1gAAAJQBAAALAAAAAAAAAAAAAAAA&#10;AC8BAABfcmVscy8ucmVsc1BLAQItABQABgAIAAAAIQBjzmr9MQIAAFMEAAAOAAAAAAAAAAAAAAAA&#10;AC4CAABkcnMvZTJvRG9jLnhtbFBLAQItABQABgAIAAAAIQBuJcrQ4QAAAAkBAAAPAAAAAAAAAAAA&#10;AAAAAIsEAABkcnMvZG93bnJldi54bWxQSwUGAAAAAAQABADzAAAAmQUAAAAA&#10;" o:allowincell="f">
                      <v:textbox inset="1.2mm,.8mm,1mm,2mm">
                        <w:txbxContent>
                          <w:p w:rsidR="00263FFB" w:rsidRPr="00F45561" w:rsidRDefault="00F45561" w:rsidP="00F45561">
                            <w:pPr>
                              <w:pStyle w:val="ECCTabletext"/>
                              <w:jc w:val="center"/>
                              <w:rPr>
                                <w:lang w:val="de-DE"/>
                              </w:rPr>
                            </w:pPr>
                            <w:r>
                              <w:rPr>
                                <w:lang w:val="de-DE"/>
                              </w:rPr>
                              <w:t>N</w:t>
                            </w:r>
                          </w:p>
                        </w:txbxContent>
                      </v:textbox>
                      <w10:wrap type="tight"/>
                    </v:shape>
                  </w:pict>
                </mc:Fallback>
              </mc:AlternateContent>
            </w:r>
            <w:r w:rsidRPr="00263FFB">
              <w:t>Group membership required to read? (Y/N)</w:t>
            </w:r>
          </w:p>
        </w:tc>
      </w:tr>
      <w:tr w:rsidR="00263FFB" w:rsidRPr="00A3755D" w:rsidTr="00564DE1">
        <w:tblPrEx>
          <w:tblCellMar>
            <w:left w:w="108" w:type="dxa"/>
            <w:right w:w="108" w:type="dxa"/>
          </w:tblCellMar>
        </w:tblPrEx>
        <w:trPr>
          <w:trHeight w:hRule="exact" w:val="74"/>
        </w:trPr>
        <w:tc>
          <w:tcPr>
            <w:tcW w:w="9781" w:type="dxa"/>
            <w:gridSpan w:val="3"/>
            <w:tcBorders>
              <w:top w:val="nil"/>
              <w:left w:val="nil"/>
              <w:bottom w:val="nil"/>
              <w:right w:val="nil"/>
            </w:tcBorders>
            <w:vAlign w:val="center"/>
          </w:tcPr>
          <w:p w:rsidR="00263FFB" w:rsidRPr="00F32DEC" w:rsidRDefault="00263FFB" w:rsidP="00263FFB">
            <w:pPr>
              <w:rPr>
                <w:rStyle w:val="ECCParagraph"/>
              </w:rPr>
            </w:pPr>
          </w:p>
          <w:p w:rsidR="00263FFB" w:rsidRPr="00A3755D" w:rsidRDefault="00263FFB" w:rsidP="00263FFB"/>
        </w:tc>
      </w:tr>
      <w:tr w:rsidR="00263FFB" w:rsidRPr="00A3755D" w:rsidTr="00564D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6"/>
        </w:trPr>
        <w:tc>
          <w:tcPr>
            <w:tcW w:w="9781" w:type="dxa"/>
            <w:gridSpan w:val="3"/>
            <w:tcBorders>
              <w:top w:val="single" w:sz="6" w:space="0" w:color="C00000"/>
              <w:left w:val="single" w:sz="6" w:space="0" w:color="C00000"/>
              <w:bottom w:val="nil"/>
              <w:right w:val="single" w:sz="6" w:space="0" w:color="C00000"/>
            </w:tcBorders>
            <w:vAlign w:val="center"/>
          </w:tcPr>
          <w:p w:rsidR="00263FFB" w:rsidRPr="00263FFB" w:rsidRDefault="00263FFB" w:rsidP="00263FFB">
            <w:pPr>
              <w:pStyle w:val="ECCLetterHead"/>
            </w:pPr>
            <w:r w:rsidRPr="00A3755D">
              <w:t xml:space="preserve">Summary: </w:t>
            </w:r>
          </w:p>
        </w:tc>
      </w:tr>
      <w:tr w:rsidR="00263FFB" w:rsidRPr="00A3755D" w:rsidTr="00911B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72"/>
        </w:trPr>
        <w:tc>
          <w:tcPr>
            <w:tcW w:w="9781" w:type="dxa"/>
            <w:gridSpan w:val="3"/>
            <w:tcBorders>
              <w:top w:val="nil"/>
              <w:left w:val="single" w:sz="6" w:space="0" w:color="C00000"/>
              <w:bottom w:val="single" w:sz="6" w:space="0" w:color="C00000"/>
              <w:right w:val="single" w:sz="6" w:space="0" w:color="C00000"/>
            </w:tcBorders>
          </w:tcPr>
          <w:p w:rsidR="007F00C0" w:rsidRPr="007F00C0" w:rsidRDefault="007F00C0" w:rsidP="007F00C0">
            <w:pPr>
              <w:pStyle w:val="ECCTabletext"/>
            </w:pPr>
            <w:r w:rsidRPr="007F00C0">
              <w:t>The document in annex prov</w:t>
            </w:r>
            <w:r w:rsidR="000B0CB7">
              <w:t>ides further information relating</w:t>
            </w:r>
            <w:r w:rsidRPr="007F00C0">
              <w:t xml:space="preserve"> to the proposal for a WRC-23 agenda item on new non-safety aeronautical mobile applications.</w:t>
            </w:r>
          </w:p>
          <w:p w:rsidR="00263FFB" w:rsidRPr="008B6BF6" w:rsidRDefault="007F00C0" w:rsidP="007F00C0">
            <w:pPr>
              <w:pStyle w:val="ECCTabletext"/>
            </w:pPr>
            <w:r w:rsidRPr="007F00C0">
              <w:t>In particular, it addresses comments received from IARU i</w:t>
            </w:r>
            <w:r w:rsidR="000B0CB7">
              <w:t xml:space="preserve">n document </w:t>
            </w:r>
            <w:r w:rsidR="000B0CB7" w:rsidRPr="000B0CB7">
              <w:rPr>
                <w:rStyle w:val="ECCHLbold"/>
              </w:rPr>
              <w:t>CPG(19)115</w:t>
            </w:r>
            <w:r w:rsidR="000B0CB7">
              <w:t xml:space="preserve"> concerning</w:t>
            </w:r>
            <w:r w:rsidRPr="007F00C0">
              <w:t xml:space="preserve"> the</w:t>
            </w:r>
            <w:r w:rsidR="000B0CB7">
              <w:t xml:space="preserve"> frequency</w:t>
            </w:r>
            <w:r w:rsidRPr="007F00C0">
              <w:t xml:space="preserve"> band 144-146 MHz.</w:t>
            </w:r>
          </w:p>
        </w:tc>
      </w:tr>
      <w:tr w:rsidR="00263FFB" w:rsidRPr="00A3755D" w:rsidTr="00564D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3"/>
        </w:trPr>
        <w:tc>
          <w:tcPr>
            <w:tcW w:w="9781" w:type="dxa"/>
            <w:gridSpan w:val="3"/>
            <w:tcBorders>
              <w:top w:val="single" w:sz="6" w:space="0" w:color="C00000"/>
              <w:left w:val="single" w:sz="6" w:space="0" w:color="C00000"/>
              <w:bottom w:val="nil"/>
              <w:right w:val="single" w:sz="6" w:space="0" w:color="C00000"/>
            </w:tcBorders>
            <w:vAlign w:val="center"/>
          </w:tcPr>
          <w:p w:rsidR="00263FFB" w:rsidRPr="00263FFB" w:rsidRDefault="00263FFB" w:rsidP="00263FFB">
            <w:pPr>
              <w:pStyle w:val="ECCLetterHead"/>
            </w:pPr>
            <w:r w:rsidRPr="00A3755D">
              <w:t>Proposal:</w:t>
            </w:r>
          </w:p>
        </w:tc>
      </w:tr>
      <w:tr w:rsidR="00263FFB" w:rsidRPr="00A3755D" w:rsidTr="00911B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79"/>
        </w:trPr>
        <w:tc>
          <w:tcPr>
            <w:tcW w:w="9781" w:type="dxa"/>
            <w:gridSpan w:val="3"/>
            <w:tcBorders>
              <w:top w:val="nil"/>
              <w:left w:val="single" w:sz="6" w:space="0" w:color="C00000"/>
              <w:bottom w:val="single" w:sz="6" w:space="0" w:color="C00000"/>
              <w:right w:val="single" w:sz="6" w:space="0" w:color="C00000"/>
            </w:tcBorders>
          </w:tcPr>
          <w:p w:rsidR="007F00C0" w:rsidRPr="007F00C0" w:rsidRDefault="007F00C0" w:rsidP="007F00C0">
            <w:pPr>
              <w:pStyle w:val="ECCTabletext"/>
            </w:pPr>
            <w:r w:rsidRPr="007F00C0">
              <w:t xml:space="preserve">to CPG19-9 to </w:t>
            </w:r>
            <w:bookmarkStart w:id="0" w:name="_GoBack"/>
            <w:bookmarkEnd w:id="0"/>
          </w:p>
          <w:p w:rsidR="007F00C0" w:rsidRPr="007F00C0" w:rsidRDefault="007F00C0" w:rsidP="00911BD3">
            <w:pPr>
              <w:pStyle w:val="ECCBulletsLv2"/>
            </w:pPr>
            <w:r w:rsidRPr="007F00C0">
              <w:t>consider the information in annex</w:t>
            </w:r>
          </w:p>
          <w:p w:rsidR="00263FFB" w:rsidRPr="00263FFB" w:rsidRDefault="007F00C0" w:rsidP="00911BD3">
            <w:pPr>
              <w:pStyle w:val="ECCBulletsLv2"/>
            </w:pPr>
            <w:r w:rsidRPr="007F00C0">
              <w:t xml:space="preserve">adopt the ECP </w:t>
            </w:r>
            <w:r w:rsidR="000B0CB7">
              <w:t>on</w:t>
            </w:r>
            <w:r w:rsidRPr="007F00C0">
              <w:t xml:space="preserve"> AI10 with no change for </w:t>
            </w:r>
            <w:r w:rsidR="000B0CB7">
              <w:t xml:space="preserve">the </w:t>
            </w:r>
            <w:r w:rsidR="000B0CB7" w:rsidRPr="000B0CB7">
              <w:t>proposal relating to new non-safety aeronautical mobile applications.</w:t>
            </w:r>
          </w:p>
        </w:tc>
      </w:tr>
      <w:tr w:rsidR="00263FFB" w:rsidRPr="00A3755D" w:rsidTr="00564D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3"/>
        </w:trPr>
        <w:tc>
          <w:tcPr>
            <w:tcW w:w="9781" w:type="dxa"/>
            <w:gridSpan w:val="3"/>
            <w:tcBorders>
              <w:top w:val="single" w:sz="6" w:space="0" w:color="C00000"/>
              <w:left w:val="single" w:sz="6" w:space="0" w:color="C00000"/>
              <w:bottom w:val="nil"/>
              <w:right w:val="single" w:sz="6" w:space="0" w:color="C00000"/>
            </w:tcBorders>
            <w:vAlign w:val="center"/>
          </w:tcPr>
          <w:p w:rsidR="00263FFB" w:rsidRPr="00263FFB" w:rsidRDefault="00263FFB" w:rsidP="00263FFB">
            <w:pPr>
              <w:pStyle w:val="ECCLetterHead"/>
            </w:pPr>
            <w:r w:rsidRPr="00A3755D">
              <w:t>Background:</w:t>
            </w:r>
          </w:p>
        </w:tc>
      </w:tr>
      <w:tr w:rsidR="00263FFB" w:rsidRPr="00A3755D" w:rsidTr="000B0C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2"/>
        </w:trPr>
        <w:tc>
          <w:tcPr>
            <w:tcW w:w="9781" w:type="dxa"/>
            <w:gridSpan w:val="3"/>
            <w:tcBorders>
              <w:top w:val="nil"/>
              <w:left w:val="single" w:sz="6" w:space="0" w:color="C00000"/>
              <w:bottom w:val="single" w:sz="6" w:space="0" w:color="C00000"/>
              <w:right w:val="single" w:sz="6" w:space="0" w:color="C00000"/>
            </w:tcBorders>
          </w:tcPr>
          <w:p w:rsidR="00A44310" w:rsidRPr="00263FFB" w:rsidRDefault="007F00C0" w:rsidP="0074595D">
            <w:pPr>
              <w:pStyle w:val="ECCTabletext"/>
            </w:pPr>
            <w:r w:rsidRPr="007F00C0">
              <w:t>The PTA-7 meeting developed successfully a draft ECP package and a draft CEPT brief that will be considered for adoption at the CPG19-9.</w:t>
            </w:r>
          </w:p>
        </w:tc>
      </w:tr>
    </w:tbl>
    <w:p w:rsidR="007F00C0" w:rsidRDefault="007F00C0" w:rsidP="007F00C0"/>
    <w:p w:rsidR="000B0CB7" w:rsidRDefault="000B0CB7">
      <w:r>
        <w:br w:type="page"/>
      </w:r>
    </w:p>
    <w:p w:rsidR="007F00C0" w:rsidRDefault="007F00C0" w:rsidP="00911BD3">
      <w:pPr>
        <w:pStyle w:val="ECCHeadingnonumbering"/>
      </w:pPr>
      <w:r w:rsidRPr="005A3414">
        <w:lastRenderedPageBreak/>
        <w:t>ANNEX:</w:t>
      </w:r>
    </w:p>
    <w:p w:rsidR="007F00C0" w:rsidRDefault="000B0CB7" w:rsidP="007F00C0">
      <w:r>
        <w:t xml:space="preserve">The </w:t>
      </w:r>
      <w:r w:rsidR="007F00C0" w:rsidRPr="00A17FF5">
        <w:t xml:space="preserve">draft resolution </w:t>
      </w:r>
      <w:r>
        <w:t xml:space="preserve">[EUR-C10-3] relating to </w:t>
      </w:r>
      <w:r w:rsidRPr="000B0CB7">
        <w:t>new non-safety aeronautical mobile applications</w:t>
      </w:r>
      <w:r w:rsidRPr="00A17FF5">
        <w:t xml:space="preserve"> </w:t>
      </w:r>
      <w:r w:rsidR="007F00C0" w:rsidRPr="00A17FF5">
        <w:t>was the subject of constructive debates during the last CPG</w:t>
      </w:r>
      <w:r w:rsidR="007F00C0">
        <w:t>-</w:t>
      </w:r>
      <w:r>
        <w:t xml:space="preserve">PTA meeting </w:t>
      </w:r>
      <w:r w:rsidR="007F00C0" w:rsidRPr="00A17FF5">
        <w:t>involving European administrations, representatives of the industry, and several user communities, including radio amateurs (IARU). Consequently, the text of the draft Resolution has been improved and has taken into account some reservations expressed by IARU. In particular, the draft resolution no longer seek</w:t>
      </w:r>
      <w:r>
        <w:t>s</w:t>
      </w:r>
      <w:r w:rsidR="007F00C0" w:rsidRPr="00A17FF5">
        <w:t xml:space="preserve"> only for a primary allocation to the "aeronautical mobile" service in the 144-146 MHz band.</w:t>
      </w:r>
    </w:p>
    <w:p w:rsidR="007F00C0" w:rsidRPr="00911BD3" w:rsidRDefault="000B0CB7" w:rsidP="00911BD3">
      <w:pPr>
        <w:pStyle w:val="ECCHeadingnonumbering"/>
        <w:rPr>
          <w:rStyle w:val="ECCHLbold"/>
          <w:b/>
          <w:bCs/>
        </w:rPr>
      </w:pPr>
      <w:r w:rsidRPr="00911BD3">
        <w:rPr>
          <w:rStyle w:val="ECCHLbold"/>
          <w:b/>
          <w:bCs/>
        </w:rPr>
        <w:t>Annex 1 of Doc. CPG(19)115</w:t>
      </w:r>
      <w:r w:rsidR="007F00C0" w:rsidRPr="00911BD3">
        <w:rPr>
          <w:rStyle w:val="ECCHLbold"/>
          <w:b/>
          <w:bCs/>
        </w:rPr>
        <w:t>:</w:t>
      </w:r>
    </w:p>
    <w:p w:rsidR="007F00C0" w:rsidRDefault="007F00C0" w:rsidP="007F00C0">
      <w:r w:rsidRPr="007F00C0">
        <w:t>The two VHF frequency bands that are considered by the WRC-23 agenda item (144-146 MHz and 162-174 MHz) are both close to the band 138-144 MHz which is currently allocated to the AERONAUTICAL MOBILE (OR). The objective will be to extend the frequency range that the new aeronautical systems will have access to. Until the studies are finalized, it is premature to make hypothesis on the amount of spectrum that will be finally open to sharing among these two bands. The necessary constraints to protect the incumbent services that may be nation dependant are not known. In consequence, at this stage, both bands should be retained.</w:t>
      </w:r>
    </w:p>
    <w:p w:rsidR="007F00C0" w:rsidRDefault="007F00C0" w:rsidP="007F00C0">
      <w:r w:rsidRPr="005A3414">
        <w:t>France recognizes the wide range of</w:t>
      </w:r>
      <w:r w:rsidRPr="007F00C0">
        <w:t xml:space="preserve"> amateur applications hosted by the 144-146 MHz band. The band will remain available for all these applications after WRC-23. However a clear vision of the band segmentation per application and associated occupancy rates will be necessary</w:t>
      </w:r>
      <w:r w:rsidR="000305D2">
        <w:t xml:space="preserve"> </w:t>
      </w:r>
      <w:r w:rsidRPr="007F00C0">
        <w:t>for the sharing and compatibility studies carried on during the WRC-23 preparation cycle. Such studies are essential for assessing the possibilities of frequency sharing and establishing, where appropriate, the conditions that will ensure the continuity of operation and the protection of existing services.</w:t>
      </w:r>
    </w:p>
    <w:p w:rsidR="007F00C0" w:rsidRPr="007F00C0" w:rsidRDefault="007F00C0" w:rsidP="007F00C0">
      <w:r>
        <w:t xml:space="preserve">France welcomes the perception by IARU of </w:t>
      </w:r>
      <w:r w:rsidRPr="007F00C0">
        <w:t>multiple emerging new technology applications in the amateur and amateur satellite services to operate in the 144-146 MHz frequency band and that no decrease in these spectrum needs is envisaged in the foreseeable future. France considers however that these opportunities for new innovative amateur service applications do not provide a case for preventing investigations for additional sharing scenarios, taking into account the specificities of targeted aeronautical mobile systems with very high resiliency, decentralized, secure and flexible characteristics. Effective opportunities and addressable market would ultimately be determined by the regulatory conditions to be established.</w:t>
      </w:r>
    </w:p>
    <w:p w:rsidR="007F00C0" w:rsidRPr="00911BD3" w:rsidRDefault="000305D2" w:rsidP="00911BD3">
      <w:pPr>
        <w:pStyle w:val="ECCHeadingnonumbering"/>
        <w:rPr>
          <w:rStyle w:val="ECCHLbold"/>
          <w:b/>
          <w:bCs/>
        </w:rPr>
      </w:pPr>
      <w:r w:rsidRPr="00911BD3">
        <w:rPr>
          <w:rStyle w:val="ECCHLbold"/>
          <w:b/>
          <w:bCs/>
        </w:rPr>
        <w:t>Annex 2 of Doc. CPG(19)115</w:t>
      </w:r>
      <w:r w:rsidR="007F00C0" w:rsidRPr="00911BD3">
        <w:rPr>
          <w:rStyle w:val="ECCHLbold"/>
          <w:b/>
          <w:bCs/>
        </w:rPr>
        <w:t>:</w:t>
      </w:r>
    </w:p>
    <w:p w:rsidR="007F00C0" w:rsidRPr="007F00C0" w:rsidRDefault="007F00C0" w:rsidP="007F00C0">
      <w:r>
        <w:t xml:space="preserve">The need for new VHF spectrum is anticipated knowing the expected growth of the considered aeronautical applications. The </w:t>
      </w:r>
      <w:r w:rsidRPr="007F28FF">
        <w:t xml:space="preserve">WRC-23 agenda item </w:t>
      </w:r>
      <w:r>
        <w:t xml:space="preserve">actually proposes </w:t>
      </w:r>
      <w:r w:rsidRPr="007F00C0">
        <w:t>to study spectrum needs for such new non-safety aeronautical mobile applications for air to air, ground to air and air to ground communications. France notes that no recent studies related to future aeronautical mobile applications, other than those related to safety applications, were conducted by the previous WRCs</w:t>
      </w:r>
      <w:r>
        <w:t>.</w:t>
      </w:r>
    </w:p>
    <w:p w:rsidR="007F00C0" w:rsidRDefault="007F00C0" w:rsidP="007F00C0">
      <w:pPr>
        <w:rPr>
          <w:rStyle w:val="ECCParagraph"/>
        </w:rPr>
      </w:pPr>
      <w:r w:rsidRPr="007F00C0">
        <w:t>It is anticipated that not all the VHF bands under study will be finally authorized for sharing. Furthermore some restrictions will be defined by the WRC-23 limiting the number of accessible channels within each band and defining regulatory constraints to ensure compatibility with existing services. Such limitations and regulatory constraints will differ depending on the nature of the targeted band, either already allocated on a primary basis to the mobile except aeronautical</w:t>
      </w:r>
      <w:r w:rsidR="000305D2">
        <w:t xml:space="preserve"> mobile (resolves 1 of draft Resolution)</w:t>
      </w:r>
      <w:r w:rsidRPr="007F00C0">
        <w:t>, or studied for possible new allocations to the aeronautical mobile s</w:t>
      </w:r>
      <w:r w:rsidR="000305D2">
        <w:t>ervice (resolves 2 of draft Resolution</w:t>
      </w:r>
      <w:r w:rsidRPr="007F00C0">
        <w:t xml:space="preserve">). The proposed methodology will be to define, for all considered VHF bands, the amount of accessible spectrum and the associated regulatory constraints. </w:t>
      </w:r>
      <w:r w:rsidRPr="000B0CB7">
        <w:rPr>
          <w:rStyle w:val="ECCHLbold"/>
        </w:rPr>
        <w:t>It is anticipated that only a combination of these portions of bands will be able to cover the spectrum need for the various data rate/elongation scenario</w:t>
      </w:r>
      <w:r w:rsidRPr="007F00C0">
        <w:t>. Imposing a priority in the targeted bands will jeopardise the feasibility of covering the need</w:t>
      </w:r>
      <w:r>
        <w:rPr>
          <w:rStyle w:val="ECCParagraph"/>
        </w:rPr>
        <w:t>.</w:t>
      </w:r>
    </w:p>
    <w:p w:rsidR="007F00C0" w:rsidRDefault="007F00C0" w:rsidP="007F00C0">
      <w:r w:rsidRPr="007F00C0">
        <w:t xml:space="preserve">The statement in </w:t>
      </w:r>
      <w:r w:rsidR="000305D2">
        <w:t>Annex 2 § a) of Doc. CPG(19)115</w:t>
      </w:r>
      <w:r w:rsidRPr="007F00C0">
        <w:t xml:space="preserve"> denies for instance the relevance of considering an allocation for AMS in the 144-146 MHz band on the ground that there are many MHz of alternative VHF </w:t>
      </w:r>
      <w:r w:rsidRPr="007F00C0">
        <w:lastRenderedPageBreak/>
        <w:t>spectrum which could be utilised for this aeronautical requirement. France considers that this view disregards the fact that the effectiveness of studied sharing opportunities will depend upon the characteristics of the incumbent services. Constraints that may apply to specific non-safety aeronautical mobile applications as a result of sharing studies with 160 MHz PMR applications operating in the land mobile service may for instance not be relevant when considering sharing with Amateur service applications in the 144-146 MHz.</w:t>
      </w:r>
      <w:r w:rsidR="000305D2">
        <w:t xml:space="preserve"> </w:t>
      </w:r>
      <w:r>
        <w:t xml:space="preserve">The sharing methods that will be defined will have to cope with the above mentioned limitations on the accessible spectrum within the tuning range and the associated regulatory constraints. It is anticipated that such methods will be adaptive to cope with the numerous sharing conditions varying with frequency, time and location. As such they will be innovative and </w:t>
      </w:r>
      <w:r w:rsidRPr="007F00C0">
        <w:t>will map the type of communication link (air-to-ground, ground-to-air or air-to-air) to the accessible spectrum with its constraints. Use of techniques like, dynamic frequency assignment, antenna treatment, power control, duty cycle control, spread spectrum may be considered.</w:t>
      </w:r>
    </w:p>
    <w:p w:rsidR="007F00C0" w:rsidRPr="00911BD3" w:rsidRDefault="000305D2" w:rsidP="00911BD3">
      <w:pPr>
        <w:pStyle w:val="ECCHeadingnonumbering"/>
        <w:rPr>
          <w:rStyle w:val="ECCHLbold"/>
          <w:b/>
          <w:bCs/>
        </w:rPr>
      </w:pPr>
      <w:r w:rsidRPr="00911BD3">
        <w:rPr>
          <w:rStyle w:val="ECCHLbold"/>
          <w:b/>
          <w:bCs/>
        </w:rPr>
        <w:t>Annex 3 &amp; 4 of Doc. CPG(19)115</w:t>
      </w:r>
      <w:r w:rsidR="007F00C0" w:rsidRPr="00911BD3">
        <w:rPr>
          <w:rStyle w:val="ECCHLbold"/>
          <w:b/>
          <w:bCs/>
        </w:rPr>
        <w:t>:</w:t>
      </w:r>
    </w:p>
    <w:p w:rsidR="007F00C0" w:rsidRDefault="007F00C0" w:rsidP="007F00C0">
      <w:r>
        <w:t>The simplified preliminary analysis does not take into account:</w:t>
      </w:r>
    </w:p>
    <w:p w:rsidR="007F00C0" w:rsidRPr="007F00C0" w:rsidRDefault="007F00C0" w:rsidP="007F00C0">
      <w:r>
        <w:t>The nature of the aeronautical systems considered with the variety of sharing scenario (</w:t>
      </w:r>
      <w:r w:rsidRPr="007F00C0">
        <w:t xml:space="preserve">air to air, ground to air and air to ground) as well as possible mitigation techniques. </w:t>
      </w:r>
    </w:p>
    <w:p w:rsidR="007F00C0" w:rsidRPr="007F00C0" w:rsidRDefault="007F00C0" w:rsidP="007F00C0">
      <w:r>
        <w:t xml:space="preserve">The 144-146 MHz </w:t>
      </w:r>
      <w:r w:rsidRPr="007F00C0">
        <w:t>band segmentation per application and associated occupancy rates, including provision for future use.</w:t>
      </w:r>
    </w:p>
    <w:p w:rsidR="007F00C0" w:rsidRPr="005A3414" w:rsidRDefault="007F00C0" w:rsidP="007F00C0">
      <w:r>
        <w:t>More detailed studies are required during the WRC-23 preparation cycle. The objective will not be to modify the existing amateur allocation in the band 144-146 MHz but to study possible sharing of the band while ensuring the protection of the amateur usage.</w:t>
      </w:r>
    </w:p>
    <w:p w:rsidR="007F00C0" w:rsidRPr="007F00C0" w:rsidRDefault="007F00C0" w:rsidP="0074595D">
      <w:pPr>
        <w:pStyle w:val="ECCHeadingnonumbering"/>
        <w:rPr>
          <w:rStyle w:val="ECCParagraph"/>
        </w:rPr>
      </w:pPr>
    </w:p>
    <w:sectPr w:rsidR="007F00C0" w:rsidRPr="007F00C0" w:rsidSect="00797DEE">
      <w:headerReference w:type="even" r:id="rId9"/>
      <w:headerReference w:type="default" r:id="rId10"/>
      <w:footerReference w:type="even" r:id="rId11"/>
      <w:footerReference w:type="default" r:id="rId12"/>
      <w:headerReference w:type="first" r:id="rId13"/>
      <w:footerReference w:type="first" r:id="rId14"/>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1FC" w:rsidRDefault="002551FC" w:rsidP="00DB17F9">
      <w:r>
        <w:separator/>
      </w:r>
    </w:p>
    <w:p w:rsidR="002551FC" w:rsidRDefault="002551FC"/>
  </w:endnote>
  <w:endnote w:type="continuationSeparator" w:id="0">
    <w:p w:rsidR="002551FC" w:rsidRDefault="002551FC" w:rsidP="00DB17F9">
      <w:r>
        <w:continuationSeparator/>
      </w:r>
    </w:p>
    <w:p w:rsidR="002551FC" w:rsidRDefault="002551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BD3" w:rsidRDefault="00911BD3">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BD3" w:rsidRDefault="00911BD3">
    <w:pPr>
      <w:spacing w:before="0" w:after="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BD3" w:rsidRDefault="00911BD3">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1FC" w:rsidRPr="00F51BD6" w:rsidRDefault="002551FC" w:rsidP="00CD07E7">
      <w:pPr>
        <w:spacing w:before="120" w:after="0"/>
      </w:pPr>
      <w:r>
        <w:separator/>
      </w:r>
    </w:p>
  </w:footnote>
  <w:footnote w:type="continuationSeparator" w:id="0">
    <w:p w:rsidR="002551FC" w:rsidRDefault="002551FC" w:rsidP="00CD07E7">
      <w:pPr>
        <w:spacing w:before="120" w:after="0"/>
      </w:pPr>
      <w:r>
        <w:continuationSeparator/>
      </w:r>
    </w:p>
  </w:footnote>
  <w:footnote w:type="continuationNotice" w:id="1">
    <w:p w:rsidR="002551FC" w:rsidRPr="00CD07E7" w:rsidRDefault="002551FC" w:rsidP="00CD07E7">
      <w:pPr>
        <w:spacing w:before="12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601" w:rsidRPr="00AD1BE1" w:rsidRDefault="00102172" w:rsidP="00AD1BE1">
    <w:pPr>
      <w:pStyle w:val="ECCpageHeader"/>
    </w:pPr>
    <w:r w:rsidRPr="00AD1BE1">
      <w:t xml:space="preserve">ECC REPORT </w:t>
    </w:r>
    <w:r w:rsidR="00AD1BE1" w:rsidRPr="00AD1BE1">
      <w:t>&lt;No&gt;</w:t>
    </w:r>
    <w:r w:rsidR="00F56F62" w:rsidRPr="00AD1BE1">
      <w:t xml:space="preserve"> - </w:t>
    </w:r>
    <w:r w:rsidRPr="00AD1BE1">
      <w:t xml:space="preserve">Page </w:t>
    </w:r>
    <w:r w:rsidRPr="00AD1BE1">
      <w:fldChar w:fldCharType="begin"/>
    </w:r>
    <w:r w:rsidRPr="00AD1BE1">
      <w:instrText xml:space="preserve"> PAGE  \* Arabic  \* MERGEFORMAT </w:instrText>
    </w:r>
    <w:r w:rsidRPr="00AD1BE1">
      <w:fldChar w:fldCharType="separate"/>
    </w:r>
    <w:r w:rsidR="00797DEE">
      <w:rPr>
        <w:noProof/>
      </w:rPr>
      <w:t>2</w:t>
    </w:r>
    <w:r w:rsidRPr="00AD1BE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172" w:rsidRPr="00714F0F" w:rsidRDefault="00102172" w:rsidP="00714F0F">
    <w:pPr>
      <w:pStyle w:val="ECCpageHeader"/>
    </w:pPr>
    <w:r w:rsidRPr="00714F0F">
      <w:tab/>
      <w:t xml:space="preserve">Page </w:t>
    </w:r>
    <w:r w:rsidRPr="00714F0F">
      <w:fldChar w:fldCharType="begin"/>
    </w:r>
    <w:r w:rsidRPr="00714F0F">
      <w:instrText xml:space="preserve"> PAGE  \* Arabic  \* MERGEFORMAT </w:instrText>
    </w:r>
    <w:r w:rsidRPr="00714F0F">
      <w:fldChar w:fldCharType="separate"/>
    </w:r>
    <w:r w:rsidR="00911BD3">
      <w:rPr>
        <w:noProof/>
      </w:rPr>
      <w:t>2</w:t>
    </w:r>
    <w:r w:rsidRPr="00714F0F">
      <w:fldChar w:fldCharType="end"/>
    </w:r>
  </w:p>
  <w:p w:rsidR="00E11D7E" w:rsidRDefault="00E11D7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BD3" w:rsidRDefault="00911BD3">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6.5pt;height:60pt" o:bullet="t">
        <v:imagedata r:id="rId1" o:title="Editor's Note"/>
      </v:shape>
    </w:pict>
  </w:numPicBullet>
  <w:abstractNum w:abstractNumId="0"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31D2CAF"/>
    <w:multiLevelType w:val="multilevel"/>
    <w:tmpl w:val="C960DCD2"/>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4" w15:restartNumberingAfterBreak="0">
    <w:nsid w:val="3D163F7A"/>
    <w:multiLevelType w:val="multilevel"/>
    <w:tmpl w:val="C51432D8"/>
    <w:lvl w:ilvl="0">
      <w:start w:val="1"/>
      <w:numFmt w:val="decimal"/>
      <w:pStyle w:val="berschrift1"/>
      <w:lvlText w:val="%1"/>
      <w:lvlJc w:val="left"/>
      <w:pPr>
        <w:tabs>
          <w:tab w:val="num" w:pos="432"/>
        </w:tabs>
        <w:ind w:left="432" w:hanging="432"/>
      </w:pPr>
      <w:rPr>
        <w:rFonts w:ascii="Arial" w:hAnsi="Arial" w:hint="default"/>
        <w:b/>
        <w:i w:val="0"/>
        <w:color w:val="D2232A"/>
        <w:sz w:val="20"/>
        <w:szCs w:val="20"/>
      </w:rPr>
    </w:lvl>
    <w:lvl w:ilvl="1">
      <w:start w:val="1"/>
      <w:numFmt w:val="decimal"/>
      <w:pStyle w:val="berschrift2"/>
      <w:lvlText w:val="%1.%2"/>
      <w:lvlJc w:val="left"/>
      <w:pPr>
        <w:tabs>
          <w:tab w:val="num" w:pos="576"/>
        </w:tabs>
        <w:ind w:left="576" w:hanging="576"/>
      </w:pPr>
      <w:rPr>
        <w:rFonts w:ascii="Arial" w:hAnsi="Arial" w:hint="default"/>
        <w:b/>
        <w:i w:val="0"/>
        <w:sz w:val="20"/>
      </w:rPr>
    </w:lvl>
    <w:lvl w:ilvl="2">
      <w:start w:val="1"/>
      <w:numFmt w:val="decimal"/>
      <w:pStyle w:val="berschrift3"/>
      <w:lvlText w:val="%1.%2.%3"/>
      <w:lvlJc w:val="left"/>
      <w:pPr>
        <w:tabs>
          <w:tab w:val="num" w:pos="720"/>
        </w:tabs>
        <w:ind w:left="720" w:hanging="720"/>
      </w:pPr>
      <w:rPr>
        <w:rFonts w:ascii="Arial" w:hAnsi="Arial" w:hint="default"/>
        <w:b/>
        <w:i w:val="0"/>
        <w:caps w:val="0"/>
        <w:sz w:val="20"/>
        <w:szCs w:val="20"/>
      </w:rPr>
    </w:lvl>
    <w:lvl w:ilvl="3">
      <w:start w:val="1"/>
      <w:numFmt w:val="decimal"/>
      <w:pStyle w:val="berschrift4"/>
      <w:lvlText w:val="%1.%2.%3.%4"/>
      <w:lvlJc w:val="left"/>
      <w:pPr>
        <w:tabs>
          <w:tab w:val="num" w:pos="864"/>
        </w:tabs>
        <w:ind w:left="864" w:hanging="864"/>
      </w:pPr>
      <w:rPr>
        <w:rFonts w:ascii="Arial" w:hAnsi="Arial" w:hint="default"/>
        <w:b w:val="0"/>
        <w:i/>
        <w:sz w:val="20"/>
      </w:rPr>
    </w:lvl>
    <w:lvl w:ilvl="4">
      <w:start w:val="1"/>
      <w:numFmt w:val="decimal"/>
      <w:pStyle w:val="berschrift5"/>
      <w:lvlText w:val="%1.%2.%3.%4.%5"/>
      <w:lvlJc w:val="left"/>
      <w:pPr>
        <w:tabs>
          <w:tab w:val="num" w:pos="1008"/>
        </w:tabs>
        <w:ind w:left="1008" w:hanging="1008"/>
      </w:pPr>
      <w:rPr>
        <w:rFonts w:hint="default"/>
        <w:sz w:val="24"/>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5"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8" w15:restartNumberingAfterBreak="0">
    <w:nsid w:val="68665609"/>
    <w:multiLevelType w:val="hybridMultilevel"/>
    <w:tmpl w:val="1476444C"/>
    <w:lvl w:ilvl="0" w:tplc="01765C80">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7A8294D"/>
    <w:multiLevelType w:val="hybridMultilevel"/>
    <w:tmpl w:val="2BA6EEF8"/>
    <w:lvl w:ilvl="0" w:tplc="D7E4C96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
  </w:num>
  <w:num w:numId="2">
    <w:abstractNumId w:val="0"/>
  </w:num>
  <w:num w:numId="3">
    <w:abstractNumId w:val="7"/>
  </w:num>
  <w:num w:numId="4">
    <w:abstractNumId w:val="3"/>
  </w:num>
  <w:num w:numId="5">
    <w:abstractNumId w:val="5"/>
  </w:num>
  <w:num w:numId="6">
    <w:abstractNumId w:val="4"/>
  </w:num>
  <w:num w:numId="7">
    <w:abstractNumId w:val="6"/>
  </w:num>
  <w:num w:numId="8">
    <w:abstractNumId w:val="2"/>
  </w:num>
  <w:num w:numId="9">
    <w:abstractNumId w:val="2"/>
  </w:num>
  <w:num w:numId="10">
    <w:abstractNumId w:val="8"/>
  </w:num>
  <w:num w:numId="1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ocumentProtection w:formatting="1" w:enforcement="1" w:cryptProviderType="rsaFull" w:cryptAlgorithmClass="hash" w:cryptAlgorithmType="typeAny" w:cryptAlgorithmSid="4" w:cryptSpinCount="100000" w:hash="HYCfdKjtWAu32LyyocChwwPX2Is=" w:salt="ndXx5tEcY3IzzIFTbETjYQ=="/>
  <w:autoFormatOverride/>
  <w:styleLockQFSet/>
  <w:defaultTabStop w:val="567"/>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8BE"/>
    <w:rsid w:val="0001112E"/>
    <w:rsid w:val="00012E3B"/>
    <w:rsid w:val="000305D2"/>
    <w:rsid w:val="00041A18"/>
    <w:rsid w:val="0004376B"/>
    <w:rsid w:val="000632D9"/>
    <w:rsid w:val="00064B1C"/>
    <w:rsid w:val="00067793"/>
    <w:rsid w:val="00080D4D"/>
    <w:rsid w:val="00082DD7"/>
    <w:rsid w:val="00095620"/>
    <w:rsid w:val="000A3940"/>
    <w:rsid w:val="000B0CB7"/>
    <w:rsid w:val="000B6D45"/>
    <w:rsid w:val="000C028F"/>
    <w:rsid w:val="000D1710"/>
    <w:rsid w:val="000D43BB"/>
    <w:rsid w:val="000E42F5"/>
    <w:rsid w:val="000F0594"/>
    <w:rsid w:val="000F0CA8"/>
    <w:rsid w:val="000F24F5"/>
    <w:rsid w:val="000F2ED9"/>
    <w:rsid w:val="001006CA"/>
    <w:rsid w:val="00100F8B"/>
    <w:rsid w:val="00102172"/>
    <w:rsid w:val="00110652"/>
    <w:rsid w:val="001149B4"/>
    <w:rsid w:val="001526A2"/>
    <w:rsid w:val="00154F16"/>
    <w:rsid w:val="00156314"/>
    <w:rsid w:val="00165F06"/>
    <w:rsid w:val="00172B28"/>
    <w:rsid w:val="00183FE0"/>
    <w:rsid w:val="0018553F"/>
    <w:rsid w:val="001878B0"/>
    <w:rsid w:val="001B0583"/>
    <w:rsid w:val="001C30A8"/>
    <w:rsid w:val="001F0493"/>
    <w:rsid w:val="0020079A"/>
    <w:rsid w:val="00222F9E"/>
    <w:rsid w:val="002302A9"/>
    <w:rsid w:val="002551FC"/>
    <w:rsid w:val="00263EDA"/>
    <w:rsid w:val="00263FFB"/>
    <w:rsid w:val="00274F84"/>
    <w:rsid w:val="0027787F"/>
    <w:rsid w:val="0028060B"/>
    <w:rsid w:val="0028120C"/>
    <w:rsid w:val="00283417"/>
    <w:rsid w:val="00295827"/>
    <w:rsid w:val="00295F16"/>
    <w:rsid w:val="00296C44"/>
    <w:rsid w:val="002A033F"/>
    <w:rsid w:val="002C6DC3"/>
    <w:rsid w:val="002D1FA9"/>
    <w:rsid w:val="002D204E"/>
    <w:rsid w:val="002D50A3"/>
    <w:rsid w:val="002E0691"/>
    <w:rsid w:val="003007C0"/>
    <w:rsid w:val="00307A79"/>
    <w:rsid w:val="003204D5"/>
    <w:rsid w:val="00320ED0"/>
    <w:rsid w:val="00322E6A"/>
    <w:rsid w:val="003314A0"/>
    <w:rsid w:val="0037040D"/>
    <w:rsid w:val="00381169"/>
    <w:rsid w:val="0038287C"/>
    <w:rsid w:val="0038358E"/>
    <w:rsid w:val="00387DDE"/>
    <w:rsid w:val="00391A01"/>
    <w:rsid w:val="003A0C31"/>
    <w:rsid w:val="003A0EB5"/>
    <w:rsid w:val="003A5711"/>
    <w:rsid w:val="003B3305"/>
    <w:rsid w:val="003C64D9"/>
    <w:rsid w:val="003E2E42"/>
    <w:rsid w:val="003E70E0"/>
    <w:rsid w:val="00403CE6"/>
    <w:rsid w:val="004110CA"/>
    <w:rsid w:val="0041160E"/>
    <w:rsid w:val="0042761F"/>
    <w:rsid w:val="00431162"/>
    <w:rsid w:val="00441EE0"/>
    <w:rsid w:val="00443482"/>
    <w:rsid w:val="00450308"/>
    <w:rsid w:val="00457AD1"/>
    <w:rsid w:val="00462D8B"/>
    <w:rsid w:val="0046427F"/>
    <w:rsid w:val="00485665"/>
    <w:rsid w:val="00491977"/>
    <w:rsid w:val="004A1329"/>
    <w:rsid w:val="004B15A2"/>
    <w:rsid w:val="004C4A2E"/>
    <w:rsid w:val="004E057E"/>
    <w:rsid w:val="004E44C8"/>
    <w:rsid w:val="004E53BE"/>
    <w:rsid w:val="004E7F82"/>
    <w:rsid w:val="004F3EA9"/>
    <w:rsid w:val="00501992"/>
    <w:rsid w:val="00511022"/>
    <w:rsid w:val="0053062A"/>
    <w:rsid w:val="00535050"/>
    <w:rsid w:val="00536F3C"/>
    <w:rsid w:val="0054260E"/>
    <w:rsid w:val="00550D79"/>
    <w:rsid w:val="005559AC"/>
    <w:rsid w:val="00555FB3"/>
    <w:rsid w:val="00557B5A"/>
    <w:rsid w:val="005611D0"/>
    <w:rsid w:val="00564DE1"/>
    <w:rsid w:val="00566BD4"/>
    <w:rsid w:val="00576411"/>
    <w:rsid w:val="00577CAF"/>
    <w:rsid w:val="00580223"/>
    <w:rsid w:val="00594186"/>
    <w:rsid w:val="005A05D1"/>
    <w:rsid w:val="005A53B8"/>
    <w:rsid w:val="005B202B"/>
    <w:rsid w:val="005B38C9"/>
    <w:rsid w:val="005C10EB"/>
    <w:rsid w:val="005C2301"/>
    <w:rsid w:val="005C5A96"/>
    <w:rsid w:val="005D371D"/>
    <w:rsid w:val="005E7495"/>
    <w:rsid w:val="00621C12"/>
    <w:rsid w:val="00623E18"/>
    <w:rsid w:val="00625C5D"/>
    <w:rsid w:val="00635A22"/>
    <w:rsid w:val="00642083"/>
    <w:rsid w:val="0065550D"/>
    <w:rsid w:val="00664295"/>
    <w:rsid w:val="006649F0"/>
    <w:rsid w:val="00665364"/>
    <w:rsid w:val="00667B35"/>
    <w:rsid w:val="00673A9B"/>
    <w:rsid w:val="006876A8"/>
    <w:rsid w:val="006A49E3"/>
    <w:rsid w:val="006B1EFD"/>
    <w:rsid w:val="006C14E4"/>
    <w:rsid w:val="006C6DA8"/>
    <w:rsid w:val="006C7F61"/>
    <w:rsid w:val="006D407F"/>
    <w:rsid w:val="006F0442"/>
    <w:rsid w:val="00702F43"/>
    <w:rsid w:val="00714F0F"/>
    <w:rsid w:val="007160BE"/>
    <w:rsid w:val="00722F65"/>
    <w:rsid w:val="007257CD"/>
    <w:rsid w:val="00734A4F"/>
    <w:rsid w:val="007414C6"/>
    <w:rsid w:val="0074595D"/>
    <w:rsid w:val="00762BCC"/>
    <w:rsid w:val="00763BA3"/>
    <w:rsid w:val="00765B66"/>
    <w:rsid w:val="00767BB2"/>
    <w:rsid w:val="0077159C"/>
    <w:rsid w:val="00776D23"/>
    <w:rsid w:val="00780376"/>
    <w:rsid w:val="00780EE3"/>
    <w:rsid w:val="00791AAC"/>
    <w:rsid w:val="00797D4C"/>
    <w:rsid w:val="00797DEE"/>
    <w:rsid w:val="007C0E7E"/>
    <w:rsid w:val="007C4098"/>
    <w:rsid w:val="007D0B62"/>
    <w:rsid w:val="007D17C5"/>
    <w:rsid w:val="007D1907"/>
    <w:rsid w:val="007D52EC"/>
    <w:rsid w:val="007F00C0"/>
    <w:rsid w:val="007F1CEE"/>
    <w:rsid w:val="00837537"/>
    <w:rsid w:val="00842766"/>
    <w:rsid w:val="00854EBF"/>
    <w:rsid w:val="0086094D"/>
    <w:rsid w:val="008718E1"/>
    <w:rsid w:val="00872382"/>
    <w:rsid w:val="00886906"/>
    <w:rsid w:val="008912FE"/>
    <w:rsid w:val="008A245D"/>
    <w:rsid w:val="008A54FC"/>
    <w:rsid w:val="008B6BF6"/>
    <w:rsid w:val="008B70CD"/>
    <w:rsid w:val="008D141C"/>
    <w:rsid w:val="008D2C13"/>
    <w:rsid w:val="008E6109"/>
    <w:rsid w:val="008F47AB"/>
    <w:rsid w:val="00911BD3"/>
    <w:rsid w:val="009170EA"/>
    <w:rsid w:val="0092076F"/>
    <w:rsid w:val="00930439"/>
    <w:rsid w:val="00937AEB"/>
    <w:rsid w:val="00943048"/>
    <w:rsid w:val="009662E3"/>
    <w:rsid w:val="00966DD9"/>
    <w:rsid w:val="00986677"/>
    <w:rsid w:val="0099421C"/>
    <w:rsid w:val="009A2F3A"/>
    <w:rsid w:val="009A7A45"/>
    <w:rsid w:val="009C3803"/>
    <w:rsid w:val="009D2C13"/>
    <w:rsid w:val="009D3BA5"/>
    <w:rsid w:val="009D4BA1"/>
    <w:rsid w:val="009D7D5A"/>
    <w:rsid w:val="009E47EB"/>
    <w:rsid w:val="009F2CCC"/>
    <w:rsid w:val="009F3A37"/>
    <w:rsid w:val="009F5FDF"/>
    <w:rsid w:val="009F6EA2"/>
    <w:rsid w:val="00A02090"/>
    <w:rsid w:val="00A03731"/>
    <w:rsid w:val="00A061CE"/>
    <w:rsid w:val="00A076B5"/>
    <w:rsid w:val="00A17F69"/>
    <w:rsid w:val="00A23870"/>
    <w:rsid w:val="00A274DB"/>
    <w:rsid w:val="00A41E1E"/>
    <w:rsid w:val="00A44310"/>
    <w:rsid w:val="00A6411D"/>
    <w:rsid w:val="00A66F6F"/>
    <w:rsid w:val="00A73298"/>
    <w:rsid w:val="00A751C0"/>
    <w:rsid w:val="00A95ACB"/>
    <w:rsid w:val="00A97942"/>
    <w:rsid w:val="00AA079B"/>
    <w:rsid w:val="00AA086A"/>
    <w:rsid w:val="00AC0EA5"/>
    <w:rsid w:val="00AC2686"/>
    <w:rsid w:val="00AD1BE1"/>
    <w:rsid w:val="00AD7257"/>
    <w:rsid w:val="00AF18A7"/>
    <w:rsid w:val="00AF2D0C"/>
    <w:rsid w:val="00AF420D"/>
    <w:rsid w:val="00AF4C0E"/>
    <w:rsid w:val="00B03EB7"/>
    <w:rsid w:val="00B14E5E"/>
    <w:rsid w:val="00B24ACC"/>
    <w:rsid w:val="00B25910"/>
    <w:rsid w:val="00B26973"/>
    <w:rsid w:val="00B30D3B"/>
    <w:rsid w:val="00B36FA6"/>
    <w:rsid w:val="00B432D4"/>
    <w:rsid w:val="00B5315C"/>
    <w:rsid w:val="00B53FB2"/>
    <w:rsid w:val="00B576D7"/>
    <w:rsid w:val="00B80892"/>
    <w:rsid w:val="00B82735"/>
    <w:rsid w:val="00B92306"/>
    <w:rsid w:val="00B92861"/>
    <w:rsid w:val="00BA68BE"/>
    <w:rsid w:val="00BA7A69"/>
    <w:rsid w:val="00BB15E2"/>
    <w:rsid w:val="00BD28DF"/>
    <w:rsid w:val="00BD6876"/>
    <w:rsid w:val="00BE2864"/>
    <w:rsid w:val="00C00565"/>
    <w:rsid w:val="00C076BF"/>
    <w:rsid w:val="00C212B5"/>
    <w:rsid w:val="00C25F81"/>
    <w:rsid w:val="00C27F02"/>
    <w:rsid w:val="00C44908"/>
    <w:rsid w:val="00C504F4"/>
    <w:rsid w:val="00C512DE"/>
    <w:rsid w:val="00C57E85"/>
    <w:rsid w:val="00C65BB4"/>
    <w:rsid w:val="00C8071C"/>
    <w:rsid w:val="00C816CB"/>
    <w:rsid w:val="00C82461"/>
    <w:rsid w:val="00C91E3B"/>
    <w:rsid w:val="00CA07CC"/>
    <w:rsid w:val="00CA0832"/>
    <w:rsid w:val="00CA25B5"/>
    <w:rsid w:val="00CA4FCE"/>
    <w:rsid w:val="00CA5F8F"/>
    <w:rsid w:val="00CC5A6F"/>
    <w:rsid w:val="00CD07E7"/>
    <w:rsid w:val="00CE271A"/>
    <w:rsid w:val="00CE2987"/>
    <w:rsid w:val="00CE6FF5"/>
    <w:rsid w:val="00CF5245"/>
    <w:rsid w:val="00D06683"/>
    <w:rsid w:val="00D07B1A"/>
    <w:rsid w:val="00D1167E"/>
    <w:rsid w:val="00D234E7"/>
    <w:rsid w:val="00D30E46"/>
    <w:rsid w:val="00D3663D"/>
    <w:rsid w:val="00D4349F"/>
    <w:rsid w:val="00D47EF6"/>
    <w:rsid w:val="00D50AC8"/>
    <w:rsid w:val="00D60A44"/>
    <w:rsid w:val="00D7390F"/>
    <w:rsid w:val="00D74F04"/>
    <w:rsid w:val="00D90913"/>
    <w:rsid w:val="00D92BEC"/>
    <w:rsid w:val="00DA18F2"/>
    <w:rsid w:val="00DB17F9"/>
    <w:rsid w:val="00DD6973"/>
    <w:rsid w:val="00DF2C67"/>
    <w:rsid w:val="00DF3AE2"/>
    <w:rsid w:val="00DF6550"/>
    <w:rsid w:val="00DF7D21"/>
    <w:rsid w:val="00E03771"/>
    <w:rsid w:val="00E059C5"/>
    <w:rsid w:val="00E11D7E"/>
    <w:rsid w:val="00E14334"/>
    <w:rsid w:val="00E2303A"/>
    <w:rsid w:val="00E343BD"/>
    <w:rsid w:val="00E348D9"/>
    <w:rsid w:val="00E36601"/>
    <w:rsid w:val="00E46600"/>
    <w:rsid w:val="00E60351"/>
    <w:rsid w:val="00E66093"/>
    <w:rsid w:val="00E668CE"/>
    <w:rsid w:val="00E71AE7"/>
    <w:rsid w:val="00E752E6"/>
    <w:rsid w:val="00EA2ED5"/>
    <w:rsid w:val="00EA6088"/>
    <w:rsid w:val="00EA797D"/>
    <w:rsid w:val="00EC1A2C"/>
    <w:rsid w:val="00ED2C10"/>
    <w:rsid w:val="00EF41CB"/>
    <w:rsid w:val="00F005AD"/>
    <w:rsid w:val="00F212EB"/>
    <w:rsid w:val="00F23D13"/>
    <w:rsid w:val="00F2744C"/>
    <w:rsid w:val="00F322F8"/>
    <w:rsid w:val="00F32DEC"/>
    <w:rsid w:val="00F43E24"/>
    <w:rsid w:val="00F45561"/>
    <w:rsid w:val="00F465D3"/>
    <w:rsid w:val="00F51BD6"/>
    <w:rsid w:val="00F56F06"/>
    <w:rsid w:val="00F56F62"/>
    <w:rsid w:val="00F62D48"/>
    <w:rsid w:val="00F73815"/>
    <w:rsid w:val="00F7770D"/>
    <w:rsid w:val="00F905E7"/>
    <w:rsid w:val="00F91FDD"/>
    <w:rsid w:val="00F93115"/>
    <w:rsid w:val="00FA4E32"/>
    <w:rsid w:val="00FA5792"/>
    <w:rsid w:val="00FA7E62"/>
    <w:rsid w:val="00FB04BE"/>
    <w:rsid w:val="00FB200D"/>
    <w:rsid w:val="00FB3571"/>
    <w:rsid w:val="00FB4F1D"/>
    <w:rsid w:val="00FE7EEC"/>
    <w:rsid w:val="00FF0E5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21EEA2"/>
  <w15:docId w15:val="{54D88324-B032-4610-8D16-FB00F1411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uiPriority="31" w:qFormat="1"/>
    <w:lsdException w:name="Intense Reference" w:uiPriority="0"/>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Standard">
    <w:name w:val="Normal"/>
    <w:aliases w:val="ECC Base"/>
    <w:semiHidden/>
    <w:qFormat/>
    <w:rsid w:val="00714F0F"/>
    <w:rPr>
      <w:rFonts w:eastAsia="Calibri"/>
      <w:szCs w:val="22"/>
      <w:lang w:val="en-GB"/>
    </w:rPr>
  </w:style>
  <w:style w:type="paragraph" w:styleId="berschrift1">
    <w:name w:val="heading 1"/>
    <w:aliases w:val="ECC Heading 1"/>
    <w:next w:val="Standard"/>
    <w:qFormat/>
    <w:rsid w:val="00A751C0"/>
    <w:pPr>
      <w:keepNext/>
      <w:numPr>
        <w:numId w:val="6"/>
      </w:numPr>
      <w:spacing w:before="600"/>
      <w:ind w:left="431" w:hanging="431"/>
      <w:outlineLvl w:val="0"/>
    </w:pPr>
    <w:rPr>
      <w:rFonts w:cs="Arial"/>
      <w:b/>
      <w:bCs/>
      <w:caps/>
      <w:color w:val="D2232A"/>
      <w:kern w:val="32"/>
      <w:szCs w:val="32"/>
    </w:rPr>
  </w:style>
  <w:style w:type="paragraph" w:styleId="berschrift2">
    <w:name w:val="heading 2"/>
    <w:aliases w:val="ECC Heading 2"/>
    <w:next w:val="Standard"/>
    <w:qFormat/>
    <w:rsid w:val="00F51BD6"/>
    <w:pPr>
      <w:keepNext/>
      <w:numPr>
        <w:ilvl w:val="1"/>
        <w:numId w:val="6"/>
      </w:numPr>
      <w:spacing w:before="480"/>
      <w:ind w:left="578" w:hanging="578"/>
      <w:outlineLvl w:val="1"/>
    </w:pPr>
    <w:rPr>
      <w:rFonts w:cs="Arial"/>
      <w:b/>
      <w:bCs/>
      <w:iCs/>
      <w:caps/>
      <w:szCs w:val="28"/>
    </w:rPr>
  </w:style>
  <w:style w:type="paragraph" w:styleId="berschrift3">
    <w:name w:val="heading 3"/>
    <w:aliases w:val="ECC Heading 3"/>
    <w:next w:val="Standard"/>
    <w:qFormat/>
    <w:rsid w:val="00E2303A"/>
    <w:pPr>
      <w:keepNext/>
      <w:numPr>
        <w:ilvl w:val="2"/>
        <w:numId w:val="6"/>
      </w:numPr>
      <w:spacing w:before="360"/>
      <w:outlineLvl w:val="2"/>
    </w:pPr>
    <w:rPr>
      <w:rFonts w:cs="Arial"/>
      <w:b/>
      <w:bCs/>
      <w:szCs w:val="26"/>
    </w:rPr>
  </w:style>
  <w:style w:type="paragraph" w:styleId="berschrift4">
    <w:name w:val="heading 4"/>
    <w:aliases w:val="ECC Heading 4"/>
    <w:next w:val="Standard"/>
    <w:qFormat/>
    <w:rsid w:val="00F51BD6"/>
    <w:pPr>
      <w:numPr>
        <w:ilvl w:val="3"/>
        <w:numId w:val="6"/>
      </w:numPr>
      <w:spacing w:before="360"/>
      <w:ind w:left="862" w:hanging="862"/>
      <w:outlineLvl w:val="3"/>
    </w:pPr>
    <w:rPr>
      <w:rFonts w:cs="Arial"/>
      <w:bCs/>
      <w:i/>
      <w:color w:val="D2232A"/>
      <w:szCs w:val="26"/>
    </w:rPr>
  </w:style>
  <w:style w:type="paragraph" w:styleId="berschrift5">
    <w:name w:val="heading 5"/>
    <w:basedOn w:val="Standard"/>
    <w:next w:val="Standard"/>
    <w:semiHidden/>
    <w:qFormat/>
    <w:locked/>
    <w:rsid w:val="009E47EB"/>
    <w:pPr>
      <w:numPr>
        <w:ilvl w:val="4"/>
        <w:numId w:val="6"/>
      </w:numPr>
      <w:outlineLvl w:val="4"/>
    </w:pPr>
    <w:rPr>
      <w:b/>
      <w:bCs/>
      <w:i/>
      <w:iCs/>
      <w:sz w:val="26"/>
      <w:szCs w:val="26"/>
    </w:rPr>
  </w:style>
  <w:style w:type="paragraph" w:styleId="berschrift6">
    <w:name w:val="heading 6"/>
    <w:basedOn w:val="Standard"/>
    <w:next w:val="Standard"/>
    <w:semiHidden/>
    <w:qFormat/>
    <w:locked/>
    <w:rsid w:val="009E47EB"/>
    <w:pPr>
      <w:numPr>
        <w:ilvl w:val="5"/>
        <w:numId w:val="6"/>
      </w:numPr>
      <w:outlineLvl w:val="5"/>
    </w:pPr>
    <w:rPr>
      <w:b/>
      <w:bCs/>
      <w:sz w:val="22"/>
    </w:rPr>
  </w:style>
  <w:style w:type="paragraph" w:styleId="berschrift7">
    <w:name w:val="heading 7"/>
    <w:basedOn w:val="Standard"/>
    <w:next w:val="Standard"/>
    <w:semiHidden/>
    <w:qFormat/>
    <w:locked/>
    <w:rsid w:val="009E47EB"/>
    <w:pPr>
      <w:numPr>
        <w:ilvl w:val="6"/>
        <w:numId w:val="6"/>
      </w:numPr>
      <w:outlineLvl w:val="6"/>
    </w:pPr>
    <w:rPr>
      <w:sz w:val="24"/>
    </w:rPr>
  </w:style>
  <w:style w:type="paragraph" w:styleId="berschrift8">
    <w:name w:val="heading 8"/>
    <w:basedOn w:val="Standard"/>
    <w:next w:val="Standard"/>
    <w:semiHidden/>
    <w:qFormat/>
    <w:locked/>
    <w:rsid w:val="009E47EB"/>
    <w:pPr>
      <w:numPr>
        <w:ilvl w:val="7"/>
        <w:numId w:val="6"/>
      </w:numPr>
      <w:outlineLvl w:val="7"/>
    </w:pPr>
    <w:rPr>
      <w:i/>
      <w:iCs/>
      <w:sz w:val="24"/>
    </w:rPr>
  </w:style>
  <w:style w:type="paragraph" w:styleId="berschrift9">
    <w:name w:val="heading 9"/>
    <w:basedOn w:val="Standard"/>
    <w:next w:val="Standard"/>
    <w:semiHidden/>
    <w:qFormat/>
    <w:locked/>
    <w:rsid w:val="009E47EB"/>
    <w:pPr>
      <w:numPr>
        <w:ilvl w:val="8"/>
        <w:numId w:val="6"/>
      </w:numPr>
      <w:outlineLvl w:val="8"/>
    </w:pPr>
    <w:rPr>
      <w:rFonts w:cs="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BulletsLv1">
    <w:name w:val="ECC Bullets Lv1"/>
    <w:basedOn w:val="Standard"/>
    <w:rsid w:val="00714F0F"/>
    <w:pPr>
      <w:numPr>
        <w:numId w:val="2"/>
      </w:numPr>
      <w:tabs>
        <w:tab w:val="left" w:pos="340"/>
      </w:tabs>
      <w:spacing w:before="60" w:after="0" w:line="288" w:lineRule="auto"/>
      <w:ind w:left="340" w:hanging="340"/>
      <w:contextualSpacing/>
    </w:pPr>
  </w:style>
  <w:style w:type="paragraph" w:styleId="Kopfzeile">
    <w:name w:val="header"/>
    <w:basedOn w:val="Standard"/>
    <w:semiHidden/>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Standard"/>
    <w:rsid w:val="00E2303A"/>
    <w:pPr>
      <w:keepNext/>
      <w:pageBreakBefore/>
      <w:numPr>
        <w:numId w:val="1"/>
      </w:numPr>
    </w:pPr>
    <w:rPr>
      <w:b/>
      <w:caps/>
      <w:color w:val="D2232A"/>
    </w:rPr>
  </w:style>
  <w:style w:type="paragraph" w:styleId="Verzeichnis1">
    <w:name w:val="toc 1"/>
    <w:aliases w:val="ECC Index 1"/>
    <w:basedOn w:val="Standard"/>
    <w:link w:val="Verzeichnis1Zchn"/>
    <w:uiPriority w:val="39"/>
    <w:semiHidden/>
    <w:qFormat/>
    <w:rsid w:val="0038287C"/>
    <w:pPr>
      <w:tabs>
        <w:tab w:val="left" w:pos="425"/>
        <w:tab w:val="right" w:leader="dot" w:pos="9639"/>
      </w:tabs>
      <w:spacing w:after="0"/>
      <w:ind w:left="425" w:hanging="425"/>
    </w:pPr>
    <w:rPr>
      <w:b/>
      <w:noProof/>
      <w:szCs w:val="20"/>
      <w:lang w:val="da-DK"/>
    </w:rPr>
  </w:style>
  <w:style w:type="paragraph" w:styleId="Funotentext">
    <w:name w:val="footnote text"/>
    <w:aliases w:val="ECC Footnote"/>
    <w:basedOn w:val="Standard"/>
    <w:link w:val="FunotentextZchn"/>
    <w:rsid w:val="001526A2"/>
    <w:pPr>
      <w:widowControl w:val="0"/>
      <w:tabs>
        <w:tab w:val="left" w:pos="284"/>
      </w:tabs>
      <w:spacing w:after="0"/>
      <w:ind w:left="284" w:hanging="284"/>
    </w:pPr>
    <w:rPr>
      <w:sz w:val="16"/>
      <w:szCs w:val="16"/>
      <w:lang w:val="da-DK"/>
      <w14:cntxtAlts/>
    </w:rPr>
  </w:style>
  <w:style w:type="paragraph" w:styleId="Verzeichnis2">
    <w:name w:val="toc 2"/>
    <w:aliases w:val="ECC Index 2"/>
    <w:basedOn w:val="Standard"/>
    <w:uiPriority w:val="39"/>
    <w:semiHidden/>
    <w:qFormat/>
    <w:rsid w:val="0038287C"/>
    <w:pPr>
      <w:tabs>
        <w:tab w:val="left" w:pos="993"/>
        <w:tab w:val="right" w:leader="dot" w:pos="9639"/>
      </w:tabs>
      <w:spacing w:before="0" w:after="0"/>
      <w:ind w:left="992" w:hanging="567"/>
    </w:pPr>
    <w:rPr>
      <w:noProof/>
      <w:szCs w:val="20"/>
      <w:lang w:val="da-DK"/>
    </w:rPr>
  </w:style>
  <w:style w:type="paragraph" w:styleId="Verzeichnis3">
    <w:name w:val="toc 3"/>
    <w:aliases w:val="ECC Index 3"/>
    <w:basedOn w:val="Standard"/>
    <w:uiPriority w:val="39"/>
    <w:semiHidden/>
    <w:qFormat/>
    <w:rsid w:val="0038287C"/>
    <w:pPr>
      <w:tabs>
        <w:tab w:val="left" w:pos="1701"/>
        <w:tab w:val="right" w:leader="dot" w:pos="9639"/>
      </w:tabs>
      <w:spacing w:before="0" w:after="0"/>
      <w:ind w:left="1701" w:hanging="709"/>
    </w:pPr>
    <w:rPr>
      <w:noProof/>
      <w:szCs w:val="20"/>
      <w:lang w:val="da-DK"/>
    </w:rPr>
  </w:style>
  <w:style w:type="paragraph" w:styleId="Verzeichnis4">
    <w:name w:val="toc 4"/>
    <w:aliases w:val="ECC Index 4"/>
    <w:basedOn w:val="Standard"/>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Absatz-Standardschriftart"/>
    <w:uiPriority w:val="1"/>
    <w:qFormat/>
    <w:rsid w:val="0038287C"/>
    <w:rPr>
      <w:bdr w:val="none" w:sz="0" w:space="0" w:color="auto"/>
      <w:shd w:val="solid" w:color="92D050" w:fill="auto"/>
      <w:lang w:val="en-GB"/>
    </w:rPr>
  </w:style>
  <w:style w:type="character" w:customStyle="1" w:styleId="FunotentextZchn">
    <w:name w:val="Fußnotentext Zchn"/>
    <w:aliases w:val="ECC Footnote Zchn"/>
    <w:basedOn w:val="Absatz-Standardschriftart"/>
    <w:link w:val="Funotentext"/>
    <w:rsid w:val="001526A2"/>
    <w:rPr>
      <w:rFonts w:eastAsia="Calibri"/>
      <w:sz w:val="16"/>
      <w:szCs w:val="16"/>
      <w14:cntxtAlts/>
    </w:rPr>
  </w:style>
  <w:style w:type="character" w:styleId="Funotenzeichen">
    <w:name w:val="footnote reference"/>
    <w:aliases w:val="ECC Footnote number"/>
    <w:basedOn w:val="Absatz-Standardschriftart"/>
    <w:rsid w:val="00DB17F9"/>
    <w:rPr>
      <w:rFonts w:ascii="Arial" w:hAnsi="Arial"/>
      <w:sz w:val="20"/>
      <w:vertAlign w:val="superscript"/>
    </w:rPr>
  </w:style>
  <w:style w:type="paragraph" w:styleId="Beschriftung">
    <w:name w:val="caption"/>
    <w:aliases w:val="ECC Caption"/>
    <w:next w:val="Standard"/>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Standard"/>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Standard"/>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Standard"/>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Standard"/>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Standard"/>
    <w:rsid w:val="00714F0F"/>
    <w:pPr>
      <w:numPr>
        <w:numId w:val="4"/>
      </w:numPr>
      <w:spacing w:after="0"/>
    </w:pPr>
    <w:rPr>
      <w:szCs w:val="20"/>
    </w:rPr>
  </w:style>
  <w:style w:type="paragraph" w:customStyle="1" w:styleId="ECCReference">
    <w:name w:val="ECC Reference"/>
    <w:basedOn w:val="Standard"/>
    <w:rsid w:val="0038287C"/>
    <w:pPr>
      <w:numPr>
        <w:numId w:val="5"/>
      </w:numPr>
      <w:spacing w:before="0" w:after="0"/>
    </w:pPr>
    <w:rPr>
      <w:lang w:eastAsia="ja-JP"/>
    </w:rPr>
  </w:style>
  <w:style w:type="paragraph" w:styleId="Sprechblasentext">
    <w:name w:val="Balloon Text"/>
    <w:basedOn w:val="Standard"/>
    <w:link w:val="SprechblasentextZchn"/>
    <w:uiPriority w:val="99"/>
    <w:semiHidden/>
    <w:unhideWhenUsed/>
    <w:locked/>
    <w:rsid w:val="009E47E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E47EB"/>
    <w:rPr>
      <w:rFonts w:ascii="Lucida Grande" w:hAnsi="Lucida Grande" w:cs="Lucida Grande"/>
      <w:sz w:val="18"/>
      <w:szCs w:val="18"/>
      <w:lang w:val="en-US"/>
    </w:rPr>
  </w:style>
  <w:style w:type="paragraph" w:customStyle="1" w:styleId="ECCEditorsNote">
    <w:name w:val="ECC Editor's Note"/>
    <w:next w:val="Standard"/>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Standard"/>
    <w:rsid w:val="00283417"/>
    <w:pPr>
      <w:spacing w:after="240"/>
      <w:jc w:val="center"/>
    </w:pPr>
    <w:rPr>
      <w:noProof/>
      <w:lang w:val="de-DE" w:eastAsia="de-DE"/>
      <w14:cntxtAlts/>
    </w:rPr>
  </w:style>
  <w:style w:type="paragraph" w:customStyle="1" w:styleId="ECCLetterHead">
    <w:name w:val="ECC Letter Head"/>
    <w:basedOn w:val="Standard"/>
    <w:link w:val="ECCLetterHeadZchn"/>
    <w:qFormat/>
    <w:rsid w:val="0038287C"/>
    <w:pPr>
      <w:tabs>
        <w:tab w:val="right" w:pos="4750"/>
      </w:tabs>
      <w:spacing w:before="120"/>
    </w:pPr>
    <w:rPr>
      <w:b/>
      <w:sz w:val="22"/>
      <w:szCs w:val="20"/>
    </w:rPr>
  </w:style>
  <w:style w:type="character" w:customStyle="1" w:styleId="ECCHLyellow">
    <w:name w:val="ECC HL yellow"/>
    <w:basedOn w:val="Absatz-Standardschriftar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Standard"/>
    <w:qFormat/>
    <w:rsid w:val="00714F0F"/>
    <w:pPr>
      <w:spacing w:before="60"/>
    </w:pPr>
  </w:style>
  <w:style w:type="paragraph" w:styleId="Unterschrift">
    <w:name w:val="Signature"/>
    <w:basedOn w:val="Standard"/>
    <w:link w:val="UnterschriftZchn"/>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UnterschriftZchn">
    <w:name w:val="Unterschrift Zchn"/>
    <w:basedOn w:val="Absatz-Standardschriftart"/>
    <w:link w:val="Unterschrift"/>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Fett"/>
    <w:uiPriority w:val="1"/>
    <w:qFormat/>
    <w:rsid w:val="0038287C"/>
    <w:rPr>
      <w:b/>
      <w:bCs/>
    </w:rPr>
  </w:style>
  <w:style w:type="character" w:styleId="Hervorhebung">
    <w:name w:val="Emphasis"/>
    <w:aliases w:val="ECC HL italics"/>
    <w:basedOn w:val="Absatz-Standardschriftart"/>
    <w:uiPriority w:val="1"/>
    <w:qFormat/>
    <w:rsid w:val="00DB17F9"/>
    <w:rPr>
      <w:i/>
    </w:rPr>
  </w:style>
  <w:style w:type="character" w:customStyle="1" w:styleId="Verzeichnis1Zchn">
    <w:name w:val="Verzeichnis 1 Zchn"/>
    <w:aliases w:val="ECC Index 1 Zchn"/>
    <w:basedOn w:val="Absatz-Standardschriftart"/>
    <w:link w:val="Verzeichnis1"/>
    <w:uiPriority w:val="39"/>
    <w:semiHidden/>
    <w:rsid w:val="00D3663D"/>
    <w:rPr>
      <w:rFonts w:eastAsia="Calibri"/>
      <w:b/>
      <w:noProof/>
    </w:rPr>
  </w:style>
  <w:style w:type="paragraph" w:styleId="Inhaltsverzeichnisberschrift">
    <w:name w:val="TOC Heading"/>
    <w:basedOn w:val="berschrift1"/>
    <w:next w:val="Standard"/>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Absatz-Standardschriftart"/>
    <w:uiPriority w:val="1"/>
    <w:qFormat/>
    <w:rsid w:val="0038287C"/>
    <w:rPr>
      <w:iCs w:val="0"/>
      <w:bdr w:val="none" w:sz="0" w:space="0" w:color="auto"/>
      <w:shd w:val="solid" w:color="00FFFF" w:fill="auto"/>
      <w:lang w:val="en-GB"/>
    </w:rPr>
  </w:style>
  <w:style w:type="character" w:customStyle="1" w:styleId="ECCHLorange">
    <w:name w:val="ECC HL orange"/>
    <w:basedOn w:val="Absatz-Standardschriftart"/>
    <w:uiPriority w:val="1"/>
    <w:qFormat/>
    <w:rsid w:val="0038287C"/>
    <w:rPr>
      <w:bdr w:val="none" w:sz="0" w:space="0" w:color="auto"/>
      <w:shd w:val="solid" w:color="FFC000" w:fill="auto"/>
    </w:rPr>
  </w:style>
  <w:style w:type="character" w:customStyle="1" w:styleId="ECCHLblue">
    <w:name w:val="ECC HL blue"/>
    <w:basedOn w:val="Absatz-Standardschriftar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Absatz-Standardschriftart"/>
    <w:uiPriority w:val="1"/>
    <w:qFormat/>
    <w:rsid w:val="0038287C"/>
    <w:rPr>
      <w:iCs w:val="0"/>
      <w:color w:val="FFFFFF" w:themeColor="background1"/>
      <w:bdr w:val="none" w:sz="0" w:space="0" w:color="auto"/>
      <w:shd w:val="solid" w:color="008080" w:fill="auto"/>
    </w:rPr>
  </w:style>
  <w:style w:type="paragraph" w:styleId="Listenabsatz">
    <w:name w:val="List Paragraph"/>
    <w:basedOn w:val="Standard"/>
    <w:uiPriority w:val="34"/>
    <w:semiHidden/>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Absatz-Standardschriftart"/>
    <w:link w:val="ECCLetterHead"/>
    <w:rsid w:val="00263FFB"/>
    <w:rPr>
      <w:rFonts w:eastAsia="Calibri"/>
      <w:b/>
      <w:sz w:val="22"/>
      <w:lang w:val="en-GB"/>
    </w:rPr>
  </w:style>
  <w:style w:type="character" w:customStyle="1" w:styleId="ECCHLmagenta">
    <w:name w:val="ECC HL magenta"/>
    <w:basedOn w:val="Absatz-Standardschriftart"/>
    <w:uiPriority w:val="1"/>
    <w:qFormat/>
    <w:rsid w:val="0038287C"/>
    <w:rPr>
      <w:color w:val="auto"/>
      <w:bdr w:val="none" w:sz="0" w:space="0" w:color="auto"/>
      <w:shd w:val="solid" w:color="FF3399" w:fill="auto"/>
      <w:lang w:val="en-GB"/>
    </w:rPr>
  </w:style>
  <w:style w:type="character" w:customStyle="1" w:styleId="ECCHLbrown">
    <w:name w:val="ECC HL brown"/>
    <w:basedOn w:val="Absatz-Standardschriftart"/>
    <w:uiPriority w:val="1"/>
    <w:qFormat/>
    <w:rsid w:val="0038287C"/>
    <w:rPr>
      <w:color w:val="D9D9D9" w:themeColor="background1" w:themeShade="D9"/>
      <w:bdr w:val="none" w:sz="0" w:space="0" w:color="auto"/>
      <w:shd w:val="solid" w:color="B95807" w:fill="auto"/>
    </w:rPr>
  </w:style>
  <w:style w:type="character" w:styleId="Hyperlink">
    <w:name w:val="Hyperlink"/>
    <w:aliases w:val="ECC Hyperlink"/>
    <w:basedOn w:val="Absatz-Standardschriftart"/>
    <w:uiPriority w:val="99"/>
    <w:rsid w:val="00DB17F9"/>
    <w:rPr>
      <w:color w:val="0000FF" w:themeColor="hyperlink"/>
      <w:u w:val="single"/>
    </w:rPr>
  </w:style>
  <w:style w:type="paragraph" w:customStyle="1" w:styleId="ECCHeadingnonumbering">
    <w:name w:val="ECC Heading no numbering"/>
    <w:basedOn w:val="berschrift1"/>
    <w:rsid w:val="00DB17F9"/>
    <w:pPr>
      <w:numPr>
        <w:numId w:val="0"/>
      </w:numPr>
      <w:tabs>
        <w:tab w:val="left" w:pos="0"/>
        <w:tab w:val="center" w:pos="4820"/>
        <w:tab w:val="right" w:pos="9639"/>
      </w:tabs>
    </w:pPr>
  </w:style>
  <w:style w:type="character" w:customStyle="1" w:styleId="ECCParagraph">
    <w:name w:val="ECC Paragraph"/>
    <w:basedOn w:val="Absatz-Standardschriftar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FarbigesRaster">
    <w:name w:val="Colorful Grid"/>
    <w:basedOn w:val="NormaleTabelle"/>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elleEinfach1">
    <w:name w:val="Table Simple 1"/>
    <w:basedOn w:val="NormaleTabelle"/>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FarbigesRaster-Akzent6">
    <w:name w:val="Colorful Grid Accent 6"/>
    <w:basedOn w:val="NormaleTabelle"/>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Tabellenraster">
    <w:name w:val="Table Grid"/>
    <w:basedOn w:val="NormaleTabelle"/>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Absatz-Standardschriftart"/>
    <w:link w:val="ECCBreak"/>
    <w:rsid w:val="0042761F"/>
    <w:rPr>
      <w:b/>
      <w:bCs/>
      <w:iCs/>
      <w:caps/>
      <w:szCs w:val="28"/>
    </w:rPr>
  </w:style>
  <w:style w:type="character" w:styleId="SchwacheHervorhebung">
    <w:name w:val="Subtle Emphasis"/>
    <w:basedOn w:val="Absatz-Standardschriftart"/>
    <w:uiPriority w:val="19"/>
    <w:qFormat/>
    <w:rsid w:val="007F00C0"/>
    <w:rPr>
      <w:i/>
      <w:iCs/>
      <w:color w:val="808080" w:themeColor="text1" w:themeTint="7F"/>
    </w:rPr>
  </w:style>
  <w:style w:type="paragraph" w:styleId="Fuzeile">
    <w:name w:val="footer"/>
    <w:basedOn w:val="Standard"/>
    <w:link w:val="FuzeileZchn"/>
    <w:uiPriority w:val="99"/>
    <w:semiHidden/>
    <w:unhideWhenUsed/>
    <w:locked/>
    <w:rsid w:val="00911BD3"/>
    <w:pPr>
      <w:tabs>
        <w:tab w:val="center" w:pos="4536"/>
        <w:tab w:val="right" w:pos="9072"/>
      </w:tabs>
      <w:spacing w:before="0" w:after="0"/>
    </w:pPr>
  </w:style>
  <w:style w:type="character" w:customStyle="1" w:styleId="FuzeileZchn">
    <w:name w:val="Fußzeile Zchn"/>
    <w:basedOn w:val="Absatz-Standardschriftart"/>
    <w:link w:val="Fuzeile"/>
    <w:uiPriority w:val="99"/>
    <w:semiHidden/>
    <w:rsid w:val="00911BD3"/>
    <w:rPr>
      <w:rFonts w:eastAsia="Calibri"/>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79989-A8E6-437E-9420-4C1143C13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6051</Characters>
  <Application>Microsoft Office Word</Application>
  <DocSecurity>4</DocSecurity>
  <Lines>50</Lines>
  <Paragraphs>13</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XXX(YY)XX - Source - Content</vt:lpstr>
      <vt:lpstr>XXX(YY)XX - Source - Content</vt:lpstr>
      <vt:lpstr>New ECC Report Style</vt:lpstr>
    </vt:vector>
  </TitlesOfParts>
  <Manager>stella.lyubchenko@eco.cept.org</Manager>
  <Company>ECO</Company>
  <LinksUpToDate>false</LinksUpToDate>
  <CharactersWithSpaces>6998</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XXX(YY)XX - Source - Content</dc:title>
  <dc:creator>CPG</dc:creator>
  <dc:description>This template is used as guidance to draft generic contributions to CEPT</dc:description>
  <cp:lastModifiedBy>CPG Secretary</cp:lastModifiedBy>
  <cp:revision>2</cp:revision>
  <cp:lastPrinted>1901-01-01T00:00:00Z</cp:lastPrinted>
  <dcterms:created xsi:type="dcterms:W3CDTF">2019-08-21T14:31:00Z</dcterms:created>
  <dcterms:modified xsi:type="dcterms:W3CDTF">2019-08-21T14:31:00Z</dcterms:modified>
  <cp:category>protected templates</cp:category>
  <cp:contentStatus>Revision 19.10.2014</cp:contentStatus>
</cp:coreProperties>
</file>