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5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2701"/>
        <w:gridCol w:w="1724"/>
        <w:gridCol w:w="3555"/>
        <w:gridCol w:w="38"/>
      </w:tblGrid>
      <w:tr w:rsidR="00346C62" w:rsidRPr="0098621D" w14:paraId="759395D7" w14:textId="77777777" w:rsidTr="00B04F79">
        <w:trPr>
          <w:cantSplit/>
        </w:trPr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80AEA" w14:textId="5091A28B" w:rsidR="00346C62" w:rsidRPr="0098621D" w:rsidRDefault="001C5966" w:rsidP="00215746">
            <w:pPr>
              <w:pStyle w:val="Kopfzeile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2D5E5B" wp14:editId="1D899A49">
                  <wp:extent cx="1619250" cy="8286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77159" w14:textId="77777777" w:rsidR="00346C62" w:rsidRPr="0098621D" w:rsidRDefault="00346C62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441F8" w14:textId="606FE361" w:rsidR="00346C62" w:rsidRPr="00346C62" w:rsidRDefault="00053F4E" w:rsidP="000F3F32">
            <w:pPr>
              <w:pStyle w:val="Kopfzeile1"/>
              <w:tabs>
                <w:tab w:val="clear" w:pos="4536"/>
                <w:tab w:val="right" w:pos="3357"/>
              </w:tabs>
              <w:jc w:val="right"/>
            </w:pPr>
            <w:r>
              <w:t>ECC PT1</w:t>
            </w:r>
            <w:r w:rsidR="00501798">
              <w:t>(1</w:t>
            </w:r>
            <w:r w:rsidR="000A62FE">
              <w:t>7</w:t>
            </w:r>
            <w:r w:rsidR="00AF058B">
              <w:t>)089</w:t>
            </w:r>
            <w:bookmarkStart w:id="0" w:name="_GoBack"/>
            <w:bookmarkEnd w:id="0"/>
          </w:p>
        </w:tc>
      </w:tr>
      <w:tr w:rsidR="00346C62" w:rsidRPr="0098621D" w14:paraId="68AE79FF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55A3" w14:textId="2F5636E7" w:rsidR="00346C62" w:rsidRPr="00D149DA" w:rsidRDefault="00053F4E" w:rsidP="00390143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ECC PT1</w:t>
            </w:r>
            <w:r w:rsidR="00501798">
              <w:rPr>
                <w:lang w:val="en-GB"/>
              </w:rPr>
              <w:t xml:space="preserve"> #</w:t>
            </w:r>
            <w:r w:rsidR="00B04F79">
              <w:rPr>
                <w:lang w:val="en-GB"/>
              </w:rPr>
              <w:t xml:space="preserve"> </w:t>
            </w:r>
            <w:r w:rsidR="00390143">
              <w:rPr>
                <w:lang w:val="en-GB"/>
              </w:rPr>
              <w:t>5</w:t>
            </w:r>
            <w:r w:rsidR="005407D4">
              <w:rPr>
                <w:lang w:val="en-GB"/>
              </w:rPr>
              <w:t>5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A23DC" w14:textId="77777777"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346C62" w:rsidRPr="0098621D" w14:paraId="0F6D8778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B2BFE" w14:textId="04587A51" w:rsidR="00346C62" w:rsidRPr="00D149DA" w:rsidRDefault="005407D4" w:rsidP="005407D4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Berlin</w:t>
            </w:r>
            <w:r w:rsidR="00600BA1">
              <w:rPr>
                <w:lang w:val="en-GB"/>
              </w:rPr>
              <w:t xml:space="preserve">, </w:t>
            </w:r>
            <w:r>
              <w:rPr>
                <w:lang w:val="en-GB"/>
              </w:rPr>
              <w:t>Germany</w:t>
            </w:r>
            <w:r w:rsidR="00600BA1">
              <w:rPr>
                <w:lang w:val="en-GB"/>
              </w:rPr>
              <w:t xml:space="preserve">, </w:t>
            </w:r>
            <w:r>
              <w:rPr>
                <w:lang w:val="en-GB"/>
              </w:rPr>
              <w:t>24</w:t>
            </w:r>
            <w:r w:rsidR="00390143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  <w:r w:rsidR="00600BA1">
              <w:rPr>
                <w:lang w:val="en-GB"/>
              </w:rPr>
              <w:t xml:space="preserve"> </w:t>
            </w:r>
            <w:r>
              <w:rPr>
                <w:lang w:val="en-GB"/>
              </w:rPr>
              <w:t>April</w:t>
            </w:r>
            <w:r w:rsidR="00501798">
              <w:rPr>
                <w:lang w:val="en-GB"/>
              </w:rPr>
              <w:t xml:space="preserve"> 201</w:t>
            </w:r>
            <w:r w:rsidR="000A62FE">
              <w:rPr>
                <w:lang w:val="en-GB"/>
              </w:rPr>
              <w:t>7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6884" w14:textId="77777777"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98621D" w14:paraId="6E53F4EF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8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AF34" w14:textId="77777777" w:rsidR="00F05B26" w:rsidRPr="00D149DA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48F7" w14:textId="77777777" w:rsidR="00F05B26" w:rsidRPr="0098621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F05B26" w:rsidRPr="0098621D" w14:paraId="3553DA70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606C" w14:textId="10200E62"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Date issued: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7E2C7" w14:textId="2C77F6CE" w:rsidR="00F05B26" w:rsidRPr="0098621D" w:rsidRDefault="004E52B5" w:rsidP="006200DE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200DE">
              <w:rPr>
                <w:lang w:val="en-GB"/>
              </w:rPr>
              <w:t>9</w:t>
            </w:r>
            <w:r>
              <w:rPr>
                <w:lang w:val="en-GB"/>
              </w:rPr>
              <w:t xml:space="preserve"> April 2017</w:t>
            </w:r>
          </w:p>
        </w:tc>
      </w:tr>
      <w:tr w:rsidR="00F05B26" w:rsidRPr="0098621D" w14:paraId="37699137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D4F9" w14:textId="77777777"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Source:</w:t>
            </w:r>
            <w:r w:rsidR="00ED7AEC" w:rsidRPr="00D149DA">
              <w:rPr>
                <w:lang w:val="en-GB"/>
              </w:rPr>
              <w:t xml:space="preserve"> 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4FF0" w14:textId="774F88DC" w:rsidR="00F05B26" w:rsidRPr="0098621D" w:rsidRDefault="004E52B5" w:rsidP="00215746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</w:tr>
      <w:tr w:rsidR="00F05B26" w:rsidRPr="0098621D" w14:paraId="449E6B6C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40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4BB74" w14:textId="77777777"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Subject:</w:t>
            </w:r>
            <w:r w:rsidR="005269EA" w:rsidRPr="00D149DA">
              <w:rPr>
                <w:lang w:val="en-GB"/>
              </w:rPr>
              <w:t xml:space="preserve"> 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2E21" w14:textId="67836B5E" w:rsidR="00F05B26" w:rsidRPr="001E0E49" w:rsidRDefault="00065E01" w:rsidP="001E0E49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Revision of ECC</w:t>
            </w:r>
            <w:r w:rsidR="004E52B5">
              <w:rPr>
                <w:lang w:val="en-GB"/>
              </w:rPr>
              <w:t xml:space="preserve"> Recommendation (08)02</w:t>
            </w:r>
          </w:p>
        </w:tc>
      </w:tr>
      <w:tr w:rsidR="00493F86" w:rsidRPr="0098621D" w14:paraId="329D0D86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1040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BFA5C" w14:textId="77777777" w:rsidR="00493F86" w:rsidRPr="006D7413" w:rsidRDefault="001C5966" w:rsidP="00FF320E">
            <w:pPr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2F09219" wp14:editId="2221B009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193675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C34A5" w14:textId="77777777" w:rsidR="005269EA" w:rsidRPr="00254FD9" w:rsidRDefault="005269EA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09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pt;margin-top:15.2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">
                      <v:textbox>
                        <w:txbxContent>
                          <w:p w14:paraId="1EFC34A5" w14:textId="77777777" w:rsidR="005269EA" w:rsidRPr="00254FD9" w:rsidRDefault="005269EA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1105304" w14:textId="77777777" w:rsidR="00493F86" w:rsidRDefault="001D181E" w:rsidP="00FF320E">
            <w:pPr>
              <w:rPr>
                <w:lang w:val="en-GB"/>
              </w:rPr>
            </w:pPr>
            <w:r>
              <w:rPr>
                <w:lang w:val="en-GB"/>
              </w:rPr>
              <w:t>Group membership</w:t>
            </w:r>
            <w:r w:rsidR="00493F86" w:rsidRPr="0016435A">
              <w:rPr>
                <w:lang w:val="en-GB"/>
              </w:rPr>
              <w:t xml:space="preserve"> required</w:t>
            </w:r>
            <w:r>
              <w:rPr>
                <w:lang w:val="en-GB"/>
              </w:rPr>
              <w:t xml:space="preserve"> to read? (Y/N)</w:t>
            </w:r>
          </w:p>
          <w:p w14:paraId="1A4DB81E" w14:textId="77777777" w:rsidR="00493F86" w:rsidRPr="00DD103C" w:rsidRDefault="00493F86" w:rsidP="00FF320E">
            <w:pPr>
              <w:pStyle w:val="Header1"/>
              <w:rPr>
                <w:lang w:val="en-GB"/>
              </w:rPr>
            </w:pPr>
          </w:p>
        </w:tc>
      </w:tr>
      <w:tr w:rsidR="00493F86" w:rsidRPr="0098621D" w14:paraId="1AFE97FE" w14:textId="77777777" w:rsidTr="00B04F79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hRule="exact" w:val="74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911D" w14:textId="77777777" w:rsidR="00493F86" w:rsidRPr="003D778B" w:rsidRDefault="00493F86" w:rsidP="00FF320E">
            <w:pPr>
              <w:pStyle w:val="Header1"/>
            </w:pPr>
          </w:p>
          <w:p w14:paraId="38F7F1A8" w14:textId="77777777" w:rsidR="00493F86" w:rsidRPr="0098621D" w:rsidRDefault="00493F86" w:rsidP="00FF320E">
            <w:pPr>
              <w:pStyle w:val="Header1"/>
              <w:rPr>
                <w:sz w:val="8"/>
              </w:rPr>
            </w:pPr>
          </w:p>
        </w:tc>
      </w:tr>
      <w:tr w:rsidR="001E0E49" w14:paraId="5A6409F3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854" w:type="dxa"/>
            <w:gridSpan w:val="5"/>
            <w:tcBorders>
              <w:bottom w:val="nil"/>
            </w:tcBorders>
          </w:tcPr>
          <w:p w14:paraId="3419BC92" w14:textId="77777777" w:rsidR="001E0E49" w:rsidRDefault="001E0E49" w:rsidP="001E0E49">
            <w:pPr>
              <w:pStyle w:val="Kopfzeile1"/>
              <w:rPr>
                <w:lang w:val="en-US"/>
              </w:rPr>
            </w:pPr>
            <w:r w:rsidRPr="001E0E49">
              <w:rPr>
                <w:lang w:val="en-US"/>
              </w:rPr>
              <w:t>Summary:</w:t>
            </w:r>
            <w:r>
              <w:rPr>
                <w:lang w:val="en-US"/>
              </w:rPr>
              <w:t xml:space="preserve"> </w:t>
            </w:r>
          </w:p>
        </w:tc>
      </w:tr>
      <w:tr w:rsidR="001E0E49" w:rsidRPr="00D44060" w14:paraId="5798060D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</w:tcPr>
          <w:p w14:paraId="4ADE921C" w14:textId="589BF524" w:rsidR="001E0E49" w:rsidRPr="001E0E49" w:rsidRDefault="00B91B98" w:rsidP="001E0E49">
            <w:r>
              <w:t xml:space="preserve">ECC/REC(08)02 contains provisions for the cross-border coordination of GSM, UMTS, LTE and WiMAX Land Mobile Systems in the frequency bands 900 MHz and 1800 MHz. </w:t>
            </w:r>
            <w:r w:rsidR="00857B06">
              <w:t>This contri</w:t>
            </w:r>
            <w:r w:rsidR="00065E01">
              <w:t>bution proposes to consider the</w:t>
            </w:r>
            <w:r w:rsidR="00857B06">
              <w:t xml:space="preserve"> modifications </w:t>
            </w:r>
            <w:r w:rsidR="00065E01">
              <w:t xml:space="preserve">as indicated </w:t>
            </w:r>
            <w:r w:rsidR="00857B06">
              <w:t xml:space="preserve">in the </w:t>
            </w:r>
            <w:r w:rsidR="00065E01">
              <w:t xml:space="preserve">attached </w:t>
            </w:r>
            <w:r w:rsidR="00857B06">
              <w:t xml:space="preserve">draft revised </w:t>
            </w:r>
            <w:r w:rsidR="00065E01">
              <w:t>version of the Recommendation.</w:t>
            </w:r>
          </w:p>
        </w:tc>
      </w:tr>
      <w:tr w:rsidR="001E0E49" w14:paraId="1F24F185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854" w:type="dxa"/>
            <w:gridSpan w:val="5"/>
            <w:tcBorders>
              <w:bottom w:val="nil"/>
            </w:tcBorders>
          </w:tcPr>
          <w:p w14:paraId="7E2CFE4E" w14:textId="77777777" w:rsidR="001E0E49" w:rsidRDefault="001E0E49" w:rsidP="001E0E49">
            <w:pPr>
              <w:pStyle w:val="Kopfzeile1"/>
              <w:rPr>
                <w:lang w:val="en-US"/>
              </w:rPr>
            </w:pPr>
            <w:r>
              <w:rPr>
                <w:lang w:val="en-US"/>
              </w:rPr>
              <w:t xml:space="preserve">Proposal: </w:t>
            </w:r>
          </w:p>
        </w:tc>
      </w:tr>
      <w:tr w:rsidR="001E0E49" w14:paraId="2146DEB6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</w:tcPr>
          <w:p w14:paraId="67524678" w14:textId="25C35120" w:rsidR="001E0E49" w:rsidRDefault="00C713BF" w:rsidP="001E0E49">
            <w:pPr>
              <w:rPr>
                <w:lang w:val="en-US"/>
              </w:rPr>
            </w:pPr>
            <w:r>
              <w:rPr>
                <w:lang w:val="en-US"/>
              </w:rPr>
              <w:t xml:space="preserve">Besides </w:t>
            </w:r>
            <w:r w:rsidR="00B04695">
              <w:rPr>
                <w:lang w:val="en-US"/>
              </w:rPr>
              <w:t xml:space="preserve">several </w:t>
            </w:r>
            <w:r>
              <w:rPr>
                <w:lang w:val="en-US"/>
              </w:rPr>
              <w:t>editorial improvements it is proposed to</w:t>
            </w:r>
          </w:p>
          <w:p w14:paraId="25897337" w14:textId="17301B49" w:rsidR="00C713BF" w:rsidRDefault="00663857" w:rsidP="00C713B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formulate</w:t>
            </w:r>
            <w:r w:rsidR="00C713BF">
              <w:rPr>
                <w:lang w:val="en-US"/>
              </w:rPr>
              <w:t xml:space="preserve"> the text more technology neutral</w:t>
            </w:r>
          </w:p>
          <w:p w14:paraId="023B074A" w14:textId="1E5C7EB9" w:rsidR="00C713BF" w:rsidRDefault="00663857" w:rsidP="00C713B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include and update </w:t>
            </w:r>
            <w:r w:rsidR="00B04695">
              <w:rPr>
                <w:lang w:val="en-US"/>
              </w:rPr>
              <w:t>referenced documents</w:t>
            </w:r>
          </w:p>
          <w:p w14:paraId="4BD70002" w14:textId="5BE3771B" w:rsidR="00663857" w:rsidRDefault="00663857" w:rsidP="00C713B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integrate the UMTS case into the set of regular MFCN cases</w:t>
            </w:r>
          </w:p>
          <w:p w14:paraId="4071FE2B" w14:textId="05F51215" w:rsidR="00663857" w:rsidRDefault="00663857" w:rsidP="00C713BF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adapt the </w:t>
            </w:r>
            <w:r w:rsidR="00B04695">
              <w:rPr>
                <w:lang w:val="en-US"/>
              </w:rPr>
              <w:t xml:space="preserve">provisions for the secondary line from </w:t>
            </w:r>
            <w:r>
              <w:rPr>
                <w:lang w:val="en-US"/>
              </w:rPr>
              <w:t xml:space="preserve">9 km </w:t>
            </w:r>
            <w:r w:rsidR="00B04695">
              <w:rPr>
                <w:lang w:val="en-US"/>
              </w:rPr>
              <w:t>to 6 km</w:t>
            </w:r>
          </w:p>
          <w:p w14:paraId="5A664A8D" w14:textId="510BF385" w:rsidR="001E0E49" w:rsidRDefault="00663857" w:rsidP="00B04695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include provisions for the use of non-preferential codes and PCIs</w:t>
            </w:r>
          </w:p>
        </w:tc>
      </w:tr>
      <w:tr w:rsidR="001E0E49" w14:paraId="00AA0809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54" w:type="dxa"/>
            <w:gridSpan w:val="5"/>
            <w:tcBorders>
              <w:bottom w:val="nil"/>
            </w:tcBorders>
          </w:tcPr>
          <w:p w14:paraId="36DABDA4" w14:textId="77777777" w:rsidR="001E0E49" w:rsidRDefault="001E0E49" w:rsidP="001E0E49">
            <w:pPr>
              <w:pStyle w:val="Kopfzeile1"/>
              <w:rPr>
                <w:lang w:val="en-US"/>
              </w:rPr>
            </w:pPr>
            <w:r>
              <w:rPr>
                <w:lang w:val="en-US"/>
              </w:rPr>
              <w:t>Background:</w:t>
            </w:r>
            <w:r w:rsidR="00ED7AEC">
              <w:rPr>
                <w:lang w:val="en-US"/>
              </w:rPr>
              <w:t xml:space="preserve"> </w:t>
            </w:r>
          </w:p>
        </w:tc>
      </w:tr>
      <w:tr w:rsidR="001E0E49" w:rsidRPr="00E305FF" w14:paraId="09F2BAE2" w14:textId="77777777" w:rsidTr="00B04F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</w:trPr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</w:tcPr>
          <w:p w14:paraId="692CFC44" w14:textId="0C81717D" w:rsidR="001E0E49" w:rsidRDefault="00B91B98" w:rsidP="004002F7">
            <w:pPr>
              <w:rPr>
                <w:bCs/>
                <w:szCs w:val="24"/>
                <w:lang w:val="en-GB"/>
              </w:rPr>
            </w:pPr>
            <w:r w:rsidRPr="00B91B98">
              <w:rPr>
                <w:bCs/>
                <w:szCs w:val="24"/>
                <w:lang w:val="en-GB"/>
              </w:rPr>
              <w:t>ECC/</w:t>
            </w:r>
            <w:proofErr w:type="gramStart"/>
            <w:r w:rsidRPr="00B91B98">
              <w:rPr>
                <w:bCs/>
                <w:szCs w:val="24"/>
                <w:lang w:val="en-GB"/>
              </w:rPr>
              <w:t>REC(</w:t>
            </w:r>
            <w:proofErr w:type="gramEnd"/>
            <w:r w:rsidRPr="00B91B98">
              <w:rPr>
                <w:bCs/>
                <w:szCs w:val="24"/>
                <w:lang w:val="en-GB"/>
              </w:rPr>
              <w:t>08)02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="00537FEF">
              <w:rPr>
                <w:bCs/>
                <w:szCs w:val="24"/>
                <w:lang w:val="en-GB"/>
              </w:rPr>
              <w:t xml:space="preserve">was approved in 2008 and </w:t>
            </w:r>
            <w:r>
              <w:rPr>
                <w:bCs/>
                <w:szCs w:val="24"/>
                <w:lang w:val="en-GB"/>
              </w:rPr>
              <w:t>amended in 2012.</w:t>
            </w:r>
            <w:r w:rsidR="00537FEF">
              <w:rPr>
                <w:bCs/>
                <w:szCs w:val="24"/>
                <w:lang w:val="en-GB"/>
              </w:rPr>
              <w:t xml:space="preserve"> It is due for revision in 2017 in order to respect necessary modifications in the light of technical and/or regulatory developments.</w:t>
            </w:r>
          </w:p>
          <w:p w14:paraId="53687A42" w14:textId="64224C9B" w:rsidR="00C713BF" w:rsidRDefault="00C713BF" w:rsidP="00C713BF">
            <w:pPr>
              <w:rPr>
                <w:lang w:val="en-US"/>
              </w:rPr>
            </w:pPr>
            <w:r>
              <w:rPr>
                <w:lang w:val="en-US"/>
              </w:rPr>
              <w:t>The frequency bands 900 MHz and 1800 MHz were initially used by the GSM system</w:t>
            </w:r>
            <w:r w:rsidR="00537FEF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opened for IMT about 10 years ago. </w:t>
            </w:r>
            <w:r w:rsidR="00537FEF">
              <w:rPr>
                <w:lang w:val="en-US"/>
              </w:rPr>
              <w:t xml:space="preserve">Despite </w:t>
            </w:r>
            <w:r w:rsidR="00F10D25">
              <w:rPr>
                <w:lang w:val="en-US"/>
              </w:rPr>
              <w:t xml:space="preserve">gained experience and </w:t>
            </w:r>
            <w:r w:rsidR="00537FEF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revision in 2012 the </w:t>
            </w:r>
            <w:r w:rsidR="00F10D25">
              <w:rPr>
                <w:lang w:val="en-US"/>
              </w:rPr>
              <w:t xml:space="preserve">current </w:t>
            </w:r>
            <w:r>
              <w:rPr>
                <w:lang w:val="en-US"/>
              </w:rPr>
              <w:t>text still focuses on the transition from GSM to broadband technology.</w:t>
            </w:r>
          </w:p>
          <w:p w14:paraId="1602F160" w14:textId="10A8C5B7" w:rsidR="00537FEF" w:rsidRPr="00E305FF" w:rsidRDefault="00537FEF" w:rsidP="00537FEF">
            <w:pPr>
              <w:rPr>
                <w:bCs/>
                <w:szCs w:val="24"/>
                <w:lang w:val="en-GB"/>
              </w:rPr>
            </w:pPr>
            <w:r>
              <w:rPr>
                <w:lang w:val="en-US"/>
              </w:rPr>
              <w:t>As ECC Cross-border Recommendations (11)04 and (11)05 were revised recently they could serve as a model for the revision of Recommendation (08)02.</w:t>
            </w:r>
          </w:p>
        </w:tc>
      </w:tr>
    </w:tbl>
    <w:p w14:paraId="3FF82843" w14:textId="77777777" w:rsidR="00DE5E01" w:rsidRDefault="00DE5E01" w:rsidP="00DE5E01">
      <w:pPr>
        <w:rPr>
          <w:lang w:val="en-GB"/>
        </w:rPr>
      </w:pPr>
    </w:p>
    <w:p w14:paraId="16D23058" w14:textId="38D6922C" w:rsidR="00501798" w:rsidRPr="00DE5E01" w:rsidRDefault="00501798" w:rsidP="00501798">
      <w:pPr>
        <w:spacing w:after="0"/>
        <w:jc w:val="left"/>
        <w:rPr>
          <w:lang w:val="en-GB"/>
        </w:rPr>
      </w:pPr>
    </w:p>
    <w:sectPr w:rsidR="00501798" w:rsidRPr="00DE5E01" w:rsidSect="008F677F">
      <w:footerReference w:type="even" r:id="rId11"/>
      <w:footerReference w:type="default" r:id="rId12"/>
      <w:headerReference w:type="first" r:id="rId13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1AA2" w14:textId="77777777" w:rsidR="00F92C2D" w:rsidRDefault="00F92C2D">
      <w:r>
        <w:separator/>
      </w:r>
    </w:p>
  </w:endnote>
  <w:endnote w:type="continuationSeparator" w:id="0">
    <w:p w14:paraId="205FA97A" w14:textId="77777777" w:rsidR="00F92C2D" w:rsidRDefault="00F9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C2CD" w14:textId="77777777" w:rsidR="005269EA" w:rsidRDefault="005269E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308B7" w14:textId="77777777" w:rsidR="005269EA" w:rsidRDefault="005269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6CF0" w14:textId="77777777" w:rsidR="005269EA" w:rsidRDefault="005269EA">
    <w:pPr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50179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0EBEF6E" w14:textId="77777777" w:rsidR="005269EA" w:rsidRDefault="005269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FA62" w14:textId="77777777" w:rsidR="00F92C2D" w:rsidRDefault="00F92C2D">
      <w:r>
        <w:separator/>
      </w:r>
    </w:p>
  </w:footnote>
  <w:footnote w:type="continuationSeparator" w:id="0">
    <w:p w14:paraId="514D727F" w14:textId="77777777" w:rsidR="00F92C2D" w:rsidRDefault="00F92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2F1C" w14:textId="77777777" w:rsidR="00501798" w:rsidRDefault="00501798" w:rsidP="00501798">
    <w:pPr>
      <w:pStyle w:val="ECCHeader"/>
    </w:pPr>
    <w:r w:rsidRPr="008742E3">
      <w:rPr>
        <w:noProof/>
        <w:lang w:val="en-GB" w:eastAsia="en-GB"/>
      </w:rPr>
      <w:drawing>
        <wp:inline distT="0" distB="0" distL="0" distR="0" wp14:anchorId="41073198" wp14:editId="4C0667C3">
          <wp:extent cx="889000" cy="889000"/>
          <wp:effectExtent l="0" t="0" r="6350" b="6350"/>
          <wp:docPr id="3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en-GB" w:eastAsia="en-GB"/>
      </w:rPr>
      <w:drawing>
        <wp:inline distT="0" distB="0" distL="0" distR="0" wp14:anchorId="2CC791FC" wp14:editId="7F384AD5">
          <wp:extent cx="1461770" cy="546100"/>
          <wp:effectExtent l="0" t="0" r="5080" b="6350"/>
          <wp:docPr id="4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988B0" w14:textId="77777777" w:rsidR="00501798" w:rsidRDefault="00501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766"/>
    <w:multiLevelType w:val="hybridMultilevel"/>
    <w:tmpl w:val="6D0E1698"/>
    <w:lvl w:ilvl="0" w:tplc="28909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 w15:restartNumberingAfterBreak="0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7767BF"/>
    <w:multiLevelType w:val="multilevel"/>
    <w:tmpl w:val="7060B3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10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68"/>
    <w:rsid w:val="000024DF"/>
    <w:rsid w:val="0000405A"/>
    <w:rsid w:val="00017416"/>
    <w:rsid w:val="000233C6"/>
    <w:rsid w:val="00033112"/>
    <w:rsid w:val="000364E2"/>
    <w:rsid w:val="00042E6D"/>
    <w:rsid w:val="000448F6"/>
    <w:rsid w:val="00053F4E"/>
    <w:rsid w:val="000641A7"/>
    <w:rsid w:val="00065E01"/>
    <w:rsid w:val="00086867"/>
    <w:rsid w:val="00095D52"/>
    <w:rsid w:val="00097E34"/>
    <w:rsid w:val="000A62FE"/>
    <w:rsid w:val="000B0905"/>
    <w:rsid w:val="000D0F3C"/>
    <w:rsid w:val="000E1102"/>
    <w:rsid w:val="000E346F"/>
    <w:rsid w:val="000F1373"/>
    <w:rsid w:val="000F3F32"/>
    <w:rsid w:val="00106047"/>
    <w:rsid w:val="00113B49"/>
    <w:rsid w:val="00135FE7"/>
    <w:rsid w:val="00161D26"/>
    <w:rsid w:val="00162CBB"/>
    <w:rsid w:val="0016435A"/>
    <w:rsid w:val="001C5966"/>
    <w:rsid w:val="001D181E"/>
    <w:rsid w:val="001E0E49"/>
    <w:rsid w:val="001F2614"/>
    <w:rsid w:val="00215746"/>
    <w:rsid w:val="00222F7B"/>
    <w:rsid w:val="00260D98"/>
    <w:rsid w:val="0026766F"/>
    <w:rsid w:val="00277BC1"/>
    <w:rsid w:val="0028051D"/>
    <w:rsid w:val="00294331"/>
    <w:rsid w:val="002A02A3"/>
    <w:rsid w:val="002B169D"/>
    <w:rsid w:val="002B4666"/>
    <w:rsid w:val="002B47FC"/>
    <w:rsid w:val="002B683F"/>
    <w:rsid w:val="00314E5E"/>
    <w:rsid w:val="00326C68"/>
    <w:rsid w:val="00346C62"/>
    <w:rsid w:val="00357A5F"/>
    <w:rsid w:val="00381C68"/>
    <w:rsid w:val="00390143"/>
    <w:rsid w:val="0039030E"/>
    <w:rsid w:val="003A57CC"/>
    <w:rsid w:val="003B1654"/>
    <w:rsid w:val="003C2268"/>
    <w:rsid w:val="003C4848"/>
    <w:rsid w:val="003C53D0"/>
    <w:rsid w:val="003E76E9"/>
    <w:rsid w:val="003F73E2"/>
    <w:rsid w:val="004002F7"/>
    <w:rsid w:val="00430369"/>
    <w:rsid w:val="00431D12"/>
    <w:rsid w:val="004369DC"/>
    <w:rsid w:val="00443C40"/>
    <w:rsid w:val="004648A4"/>
    <w:rsid w:val="004662F9"/>
    <w:rsid w:val="00483D13"/>
    <w:rsid w:val="00486369"/>
    <w:rsid w:val="004902AE"/>
    <w:rsid w:val="00493F86"/>
    <w:rsid w:val="004A099D"/>
    <w:rsid w:val="004A47FF"/>
    <w:rsid w:val="004B23D3"/>
    <w:rsid w:val="004E52B5"/>
    <w:rsid w:val="004F061E"/>
    <w:rsid w:val="004F2824"/>
    <w:rsid w:val="004F2E89"/>
    <w:rsid w:val="00500553"/>
    <w:rsid w:val="00501798"/>
    <w:rsid w:val="005269EA"/>
    <w:rsid w:val="0053015C"/>
    <w:rsid w:val="00533846"/>
    <w:rsid w:val="005348B2"/>
    <w:rsid w:val="00537FEF"/>
    <w:rsid w:val="005407D4"/>
    <w:rsid w:val="005434C4"/>
    <w:rsid w:val="00554550"/>
    <w:rsid w:val="005549FF"/>
    <w:rsid w:val="00562E1E"/>
    <w:rsid w:val="005761BB"/>
    <w:rsid w:val="005E5D91"/>
    <w:rsid w:val="005F1C1F"/>
    <w:rsid w:val="00600BA1"/>
    <w:rsid w:val="00616265"/>
    <w:rsid w:val="006200DE"/>
    <w:rsid w:val="0063524D"/>
    <w:rsid w:val="006542C3"/>
    <w:rsid w:val="0065588F"/>
    <w:rsid w:val="00662842"/>
    <w:rsid w:val="00663857"/>
    <w:rsid w:val="00664805"/>
    <w:rsid w:val="00684589"/>
    <w:rsid w:val="006845C9"/>
    <w:rsid w:val="006902F9"/>
    <w:rsid w:val="00690B4B"/>
    <w:rsid w:val="0069180A"/>
    <w:rsid w:val="006C4BCC"/>
    <w:rsid w:val="006D1EAC"/>
    <w:rsid w:val="006E1FA9"/>
    <w:rsid w:val="0070740D"/>
    <w:rsid w:val="007538DB"/>
    <w:rsid w:val="0075560F"/>
    <w:rsid w:val="00782F34"/>
    <w:rsid w:val="007925CA"/>
    <w:rsid w:val="00793843"/>
    <w:rsid w:val="007A0090"/>
    <w:rsid w:val="007A1831"/>
    <w:rsid w:val="007A49AD"/>
    <w:rsid w:val="00802521"/>
    <w:rsid w:val="00807AA2"/>
    <w:rsid w:val="00807F54"/>
    <w:rsid w:val="00820168"/>
    <w:rsid w:val="00857B06"/>
    <w:rsid w:val="00884205"/>
    <w:rsid w:val="008A37BA"/>
    <w:rsid w:val="008D2718"/>
    <w:rsid w:val="008D4942"/>
    <w:rsid w:val="008D763E"/>
    <w:rsid w:val="008F33D5"/>
    <w:rsid w:val="008F5596"/>
    <w:rsid w:val="008F5ECB"/>
    <w:rsid w:val="008F677F"/>
    <w:rsid w:val="00966316"/>
    <w:rsid w:val="009852E6"/>
    <w:rsid w:val="0098621D"/>
    <w:rsid w:val="00997A4D"/>
    <w:rsid w:val="009B3CB6"/>
    <w:rsid w:val="009C2F3B"/>
    <w:rsid w:val="009D242F"/>
    <w:rsid w:val="009D4B2F"/>
    <w:rsid w:val="00A024A8"/>
    <w:rsid w:val="00A235AB"/>
    <w:rsid w:val="00A267CE"/>
    <w:rsid w:val="00A477F3"/>
    <w:rsid w:val="00A64930"/>
    <w:rsid w:val="00A77E89"/>
    <w:rsid w:val="00A87C8C"/>
    <w:rsid w:val="00A95309"/>
    <w:rsid w:val="00AA26E7"/>
    <w:rsid w:val="00AA3CFD"/>
    <w:rsid w:val="00AA59E8"/>
    <w:rsid w:val="00AC0304"/>
    <w:rsid w:val="00AC345D"/>
    <w:rsid w:val="00AC565D"/>
    <w:rsid w:val="00AD241F"/>
    <w:rsid w:val="00AE7906"/>
    <w:rsid w:val="00AF058B"/>
    <w:rsid w:val="00B0161E"/>
    <w:rsid w:val="00B04695"/>
    <w:rsid w:val="00B04F79"/>
    <w:rsid w:val="00B1073A"/>
    <w:rsid w:val="00B1660B"/>
    <w:rsid w:val="00B6512A"/>
    <w:rsid w:val="00B70CD3"/>
    <w:rsid w:val="00B90507"/>
    <w:rsid w:val="00B91B98"/>
    <w:rsid w:val="00BB27C5"/>
    <w:rsid w:val="00BB7C49"/>
    <w:rsid w:val="00BC2918"/>
    <w:rsid w:val="00BE4CC9"/>
    <w:rsid w:val="00BF2999"/>
    <w:rsid w:val="00C154C2"/>
    <w:rsid w:val="00C22723"/>
    <w:rsid w:val="00C309B1"/>
    <w:rsid w:val="00C43796"/>
    <w:rsid w:val="00C47BE9"/>
    <w:rsid w:val="00C50EF1"/>
    <w:rsid w:val="00C5418E"/>
    <w:rsid w:val="00C60D46"/>
    <w:rsid w:val="00C62218"/>
    <w:rsid w:val="00C713BF"/>
    <w:rsid w:val="00C75E0E"/>
    <w:rsid w:val="00C76C32"/>
    <w:rsid w:val="00C82BC5"/>
    <w:rsid w:val="00CB0BBB"/>
    <w:rsid w:val="00CB228E"/>
    <w:rsid w:val="00CD4FA2"/>
    <w:rsid w:val="00CD51FD"/>
    <w:rsid w:val="00CE40EE"/>
    <w:rsid w:val="00CE6591"/>
    <w:rsid w:val="00D004D0"/>
    <w:rsid w:val="00D00B4F"/>
    <w:rsid w:val="00D14191"/>
    <w:rsid w:val="00D149DA"/>
    <w:rsid w:val="00D34708"/>
    <w:rsid w:val="00D53B5D"/>
    <w:rsid w:val="00D671A5"/>
    <w:rsid w:val="00DD08BA"/>
    <w:rsid w:val="00DE5E01"/>
    <w:rsid w:val="00DF2A80"/>
    <w:rsid w:val="00E232D3"/>
    <w:rsid w:val="00E2796D"/>
    <w:rsid w:val="00E27C6A"/>
    <w:rsid w:val="00E40873"/>
    <w:rsid w:val="00E561B8"/>
    <w:rsid w:val="00E577A4"/>
    <w:rsid w:val="00E779E2"/>
    <w:rsid w:val="00E87AEF"/>
    <w:rsid w:val="00E93323"/>
    <w:rsid w:val="00E93B4D"/>
    <w:rsid w:val="00E95CFE"/>
    <w:rsid w:val="00ED7AEC"/>
    <w:rsid w:val="00EE07DC"/>
    <w:rsid w:val="00EE6D93"/>
    <w:rsid w:val="00EF1568"/>
    <w:rsid w:val="00F05B26"/>
    <w:rsid w:val="00F10D25"/>
    <w:rsid w:val="00F110B9"/>
    <w:rsid w:val="00F22950"/>
    <w:rsid w:val="00F311FB"/>
    <w:rsid w:val="00F37A73"/>
    <w:rsid w:val="00F43BE8"/>
    <w:rsid w:val="00F53012"/>
    <w:rsid w:val="00F92C2D"/>
    <w:rsid w:val="00FA15BA"/>
    <w:rsid w:val="00FA6EBF"/>
    <w:rsid w:val="00FA7FC5"/>
    <w:rsid w:val="00FD0B6D"/>
    <w:rsid w:val="00FD7E46"/>
    <w:rsid w:val="00FE1DCB"/>
    <w:rsid w:val="00FE61C8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2975A"/>
  <w15:docId w15:val="{BFE0CCA9-55E4-4D22-BA4F-1BB13C12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Heading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Heading2">
    <w:name w:val="heading 2"/>
    <w:basedOn w:val="Heading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Header"/>
    <w:rsid w:val="00215746"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ofFigure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l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Header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BalloonText">
    <w:name w:val="Balloon Text"/>
    <w:basedOn w:val="Normal"/>
    <w:link w:val="BalloonTextChar"/>
    <w:rsid w:val="007A00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090"/>
    <w:rPr>
      <w:rFonts w:ascii="Tahoma" w:hAnsi="Tahoma" w:cs="Tahoma"/>
      <w:sz w:val="16"/>
      <w:szCs w:val="16"/>
      <w:lang w:val="nb-NO" w:eastAsia="de-DE"/>
    </w:rPr>
  </w:style>
  <w:style w:type="paragraph" w:styleId="Footer">
    <w:name w:val="footer"/>
    <w:basedOn w:val="Normal"/>
    <w:link w:val="FooterChar"/>
    <w:rsid w:val="0050179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01798"/>
    <w:rPr>
      <w:rFonts w:ascii="Arial" w:hAnsi="Arial"/>
      <w:sz w:val="22"/>
      <w:lang w:val="nb-NO" w:eastAsia="de-DE"/>
    </w:rPr>
  </w:style>
  <w:style w:type="paragraph" w:customStyle="1" w:styleId="ECCHeader">
    <w:name w:val="ECC Header"/>
    <w:rsid w:val="00501798"/>
    <w:pPr>
      <w:tabs>
        <w:tab w:val="left" w:pos="0"/>
        <w:tab w:val="center" w:pos="4820"/>
        <w:tab w:val="right" w:pos="9639"/>
      </w:tabs>
      <w:spacing w:before="60" w:after="120"/>
    </w:pPr>
    <w:rPr>
      <w:rFonts w:ascii="Arial" w:hAnsi="Arial"/>
      <w:b/>
      <w:sz w:val="16"/>
      <w:lang w:val="da-DK" w:eastAsia="en-US"/>
    </w:rPr>
  </w:style>
  <w:style w:type="paragraph" w:styleId="ListParagraph">
    <w:name w:val="List Paragraph"/>
    <w:basedOn w:val="Normal"/>
    <w:uiPriority w:val="34"/>
    <w:qFormat/>
    <w:rsid w:val="00C7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ational meeting document" ma:contentTypeID="0x010100881CCF0D51742848833979853844A403000A02169AA8AD05498421DDB800F2EC76" ma:contentTypeVersion="2" ma:contentTypeDescription="" ma:contentTypeScope="" ma:versionID="27a1534c9d7056221152ca0f6fe03c56">
  <xsd:schema xmlns:xsd="http://www.w3.org/2001/XMLSchema" xmlns:xs="http://www.w3.org/2001/XMLSchema" xmlns:p="http://schemas.microsoft.com/office/2006/metadata/properties" xmlns:ns3="341f3a21-500e-418d-b220-102a9842abf4" xmlns:ns4="4e6bc73a-4154-4813-8bb0-6efa9f7add65" targetNamespace="http://schemas.microsoft.com/office/2006/metadata/properties" ma:root="true" ma:fieldsID="0a7fa12709f6a7b396ff97ebd0d008fc" ns3:_="" ns4:_="">
    <xsd:import namespace="341f3a21-500e-418d-b220-102a9842abf4"/>
    <xsd:import namespace="4e6bc73a-4154-4813-8bb0-6efa9f7add65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Organisation" minOccurs="0"/>
                <xsd:element ref="ns4:Coun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Organisation" ma:index="10" nillable="true" ma:displayName="Organisation" ma:internalName="Organis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bc73a-4154-4813-8bb0-6efa9f7add65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format="Dropdown" ma:internalName="Country">
      <xsd:simpleType>
        <xsd:union memberTypes="dms:Text">
          <xsd:simpleType>
            <xsd:restriction base="dms:Choice">
              <xsd:enumeration value="Belgium"/>
              <xsd:enumeration value="Ireland"/>
              <xsd:enumeration value="France"/>
              <xsd:enumeration value="Holland"/>
              <xsd:enumeration value="Norway"/>
              <xsd:enumeration value="Germany"/>
              <xsd:enumeration value="Luxembourg"/>
              <xsd:enumeration value="Denmark"/>
              <xsd:enumeration value="Spain"/>
              <xsd:enumeration value="Isle of Ma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41f3a21-500e-418d-b220-102a9842abf4" xsi:nil="true"/>
    <Country xmlns="4e6bc73a-4154-4813-8bb0-6efa9f7add65" xsi:nil="true"/>
    <Organisation xmlns="341f3a21-500e-418d-b220-102a9842abf4" xsi:nil="true"/>
  </documentManagement>
</p:properties>
</file>

<file path=customXml/itemProps1.xml><?xml version="1.0" encoding="utf-8"?>
<ds:datastoreItem xmlns:ds="http://schemas.openxmlformats.org/officeDocument/2006/customXml" ds:itemID="{2EA80423-5195-4545-9C21-92BBDAD8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f3a21-500e-418d-b220-102a9842abf4"/>
    <ds:schemaRef ds:uri="4e6bc73a-4154-4813-8bb0-6efa9f7ad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BDCBA-95AC-486A-8A5D-B27A09604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F758E-7FFC-449D-A739-AEEA670821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6bc73a-4154-4813-8bb0-6efa9f7add65"/>
    <ds:schemaRef ds:uri="http://schemas.microsoft.com/office/2006/documentManagement/types"/>
    <ds:schemaRef ds:uri="http://schemas.microsoft.com/office/infopath/2007/PartnerControls"/>
    <ds:schemaRef ds:uri="341f3a21-500e-418d-b220-102a9842ab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FORM01_Input_contribution[1].dot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Wesley Milton</cp:lastModifiedBy>
  <cp:revision>2</cp:revision>
  <cp:lastPrinted>1999-09-27T13:20:00Z</cp:lastPrinted>
  <dcterms:created xsi:type="dcterms:W3CDTF">2017-04-19T12:33:00Z</dcterms:created>
  <dcterms:modified xsi:type="dcterms:W3CDTF">2017-04-19T12:33:00Z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0x010100881CCF0D51742848833979853844A403000A02169AA8AD05498421DDB800F2EC76</vt:lpwstr>
  </property>
</Properties>
</file>