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36"/>
        <w:gridCol w:w="2487"/>
        <w:gridCol w:w="1724"/>
        <w:gridCol w:w="3555"/>
        <w:gridCol w:w="38"/>
      </w:tblGrid>
      <w:tr w:rsidR="00346C62" w:rsidRPr="0098621D">
        <w:trPr>
          <w:cantSplit/>
        </w:trPr>
        <w:tc>
          <w:tcPr>
            <w:tcW w:w="6071" w:type="dxa"/>
            <w:gridSpan w:val="3"/>
            <w:tcBorders>
              <w:top w:val="nil"/>
              <w:left w:val="nil"/>
              <w:bottom w:val="nil"/>
              <w:right w:val="nil"/>
            </w:tcBorders>
          </w:tcPr>
          <w:p w:rsidR="00346C62" w:rsidRPr="0098621D" w:rsidRDefault="005723B3" w:rsidP="00215746">
            <w:pPr>
              <w:pStyle w:val="Kopfzeile1"/>
            </w:pPr>
            <w:r>
              <w:rPr>
                <w:noProof/>
                <w:lang w:val="da-DK" w:eastAsia="da-DK"/>
              </w:rPr>
              <w:drawing>
                <wp:inline distT="0" distB="0" distL="0" distR="0" wp14:anchorId="3EED939F" wp14:editId="3B450C0F">
                  <wp:extent cx="1619250" cy="8286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D7AEC">
              <w:t>Plenary</w:t>
            </w:r>
          </w:p>
          <w:p w:rsidR="00346C62" w:rsidRPr="0098621D" w:rsidRDefault="00346C62" w:rsidP="00215746">
            <w:pPr>
              <w:pStyle w:val="Kopfzeile1"/>
              <w:rPr>
                <w:rFonts w:cs="Arial"/>
                <w:color w:val="000000"/>
              </w:rPr>
            </w:pPr>
          </w:p>
        </w:tc>
        <w:tc>
          <w:tcPr>
            <w:tcW w:w="3569" w:type="dxa"/>
            <w:gridSpan w:val="2"/>
            <w:tcBorders>
              <w:top w:val="nil"/>
              <w:left w:val="nil"/>
              <w:bottom w:val="nil"/>
              <w:right w:val="nil"/>
            </w:tcBorders>
          </w:tcPr>
          <w:p w:rsidR="00346C62" w:rsidRPr="00346C62" w:rsidRDefault="0098621D" w:rsidP="00564112">
            <w:pPr>
              <w:pStyle w:val="Kopfzeile1"/>
              <w:tabs>
                <w:tab w:val="clear" w:pos="4536"/>
                <w:tab w:val="right" w:pos="3357"/>
              </w:tabs>
            </w:pPr>
            <w:r>
              <w:tab/>
            </w:r>
            <w:r w:rsidR="00533846">
              <w:t>Doc</w:t>
            </w:r>
            <w:r w:rsidR="00ED7AEC">
              <w:t>. ECC(1</w:t>
            </w:r>
            <w:r w:rsidR="00564112">
              <w:t>6</w:t>
            </w:r>
            <w:r w:rsidR="00ED7AEC">
              <w:t>)</w:t>
            </w:r>
            <w:r w:rsidR="001D77D7">
              <w:t>0</w:t>
            </w:r>
            <w:r w:rsidR="00D74C53">
              <w:t>31</w:t>
            </w:r>
            <w:bookmarkStart w:id="0" w:name="_GoBack"/>
            <w:bookmarkEnd w:id="0"/>
          </w:p>
        </w:tc>
      </w:tr>
      <w:tr w:rsidR="00346C62" w:rsidRPr="0098621D">
        <w:tblPrEx>
          <w:tblCellMar>
            <w:left w:w="108" w:type="dxa"/>
            <w:right w:w="108" w:type="dxa"/>
          </w:tblCellMar>
        </w:tblPrEx>
        <w:trPr>
          <w:gridAfter w:val="1"/>
          <w:wAfter w:w="38" w:type="dxa"/>
          <w:cantSplit/>
          <w:trHeight w:val="405"/>
        </w:trPr>
        <w:tc>
          <w:tcPr>
            <w:tcW w:w="4340" w:type="dxa"/>
            <w:gridSpan w:val="2"/>
            <w:tcBorders>
              <w:top w:val="nil"/>
              <w:left w:val="nil"/>
              <w:bottom w:val="nil"/>
              <w:right w:val="nil"/>
            </w:tcBorders>
            <w:vAlign w:val="center"/>
          </w:tcPr>
          <w:p w:rsidR="00346C62" w:rsidRPr="00D149DA" w:rsidRDefault="00BE306E" w:rsidP="00564112">
            <w:pPr>
              <w:pStyle w:val="Kopfzeile1"/>
            </w:pPr>
            <w:r>
              <w:t>4</w:t>
            </w:r>
            <w:r w:rsidR="00564112">
              <w:t>1</w:t>
            </w:r>
            <w:r w:rsidR="00564112" w:rsidRPr="00B2595C">
              <w:rPr>
                <w:vertAlign w:val="superscript"/>
              </w:rPr>
              <w:t>st</w:t>
            </w:r>
            <w:r w:rsidR="00564112">
              <w:t xml:space="preserve"> </w:t>
            </w:r>
            <w:r w:rsidR="001E0E49" w:rsidRPr="00D149DA">
              <w:t>Meeting</w:t>
            </w:r>
          </w:p>
        </w:tc>
        <w:tc>
          <w:tcPr>
            <w:tcW w:w="5300" w:type="dxa"/>
            <w:gridSpan w:val="2"/>
            <w:tcBorders>
              <w:top w:val="nil"/>
              <w:left w:val="nil"/>
              <w:bottom w:val="nil"/>
              <w:right w:val="nil"/>
            </w:tcBorders>
            <w:vAlign w:val="center"/>
          </w:tcPr>
          <w:p w:rsidR="00346C62" w:rsidRPr="0098621D" w:rsidRDefault="00346C62" w:rsidP="00215746">
            <w:pPr>
              <w:pStyle w:val="Kopfzeile1"/>
            </w:pPr>
          </w:p>
        </w:tc>
      </w:tr>
      <w:tr w:rsidR="00346C62" w:rsidRPr="0098621D">
        <w:tblPrEx>
          <w:tblCellMar>
            <w:left w:w="108" w:type="dxa"/>
            <w:right w:w="108" w:type="dxa"/>
          </w:tblCellMar>
        </w:tblPrEx>
        <w:trPr>
          <w:gridAfter w:val="1"/>
          <w:wAfter w:w="38" w:type="dxa"/>
          <w:cantSplit/>
          <w:trHeight w:val="405"/>
        </w:trPr>
        <w:tc>
          <w:tcPr>
            <w:tcW w:w="4340" w:type="dxa"/>
            <w:gridSpan w:val="2"/>
            <w:tcBorders>
              <w:top w:val="nil"/>
              <w:left w:val="nil"/>
              <w:bottom w:val="nil"/>
              <w:right w:val="nil"/>
            </w:tcBorders>
            <w:vAlign w:val="center"/>
          </w:tcPr>
          <w:p w:rsidR="00346C62" w:rsidRPr="00D149DA" w:rsidRDefault="00564112" w:rsidP="00564112">
            <w:pPr>
              <w:pStyle w:val="Kopfzeile1"/>
            </w:pPr>
            <w:r w:rsidRPr="00564112">
              <w:t>Ghent, Belgium</w:t>
            </w:r>
            <w:r>
              <w:t>, 1-4 March 2016</w:t>
            </w:r>
          </w:p>
        </w:tc>
        <w:tc>
          <w:tcPr>
            <w:tcW w:w="5300" w:type="dxa"/>
            <w:gridSpan w:val="2"/>
            <w:tcBorders>
              <w:top w:val="nil"/>
              <w:left w:val="nil"/>
              <w:bottom w:val="nil"/>
              <w:right w:val="nil"/>
            </w:tcBorders>
            <w:vAlign w:val="center"/>
          </w:tcPr>
          <w:p w:rsidR="00346C62" w:rsidRPr="0098621D" w:rsidRDefault="00346C62" w:rsidP="00215746">
            <w:pPr>
              <w:pStyle w:val="Kopfzeile1"/>
            </w:pPr>
          </w:p>
        </w:tc>
      </w:tr>
      <w:tr w:rsidR="00F05B26" w:rsidRPr="0098621D">
        <w:tblPrEx>
          <w:tblCellMar>
            <w:left w:w="108" w:type="dxa"/>
            <w:right w:w="108" w:type="dxa"/>
          </w:tblCellMar>
        </w:tblPrEx>
        <w:trPr>
          <w:gridAfter w:val="1"/>
          <w:wAfter w:w="38" w:type="dxa"/>
          <w:cantSplit/>
          <w:trHeight w:val="80"/>
        </w:trPr>
        <w:tc>
          <w:tcPr>
            <w:tcW w:w="4340" w:type="dxa"/>
            <w:gridSpan w:val="2"/>
            <w:tcBorders>
              <w:top w:val="nil"/>
              <w:left w:val="nil"/>
              <w:bottom w:val="nil"/>
              <w:right w:val="nil"/>
            </w:tcBorders>
            <w:vAlign w:val="center"/>
          </w:tcPr>
          <w:p w:rsidR="00F05B26" w:rsidRPr="00D149DA" w:rsidRDefault="00F05B26" w:rsidP="00215746">
            <w:pPr>
              <w:pStyle w:val="Kopfzeile1"/>
              <w:rPr>
                <w:sz w:val="8"/>
              </w:rPr>
            </w:pPr>
          </w:p>
        </w:tc>
        <w:tc>
          <w:tcPr>
            <w:tcW w:w="5300" w:type="dxa"/>
            <w:gridSpan w:val="2"/>
            <w:tcBorders>
              <w:top w:val="nil"/>
              <w:left w:val="nil"/>
              <w:bottom w:val="nil"/>
              <w:right w:val="nil"/>
            </w:tcBorders>
            <w:vAlign w:val="center"/>
          </w:tcPr>
          <w:p w:rsidR="00F05B26" w:rsidRPr="0098621D" w:rsidRDefault="00F05B26" w:rsidP="00215746">
            <w:pPr>
              <w:pStyle w:val="Kopfzeile1"/>
              <w:rPr>
                <w:sz w:val="8"/>
              </w:rPr>
            </w:pPr>
          </w:p>
        </w:tc>
      </w:tr>
      <w:tr w:rsidR="00F05B26" w:rsidRPr="0098621D">
        <w:tblPrEx>
          <w:tblCellMar>
            <w:left w:w="108" w:type="dxa"/>
            <w:right w:w="108" w:type="dxa"/>
          </w:tblCellMar>
        </w:tblPrEx>
        <w:trPr>
          <w:gridAfter w:val="1"/>
          <w:wAfter w:w="38" w:type="dxa"/>
          <w:cantSplit/>
          <w:trHeight w:val="405"/>
        </w:trPr>
        <w:tc>
          <w:tcPr>
            <w:tcW w:w="1843" w:type="dxa"/>
            <w:tcBorders>
              <w:top w:val="nil"/>
              <w:left w:val="nil"/>
              <w:bottom w:val="nil"/>
              <w:right w:val="nil"/>
            </w:tcBorders>
            <w:vAlign w:val="center"/>
          </w:tcPr>
          <w:p w:rsidR="00F05B26" w:rsidRPr="00D149DA" w:rsidRDefault="00F05B26" w:rsidP="00215746">
            <w:pPr>
              <w:pStyle w:val="Kopfzeile1"/>
            </w:pPr>
            <w:r w:rsidRPr="00D149DA">
              <w:t>Date issued:</w:t>
            </w:r>
            <w:r w:rsidR="005269EA" w:rsidRPr="00D149DA">
              <w:t xml:space="preserve"> </w:t>
            </w:r>
          </w:p>
        </w:tc>
        <w:tc>
          <w:tcPr>
            <w:tcW w:w="7797" w:type="dxa"/>
            <w:gridSpan w:val="3"/>
            <w:tcBorders>
              <w:top w:val="nil"/>
              <w:left w:val="nil"/>
              <w:bottom w:val="nil"/>
              <w:right w:val="nil"/>
            </w:tcBorders>
            <w:vAlign w:val="center"/>
          </w:tcPr>
          <w:p w:rsidR="00F05B26" w:rsidRPr="0098621D" w:rsidRDefault="00564112" w:rsidP="00564112">
            <w:pPr>
              <w:pStyle w:val="Kopfzeile1"/>
            </w:pPr>
            <w:r>
              <w:t>24 February 2016</w:t>
            </w:r>
          </w:p>
        </w:tc>
      </w:tr>
      <w:tr w:rsidR="00F05B26" w:rsidRPr="0098621D">
        <w:tblPrEx>
          <w:tblCellMar>
            <w:left w:w="108" w:type="dxa"/>
            <w:right w:w="108" w:type="dxa"/>
          </w:tblCellMar>
        </w:tblPrEx>
        <w:trPr>
          <w:gridAfter w:val="1"/>
          <w:wAfter w:w="38" w:type="dxa"/>
          <w:cantSplit/>
          <w:trHeight w:val="405"/>
        </w:trPr>
        <w:tc>
          <w:tcPr>
            <w:tcW w:w="1843" w:type="dxa"/>
            <w:tcBorders>
              <w:top w:val="nil"/>
              <w:left w:val="nil"/>
              <w:bottom w:val="nil"/>
              <w:right w:val="nil"/>
            </w:tcBorders>
            <w:vAlign w:val="center"/>
          </w:tcPr>
          <w:p w:rsidR="00F05B26" w:rsidRPr="00D149DA" w:rsidRDefault="00F05B26" w:rsidP="00215746">
            <w:pPr>
              <w:pStyle w:val="Kopfzeile1"/>
            </w:pPr>
            <w:r w:rsidRPr="00D149DA">
              <w:t>Source:</w:t>
            </w:r>
            <w:r w:rsidR="00ED7AEC" w:rsidRPr="00D149DA">
              <w:t xml:space="preserve"> </w:t>
            </w:r>
          </w:p>
        </w:tc>
        <w:tc>
          <w:tcPr>
            <w:tcW w:w="7797" w:type="dxa"/>
            <w:gridSpan w:val="3"/>
            <w:tcBorders>
              <w:top w:val="nil"/>
              <w:left w:val="nil"/>
              <w:bottom w:val="nil"/>
              <w:right w:val="nil"/>
            </w:tcBorders>
            <w:vAlign w:val="center"/>
          </w:tcPr>
          <w:p w:rsidR="00F05B26" w:rsidRPr="0098621D" w:rsidRDefault="00A82B1F" w:rsidP="00215746">
            <w:pPr>
              <w:pStyle w:val="Kopfzeile1"/>
            </w:pPr>
            <w:r>
              <w:t>ECO</w:t>
            </w:r>
          </w:p>
        </w:tc>
      </w:tr>
      <w:tr w:rsidR="00F05B26" w:rsidRPr="0098621D">
        <w:tblPrEx>
          <w:tblCellMar>
            <w:left w:w="108" w:type="dxa"/>
            <w:right w:w="108" w:type="dxa"/>
          </w:tblCellMar>
        </w:tblPrEx>
        <w:trPr>
          <w:gridAfter w:val="1"/>
          <w:wAfter w:w="38" w:type="dxa"/>
          <w:cantSplit/>
          <w:trHeight w:val="405"/>
        </w:trPr>
        <w:tc>
          <w:tcPr>
            <w:tcW w:w="1843" w:type="dxa"/>
            <w:tcBorders>
              <w:top w:val="nil"/>
              <w:left w:val="nil"/>
              <w:bottom w:val="nil"/>
              <w:right w:val="nil"/>
            </w:tcBorders>
            <w:vAlign w:val="center"/>
          </w:tcPr>
          <w:p w:rsidR="00F05B26" w:rsidRPr="00D149DA" w:rsidRDefault="00F05B26" w:rsidP="00215746">
            <w:pPr>
              <w:pStyle w:val="Kopfzeile1"/>
            </w:pPr>
            <w:r w:rsidRPr="00D149DA">
              <w:t>Subject:</w:t>
            </w:r>
            <w:r w:rsidR="005269EA" w:rsidRPr="00D149DA">
              <w:t xml:space="preserve"> </w:t>
            </w:r>
          </w:p>
        </w:tc>
        <w:tc>
          <w:tcPr>
            <w:tcW w:w="7797" w:type="dxa"/>
            <w:gridSpan w:val="3"/>
            <w:tcBorders>
              <w:top w:val="nil"/>
              <w:left w:val="nil"/>
              <w:bottom w:val="nil"/>
              <w:right w:val="nil"/>
            </w:tcBorders>
            <w:vAlign w:val="center"/>
          </w:tcPr>
          <w:p w:rsidR="00F05B26" w:rsidRPr="001E0E49" w:rsidRDefault="00A82B1F" w:rsidP="001E0E49">
            <w:pPr>
              <w:pStyle w:val="Kopfzeile1"/>
            </w:pPr>
            <w:r w:rsidRPr="00A82B1F">
              <w:t>ECO Bulletin on on</w:t>
            </w:r>
            <w:r>
              <w:t>-</w:t>
            </w:r>
            <w:r w:rsidRPr="00A82B1F">
              <w:t>going/new issues in other regions or organisations</w:t>
            </w:r>
          </w:p>
        </w:tc>
      </w:tr>
      <w:tr w:rsidR="00493F86" w:rsidRPr="0098621D" w:rsidTr="00FF320E">
        <w:tblPrEx>
          <w:tblCellMar>
            <w:left w:w="108" w:type="dxa"/>
            <w:right w:w="108" w:type="dxa"/>
          </w:tblCellMar>
        </w:tblPrEx>
        <w:trPr>
          <w:gridAfter w:val="1"/>
          <w:wAfter w:w="38" w:type="dxa"/>
          <w:cantSplit/>
          <w:trHeight w:val="1040"/>
        </w:trPr>
        <w:tc>
          <w:tcPr>
            <w:tcW w:w="9640" w:type="dxa"/>
            <w:gridSpan w:val="4"/>
            <w:tcBorders>
              <w:top w:val="nil"/>
              <w:left w:val="nil"/>
              <w:bottom w:val="nil"/>
              <w:right w:val="nil"/>
            </w:tcBorders>
            <w:vAlign w:val="center"/>
          </w:tcPr>
          <w:p w:rsidR="00493F86" w:rsidRPr="006D7413" w:rsidRDefault="005723B3" w:rsidP="00FF320E">
            <w:pPr>
              <w:rPr>
                <w:rFonts w:cs="Arial"/>
                <w:szCs w:val="24"/>
              </w:rPr>
            </w:pPr>
            <w:r>
              <w:rPr>
                <w:noProof/>
                <w:lang w:val="da-DK" w:eastAsia="da-DK"/>
              </w:rPr>
              <mc:AlternateContent>
                <mc:Choice Requires="wps">
                  <w:drawing>
                    <wp:anchor distT="0" distB="0" distL="114300" distR="114300" simplePos="0" relativeHeight="251657728" behindDoc="1" locked="0" layoutInCell="1" allowOverlap="1" wp14:anchorId="3DC045A1" wp14:editId="143C0988">
                      <wp:simplePos x="0" y="0"/>
                      <wp:positionH relativeFrom="column">
                        <wp:posOffset>3263900</wp:posOffset>
                      </wp:positionH>
                      <wp:positionV relativeFrom="paragraph">
                        <wp:posOffset>193675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6B670C" w:rsidRPr="00254FD9" w:rsidRDefault="006B670C"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6B670C" w:rsidRPr="00254FD9" w:rsidRDefault="006B670C"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Default="001D181E" w:rsidP="00FF320E">
            <w:r>
              <w:t>Group membership</w:t>
            </w:r>
            <w:r w:rsidR="00493F86" w:rsidRPr="0016435A">
              <w:t xml:space="preserve"> required</w:t>
            </w:r>
            <w:r>
              <w:t xml:space="preserve"> </w:t>
            </w:r>
            <w:proofErr w:type="gramStart"/>
            <w:r>
              <w:t>to read</w:t>
            </w:r>
            <w:proofErr w:type="gramEnd"/>
            <w:r>
              <w:t>? (Y/N)</w:t>
            </w:r>
          </w:p>
          <w:p w:rsidR="00493F86" w:rsidRPr="00DD103C" w:rsidRDefault="00493F86" w:rsidP="00FF320E">
            <w:pPr>
              <w:pStyle w:val="Header1"/>
              <w:rPr>
                <w:lang w:eastAsia="de-DE"/>
              </w:rPr>
            </w:pPr>
          </w:p>
        </w:tc>
      </w:tr>
      <w:tr w:rsidR="00493F86" w:rsidRPr="0098621D" w:rsidTr="00FF320E">
        <w:tblPrEx>
          <w:tblCellMar>
            <w:left w:w="108" w:type="dxa"/>
            <w:right w:w="108" w:type="dxa"/>
          </w:tblCellMar>
        </w:tblPrEx>
        <w:trPr>
          <w:gridAfter w:val="1"/>
          <w:wAfter w:w="38" w:type="dxa"/>
          <w:cantSplit/>
          <w:trHeight w:hRule="exact" w:val="74"/>
        </w:trPr>
        <w:tc>
          <w:tcPr>
            <w:tcW w:w="9640" w:type="dxa"/>
            <w:gridSpan w:val="4"/>
            <w:tcBorders>
              <w:top w:val="nil"/>
              <w:left w:val="nil"/>
              <w:bottom w:val="nil"/>
              <w:right w:val="nil"/>
            </w:tcBorders>
            <w:vAlign w:val="center"/>
          </w:tcPr>
          <w:p w:rsidR="00493F86" w:rsidRPr="003D778B" w:rsidRDefault="00493F86" w:rsidP="00FF320E">
            <w:pPr>
              <w:pStyle w:val="Header1"/>
              <w:rPr>
                <w:lang w:eastAsia="de-DE"/>
              </w:rPr>
            </w:pPr>
          </w:p>
          <w:p w:rsidR="00493F86" w:rsidRPr="0098621D" w:rsidRDefault="00493F86" w:rsidP="00FF320E">
            <w:pPr>
              <w:pStyle w:val="Header1"/>
              <w:rPr>
                <w:sz w:val="8"/>
                <w:lang w:eastAsia="de-DE"/>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5"/>
            <w:tcBorders>
              <w:bottom w:val="nil"/>
            </w:tcBorders>
          </w:tcPr>
          <w:p w:rsidR="001E0E49" w:rsidRDefault="001E0E49" w:rsidP="001E0E49">
            <w:pPr>
              <w:pStyle w:val="Kopfzeile1"/>
              <w:rPr>
                <w:lang w:val="en-US"/>
              </w:rPr>
            </w:pPr>
            <w:r w:rsidRPr="001E0E49">
              <w:rPr>
                <w:lang w:val="en-US"/>
              </w:rPr>
              <w:t>Summary:</w:t>
            </w:r>
            <w:r>
              <w:rPr>
                <w:lang w:val="en-US"/>
              </w:rPr>
              <w:t xml:space="preserve"> </w:t>
            </w:r>
          </w:p>
        </w:tc>
      </w:tr>
      <w:tr w:rsidR="001E0E49" w:rsidRPr="0052322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5"/>
            <w:tcBorders>
              <w:top w:val="nil"/>
              <w:bottom w:val="single" w:sz="4" w:space="0" w:color="auto"/>
            </w:tcBorders>
          </w:tcPr>
          <w:p w:rsidR="001E0E49" w:rsidRPr="00523220" w:rsidRDefault="00A82B1F" w:rsidP="008E4001">
            <w:r w:rsidRPr="00523220">
              <w:t xml:space="preserve">This </w:t>
            </w:r>
            <w:r w:rsidR="00977355" w:rsidRPr="00523220">
              <w:t xml:space="preserve">ECO Bulletin </w:t>
            </w:r>
            <w:r w:rsidRPr="00523220">
              <w:t xml:space="preserve">provides a summary update on aspects of </w:t>
            </w:r>
            <w:r w:rsidR="008E4001" w:rsidRPr="00523220">
              <w:t xml:space="preserve">progress </w:t>
            </w:r>
            <w:r w:rsidR="00061978" w:rsidRPr="00523220">
              <w:t xml:space="preserve">in spectrum management </w:t>
            </w:r>
            <w:r w:rsidR="00D765E7" w:rsidRPr="00523220">
              <w:t>outside the CEPT</w:t>
            </w:r>
            <w:r w:rsidRPr="00523220">
              <w:t>. The</w:t>
            </w:r>
            <w:r w:rsidR="008E4001" w:rsidRPr="00523220">
              <w:t xml:space="preserve"> items </w:t>
            </w:r>
            <w:r w:rsidR="00421CAC" w:rsidRPr="00523220">
              <w:t xml:space="preserve">in this bulletin </w:t>
            </w:r>
            <w:r w:rsidR="008E4001" w:rsidRPr="00523220">
              <w:t>include:</w:t>
            </w:r>
          </w:p>
          <w:p w:rsidR="00BE306E" w:rsidRPr="00BE306E" w:rsidRDefault="00BE306E" w:rsidP="00BA12B0">
            <w:pPr>
              <w:pStyle w:val="ListParagraph"/>
              <w:numPr>
                <w:ilvl w:val="0"/>
                <w:numId w:val="2"/>
              </w:numPr>
            </w:pPr>
            <w:r w:rsidRPr="00BE306E">
              <w:t xml:space="preserve">Update from APT (new </w:t>
            </w:r>
            <w:r w:rsidR="000E7FAC">
              <w:t xml:space="preserve">revised </w:t>
            </w:r>
            <w:r w:rsidRPr="00BE306E">
              <w:t xml:space="preserve">APT Reports, </w:t>
            </w:r>
            <w:r w:rsidR="000E7FAC">
              <w:t>ongoing work in APT</w:t>
            </w:r>
            <w:r w:rsidR="00B2595C">
              <w:t xml:space="preserve"> AWG</w:t>
            </w:r>
            <w:r w:rsidR="000E7FAC">
              <w:t xml:space="preserve">, </w:t>
            </w:r>
            <w:r w:rsidR="00CE062C">
              <w:t>AFIS</w:t>
            </w:r>
            <w:r w:rsidRPr="00BE306E">
              <w:t xml:space="preserve"> etc.);</w:t>
            </w:r>
          </w:p>
          <w:p w:rsidR="0065111E" w:rsidRDefault="0065111E" w:rsidP="0065111E">
            <w:pPr>
              <w:pStyle w:val="ListParagraph"/>
              <w:numPr>
                <w:ilvl w:val="0"/>
                <w:numId w:val="2"/>
              </w:numPr>
            </w:pPr>
            <w:r>
              <w:t xml:space="preserve">Information about standardisation activities in 3GPP TSG RAN for </w:t>
            </w:r>
            <w:r w:rsidRPr="0065111E">
              <w:t>LTE MTC (Machine-Type Communications)</w:t>
            </w:r>
            <w:r>
              <w:t xml:space="preserve">/ NB </w:t>
            </w:r>
            <w:proofErr w:type="spellStart"/>
            <w:r>
              <w:t>IoT</w:t>
            </w:r>
            <w:proofErr w:type="spellEnd"/>
            <w:r>
              <w:t xml:space="preserve"> (Narrowband </w:t>
            </w:r>
            <w:proofErr w:type="spellStart"/>
            <w:r>
              <w:t>IoT</w:t>
            </w:r>
            <w:proofErr w:type="spellEnd"/>
            <w:r>
              <w:t>), likely to have some impact on considerations for future mobile communications for railways or M2M/</w:t>
            </w:r>
            <w:proofErr w:type="spellStart"/>
            <w:r>
              <w:t>IoT</w:t>
            </w:r>
            <w:proofErr w:type="spellEnd"/>
            <w:r>
              <w:t xml:space="preserve"> solutions for utilities;</w:t>
            </w:r>
          </w:p>
          <w:p w:rsidR="0065111E" w:rsidRDefault="0065111E" w:rsidP="0065111E">
            <w:pPr>
              <w:pStyle w:val="ListParagraph"/>
              <w:numPr>
                <w:ilvl w:val="0"/>
                <w:numId w:val="2"/>
              </w:numPr>
            </w:pPr>
            <w:r>
              <w:t xml:space="preserve">FCC on </w:t>
            </w:r>
            <w:r w:rsidRPr="0065111E">
              <w:t>Hearing Aid Compatibility</w:t>
            </w:r>
            <w:r>
              <w:t>;</w:t>
            </w:r>
          </w:p>
          <w:p w:rsidR="007C3787" w:rsidRDefault="007C3787" w:rsidP="007C3787">
            <w:pPr>
              <w:pStyle w:val="ListParagraph"/>
              <w:numPr>
                <w:ilvl w:val="0"/>
                <w:numId w:val="2"/>
              </w:numPr>
            </w:pPr>
            <w:r w:rsidRPr="007C3787">
              <w:t>Update on FCC – White Space Use and Incentive Auctions – Modification of Part 15 rules</w:t>
            </w:r>
            <w:r>
              <w:t xml:space="preserve">; </w:t>
            </w:r>
          </w:p>
          <w:p w:rsidR="003A112C" w:rsidRPr="003A112C" w:rsidRDefault="003A112C" w:rsidP="003A112C">
            <w:pPr>
              <w:pStyle w:val="ListParagraph"/>
              <w:numPr>
                <w:ilvl w:val="0"/>
                <w:numId w:val="2"/>
              </w:numPr>
            </w:pPr>
            <w:r w:rsidRPr="003A112C">
              <w:t>Canada released new information on the Amateur Radio Service</w:t>
            </w:r>
            <w:r>
              <w:t xml:space="preserve">. </w:t>
            </w:r>
            <w:r w:rsidR="00F801D3">
              <w:t>The i</w:t>
            </w:r>
            <w:r w:rsidRPr="003A112C">
              <w:t>ssue of mutual recognition of amateur licenses/ equivalence with Canada is considered to be solved on both sides</w:t>
            </w:r>
            <w:r w:rsidR="00F801D3">
              <w:t xml:space="preserve"> (CEPT and Canada);</w:t>
            </w:r>
          </w:p>
          <w:p w:rsidR="00ED2F9B" w:rsidRPr="00ED2F9B" w:rsidRDefault="00ED2F9B" w:rsidP="00ED2F9B">
            <w:pPr>
              <w:pStyle w:val="ListParagraph"/>
              <w:numPr>
                <w:ilvl w:val="0"/>
                <w:numId w:val="2"/>
              </w:numPr>
            </w:pPr>
            <w:r w:rsidRPr="00ED2F9B">
              <w:t xml:space="preserve">FCC </w:t>
            </w:r>
            <w:r>
              <w:t>p</w:t>
            </w:r>
            <w:r w:rsidRPr="00ED2F9B">
              <w:t>romotes Higher Frequency Spectrum for Future Wireless Technology</w:t>
            </w:r>
            <w:r>
              <w:t xml:space="preserve"> above 24 GHz;</w:t>
            </w:r>
          </w:p>
          <w:p w:rsidR="006B670C" w:rsidRPr="006B670C" w:rsidRDefault="006B670C" w:rsidP="006B670C">
            <w:pPr>
              <w:pStyle w:val="ListParagraph"/>
              <w:numPr>
                <w:ilvl w:val="0"/>
                <w:numId w:val="2"/>
              </w:numPr>
            </w:pPr>
            <w:r w:rsidRPr="006B670C">
              <w:t xml:space="preserve">FCC </w:t>
            </w:r>
            <w:r w:rsidR="00F801D3">
              <w:t>p</w:t>
            </w:r>
            <w:r w:rsidRPr="006B670C">
              <w:t xml:space="preserve">roposes </w:t>
            </w:r>
            <w:r w:rsidR="00F801D3">
              <w:t>a r</w:t>
            </w:r>
            <w:r w:rsidRPr="006B670C">
              <w:t xml:space="preserve">eform of </w:t>
            </w:r>
            <w:r w:rsidR="00F801D3">
              <w:t>r</w:t>
            </w:r>
            <w:r w:rsidRPr="006B670C">
              <w:t xml:space="preserve">adiofrequency </w:t>
            </w:r>
            <w:r w:rsidR="00F801D3">
              <w:t>e</w:t>
            </w:r>
            <w:r w:rsidRPr="006B670C">
              <w:t xml:space="preserve">quipment </w:t>
            </w:r>
            <w:r w:rsidR="00F801D3">
              <w:t>a</w:t>
            </w:r>
            <w:r w:rsidRPr="006B670C">
              <w:t xml:space="preserve">uthorisation </w:t>
            </w:r>
            <w:r w:rsidR="00F801D3">
              <w:t>r</w:t>
            </w:r>
            <w:r w:rsidRPr="006B670C">
              <w:t>ules</w:t>
            </w:r>
            <w:r>
              <w:t>;</w:t>
            </w:r>
          </w:p>
          <w:p w:rsidR="00584AA1" w:rsidRPr="00584AA1" w:rsidRDefault="00584AA1" w:rsidP="00584AA1">
            <w:pPr>
              <w:pStyle w:val="ListParagraph"/>
              <w:numPr>
                <w:ilvl w:val="0"/>
                <w:numId w:val="2"/>
              </w:numPr>
            </w:pPr>
            <w:r w:rsidRPr="00584AA1">
              <w:t>60 GHz applications under general authorisation – worldwide overview</w:t>
            </w:r>
            <w:r w:rsidR="00F801D3">
              <w:t>;</w:t>
            </w:r>
          </w:p>
          <w:p w:rsidR="00CF4246" w:rsidRDefault="00792CC4" w:rsidP="00792CC4">
            <w:pPr>
              <w:pStyle w:val="ListParagraph"/>
              <w:numPr>
                <w:ilvl w:val="0"/>
                <w:numId w:val="2"/>
              </w:numPr>
            </w:pPr>
            <w:r w:rsidRPr="00792CC4">
              <w:t xml:space="preserve">USA: Qualcomm, </w:t>
            </w:r>
            <w:proofErr w:type="spellStart"/>
            <w:r w:rsidRPr="00792CC4">
              <w:t>Gogo</w:t>
            </w:r>
            <w:proofErr w:type="spellEnd"/>
            <w:r w:rsidRPr="00792CC4">
              <w:t xml:space="preserve">, Inmarsat and others continue to push for FCC's 14 GHz ATG </w:t>
            </w:r>
            <w:r w:rsidR="00F801D3">
              <w:t xml:space="preserve">(Air-To-Ground) </w:t>
            </w:r>
            <w:r w:rsidRPr="00792CC4">
              <w:t>spectrum auction (‘DA2GC’)</w:t>
            </w:r>
          </w:p>
          <w:p w:rsidR="007851D3" w:rsidRPr="00523220" w:rsidRDefault="007851D3" w:rsidP="00F801D3">
            <w:pPr>
              <w:pStyle w:val="ListParagraph"/>
              <w:numPr>
                <w:ilvl w:val="0"/>
                <w:numId w:val="2"/>
              </w:numPr>
            </w:pPr>
            <w:r w:rsidRPr="007851D3">
              <w:t xml:space="preserve">CITEL: Work on </w:t>
            </w:r>
            <w:r w:rsidR="00F801D3">
              <w:t>f</w:t>
            </w:r>
            <w:r w:rsidRPr="007851D3">
              <w:t xml:space="preserve">requencies for </w:t>
            </w:r>
            <w:r w:rsidR="00F801D3">
              <w:t>c</w:t>
            </w:r>
            <w:r w:rsidRPr="007851D3">
              <w:t xml:space="preserve">ritical Infrastructure used by </w:t>
            </w:r>
            <w:r w:rsidR="00F801D3">
              <w:t>u</w:t>
            </w:r>
            <w:r w:rsidRPr="007851D3">
              <w:t>tilities</w:t>
            </w:r>
          </w:p>
        </w:tc>
      </w:tr>
    </w:tbl>
    <w:p w:rsidR="00421CAC" w:rsidRPr="00523220" w:rsidRDefault="00421CAC">
      <w:r w:rsidRPr="00523220">
        <w:rPr>
          <w:b/>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1E0E49" w:rsidRPr="00523220" w:rsidTr="004002F7">
        <w:trPr>
          <w:cantSplit/>
          <w:trHeight w:val="443"/>
        </w:trPr>
        <w:tc>
          <w:tcPr>
            <w:tcW w:w="9640" w:type="dxa"/>
            <w:tcBorders>
              <w:bottom w:val="nil"/>
            </w:tcBorders>
          </w:tcPr>
          <w:p w:rsidR="001E0E49" w:rsidRPr="00523220" w:rsidRDefault="001E0E49" w:rsidP="001E0E49">
            <w:pPr>
              <w:pStyle w:val="Kopfzeile1"/>
            </w:pPr>
            <w:r w:rsidRPr="00523220">
              <w:lastRenderedPageBreak/>
              <w:t xml:space="preserve">Proposal: </w:t>
            </w:r>
          </w:p>
        </w:tc>
      </w:tr>
      <w:tr w:rsidR="001E0E49" w:rsidRPr="00523220" w:rsidTr="004002F7">
        <w:trPr>
          <w:cantSplit/>
          <w:trHeight w:val="945"/>
        </w:trPr>
        <w:tc>
          <w:tcPr>
            <w:tcW w:w="9640" w:type="dxa"/>
            <w:tcBorders>
              <w:top w:val="nil"/>
              <w:bottom w:val="single" w:sz="4" w:space="0" w:color="auto"/>
            </w:tcBorders>
          </w:tcPr>
          <w:p w:rsidR="00977355" w:rsidRPr="00523220" w:rsidRDefault="00A82B1F" w:rsidP="001E0E49">
            <w:r w:rsidRPr="00523220">
              <w:t>Thi</w:t>
            </w:r>
            <w:r w:rsidR="00154CD8">
              <w:t>s bulletin is to note by the ECC Plenary</w:t>
            </w:r>
            <w:r w:rsidRPr="00523220">
              <w:t>. More detailed input on some of the subjects covered is being input to the groups dealing with the respective subject</w:t>
            </w:r>
            <w:r w:rsidR="00E2376B" w:rsidRPr="00523220">
              <w:t>s</w:t>
            </w:r>
            <w:r w:rsidRPr="00523220">
              <w:t>.</w:t>
            </w:r>
          </w:p>
          <w:p w:rsidR="00792CC4" w:rsidRDefault="00690A9D" w:rsidP="00792CC4">
            <w:r w:rsidRPr="00523220">
              <w:t xml:space="preserve">Several </w:t>
            </w:r>
            <w:r w:rsidR="00980A99" w:rsidRPr="00523220">
              <w:t xml:space="preserve">of the </w:t>
            </w:r>
            <w:r w:rsidRPr="00523220">
              <w:t xml:space="preserve">issues </w:t>
            </w:r>
            <w:r w:rsidR="00154CD8">
              <w:t xml:space="preserve">covered in this bulletin </w:t>
            </w:r>
            <w:r w:rsidR="00980A99" w:rsidRPr="00523220">
              <w:t>should be noted or discussed at the respective WG/ PT level</w:t>
            </w:r>
            <w:r w:rsidR="00154CD8">
              <w:t xml:space="preserve">. This includes </w:t>
            </w:r>
            <w:r w:rsidR="00980A99" w:rsidRPr="00523220">
              <w:t xml:space="preserve">information related to </w:t>
            </w:r>
            <w:r w:rsidR="003162AF">
              <w:t>SRDs</w:t>
            </w:r>
            <w:r w:rsidR="00792CC4">
              <w:t xml:space="preserve">, </w:t>
            </w:r>
            <w:r w:rsidR="00810EA4">
              <w:t>some</w:t>
            </w:r>
            <w:r w:rsidR="00792CC4">
              <w:t xml:space="preserve"> activities in APT AWG, LTE </w:t>
            </w:r>
            <w:r w:rsidR="007851D3">
              <w:t xml:space="preserve">Narrowband </w:t>
            </w:r>
            <w:proofErr w:type="spellStart"/>
            <w:r w:rsidR="007851D3">
              <w:t>IoT</w:t>
            </w:r>
            <w:proofErr w:type="spellEnd"/>
            <w:r w:rsidR="00792CC4">
              <w:t xml:space="preserve">, </w:t>
            </w:r>
            <w:proofErr w:type="gramStart"/>
            <w:r w:rsidR="00792CC4">
              <w:t>future</w:t>
            </w:r>
            <w:proofErr w:type="gramEnd"/>
            <w:r w:rsidR="00792CC4">
              <w:t xml:space="preserve"> wireless technology above 24 GHz, DA2GC and satellites</w:t>
            </w:r>
            <w:r w:rsidR="007851D3">
              <w:t>, frequencies for mission-critical infrastructure for utilities.</w:t>
            </w:r>
          </w:p>
          <w:p w:rsidR="00E2376B" w:rsidRPr="00523220" w:rsidRDefault="00890C4D" w:rsidP="00810EA4">
            <w:r>
              <w:t xml:space="preserve">Some topics </w:t>
            </w:r>
            <w:r w:rsidR="00792CC4">
              <w:t xml:space="preserve">are proposed to be discussed during the forthcoming </w:t>
            </w:r>
            <w:r>
              <w:t>ECC-</w:t>
            </w:r>
            <w:r w:rsidR="00792CC4">
              <w:t>FCC-Canada</w:t>
            </w:r>
            <w:r>
              <w:t xml:space="preserve"> </w:t>
            </w:r>
            <w:r w:rsidR="00144E84">
              <w:t xml:space="preserve">information exchange/ liaison </w:t>
            </w:r>
            <w:r>
              <w:t>meeting</w:t>
            </w:r>
            <w:r w:rsidR="00792CC4">
              <w:t xml:space="preserve"> (e.g. 60 GHz FCC actions, auspices of an auction for ATG/DA2GC in the USA </w:t>
            </w:r>
            <w:r w:rsidR="00810EA4">
              <w:t>at</w:t>
            </w:r>
            <w:r w:rsidR="00792CC4">
              <w:t xml:space="preserve"> 14 GHz</w:t>
            </w:r>
            <w:r w:rsidR="00810EA4">
              <w:t>, CITEL actions with regard to harmonisation of frequencies for mission-critical infrastructure for utilities, as supported by Canada and the USA</w:t>
            </w:r>
            <w:r w:rsidR="00792CC4">
              <w:t>)</w:t>
            </w:r>
            <w:r w:rsidR="00144E84">
              <w:t xml:space="preserve">. </w:t>
            </w:r>
          </w:p>
        </w:tc>
      </w:tr>
      <w:tr w:rsidR="001E0E49" w:rsidRPr="00523220" w:rsidTr="004002F7">
        <w:trPr>
          <w:cantSplit/>
          <w:trHeight w:val="431"/>
        </w:trPr>
        <w:tc>
          <w:tcPr>
            <w:tcW w:w="9640" w:type="dxa"/>
            <w:tcBorders>
              <w:bottom w:val="nil"/>
            </w:tcBorders>
          </w:tcPr>
          <w:p w:rsidR="001E0E49" w:rsidRPr="00523220" w:rsidRDefault="001E0E49" w:rsidP="001E0E49">
            <w:pPr>
              <w:pStyle w:val="Kopfzeile1"/>
            </w:pPr>
            <w:r w:rsidRPr="00523220">
              <w:t>Background:</w:t>
            </w:r>
            <w:r w:rsidR="00ED7AEC" w:rsidRPr="00523220">
              <w:t xml:space="preserve"> </w:t>
            </w:r>
          </w:p>
        </w:tc>
      </w:tr>
      <w:tr w:rsidR="001E0E49" w:rsidRPr="00523220" w:rsidTr="004002F7">
        <w:trPr>
          <w:cantSplit/>
          <w:trHeight w:val="784"/>
        </w:trPr>
        <w:tc>
          <w:tcPr>
            <w:tcW w:w="9640" w:type="dxa"/>
            <w:tcBorders>
              <w:top w:val="nil"/>
              <w:bottom w:val="single" w:sz="4" w:space="0" w:color="auto"/>
            </w:tcBorders>
          </w:tcPr>
          <w:p w:rsidR="000B27FA" w:rsidRPr="00523220" w:rsidRDefault="00A82B1F" w:rsidP="004002F7">
            <w:pPr>
              <w:rPr>
                <w:bCs/>
                <w:szCs w:val="24"/>
              </w:rPr>
            </w:pPr>
            <w:r w:rsidRPr="00523220">
              <w:rPr>
                <w:bCs/>
                <w:szCs w:val="24"/>
              </w:rPr>
              <w:t xml:space="preserve">The Office brings to each ECC meeting a bulletin on activities in radio communications in other world regions, where a regulatory dimension is raised (e.g. by innovative services or technology). </w:t>
            </w:r>
          </w:p>
          <w:p w:rsidR="001E0E49" w:rsidRPr="00523220" w:rsidRDefault="00A82B1F" w:rsidP="004002F7">
            <w:pPr>
              <w:rPr>
                <w:bCs/>
                <w:szCs w:val="24"/>
              </w:rPr>
            </w:pPr>
            <w:r w:rsidRPr="00523220">
              <w:rPr>
                <w:bCs/>
                <w:szCs w:val="24"/>
              </w:rPr>
              <w:t>The primary objective is to identify whether the ECC needs to investigate further or consider possible new actions. A secondary but more frequently addressed objective is to enable comparison to be made with the regulatory approach in other regions to subjects already treated by the ECC (including, where relevant, to the work of the CPG).</w:t>
            </w:r>
          </w:p>
        </w:tc>
      </w:tr>
    </w:tbl>
    <w:p w:rsidR="00E43F97" w:rsidRPr="00523220" w:rsidRDefault="00E43F97" w:rsidP="00E71841">
      <w:pPr>
        <w:ind w:left="360"/>
        <w:rPr>
          <w:b/>
          <w:sz w:val="28"/>
          <w:szCs w:val="28"/>
        </w:rPr>
      </w:pPr>
    </w:p>
    <w:p w:rsidR="00E71841" w:rsidRPr="00523220" w:rsidRDefault="00E43F97" w:rsidP="00E71841">
      <w:pPr>
        <w:ind w:left="360"/>
        <w:rPr>
          <w:b/>
          <w:sz w:val="28"/>
          <w:szCs w:val="28"/>
        </w:rPr>
      </w:pPr>
      <w:r w:rsidRPr="00523220">
        <w:rPr>
          <w:b/>
          <w:sz w:val="28"/>
          <w:szCs w:val="28"/>
        </w:rPr>
        <w:br w:type="page"/>
      </w:r>
    </w:p>
    <w:p w:rsidR="006C7D8C" w:rsidRDefault="006C7D8C" w:rsidP="007C415E">
      <w:pPr>
        <w:rPr>
          <w:lang w:val="en-US"/>
        </w:rPr>
      </w:pPr>
    </w:p>
    <w:p w:rsidR="006C7D8C" w:rsidRPr="006C7D8C" w:rsidRDefault="006C7D8C" w:rsidP="00BA12B0">
      <w:pPr>
        <w:pStyle w:val="ListParagraph"/>
        <w:numPr>
          <w:ilvl w:val="0"/>
          <w:numId w:val="3"/>
        </w:numPr>
        <w:spacing w:after="0"/>
        <w:rPr>
          <w:b/>
          <w:sz w:val="28"/>
          <w:szCs w:val="28"/>
        </w:rPr>
      </w:pPr>
      <w:r w:rsidRPr="006C7D8C">
        <w:rPr>
          <w:b/>
          <w:sz w:val="28"/>
          <w:szCs w:val="28"/>
        </w:rPr>
        <w:t>1</w:t>
      </w:r>
      <w:r w:rsidR="00564112">
        <w:rPr>
          <w:b/>
          <w:sz w:val="28"/>
          <w:szCs w:val="28"/>
        </w:rPr>
        <w:t>9</w:t>
      </w:r>
      <w:r w:rsidRPr="006C7D8C">
        <w:rPr>
          <w:b/>
          <w:sz w:val="28"/>
          <w:szCs w:val="28"/>
        </w:rPr>
        <w:t>th Meeting of the APT Wireless Group (AWG-1</w:t>
      </w:r>
      <w:r w:rsidR="00564112">
        <w:rPr>
          <w:b/>
          <w:sz w:val="28"/>
          <w:szCs w:val="28"/>
        </w:rPr>
        <w:t>9</w:t>
      </w:r>
      <w:r w:rsidRPr="006C7D8C">
        <w:rPr>
          <w:b/>
          <w:sz w:val="28"/>
          <w:szCs w:val="28"/>
        </w:rPr>
        <w:t>)</w:t>
      </w:r>
    </w:p>
    <w:p w:rsidR="006C7D8C" w:rsidRDefault="006C7D8C" w:rsidP="006C7D8C">
      <w:pPr>
        <w:spacing w:after="0"/>
        <w:rPr>
          <w:b/>
          <w:sz w:val="28"/>
          <w:szCs w:val="28"/>
          <w:lang w:val="en-US"/>
        </w:rPr>
      </w:pPr>
    </w:p>
    <w:p w:rsidR="00270D2F" w:rsidRDefault="00270D2F" w:rsidP="005A6382">
      <w:r w:rsidRPr="00916B79">
        <w:t xml:space="preserve">The Asia-Pacific </w:t>
      </w:r>
      <w:proofErr w:type="spellStart"/>
      <w:r w:rsidRPr="00916B79">
        <w:t>Telecommunity</w:t>
      </w:r>
      <w:proofErr w:type="spellEnd"/>
      <w:r w:rsidRPr="00916B79">
        <w:t xml:space="preserve"> (APT) organi</w:t>
      </w:r>
      <w:r>
        <w:t>s</w:t>
      </w:r>
      <w:r w:rsidRPr="00916B79">
        <w:t xml:space="preserve">ed the </w:t>
      </w:r>
      <w:r w:rsidR="00564112" w:rsidRPr="00564112">
        <w:t xml:space="preserve">19th Meeting of </w:t>
      </w:r>
      <w:r w:rsidR="00564112">
        <w:t xml:space="preserve">the </w:t>
      </w:r>
      <w:r w:rsidR="00564112" w:rsidRPr="00564112">
        <w:t xml:space="preserve">APT Wireless Group (AWG-19) from 2 to 5 February 2016 in Chiang Mai, Thailand. </w:t>
      </w:r>
    </w:p>
    <w:p w:rsidR="006F1829" w:rsidRDefault="006F1829" w:rsidP="00270D2F"/>
    <w:p w:rsidR="008A606C" w:rsidRDefault="008A606C" w:rsidP="008A606C">
      <w:r>
        <w:t>AWG</w:t>
      </w:r>
      <w:r w:rsidR="000266E4">
        <w:t>-19</w:t>
      </w:r>
      <w:r>
        <w:t xml:space="preserve"> appreciated the work done by the ECO for the AFIS (APT Frequency Information System and encouraged </w:t>
      </w:r>
      <w:r w:rsidR="00B2595C">
        <w:t xml:space="preserve">the APT secretariat </w:t>
      </w:r>
      <w:r>
        <w:t>to continue the work. APT members proposed to include information from REP-15(Rev.1) (SRD) into AFIS (</w:t>
      </w:r>
      <w:r w:rsidR="00B2595C">
        <w:t xml:space="preserve">already </w:t>
      </w:r>
      <w:r>
        <w:t>available). Individual APT members have started to inert their data in AFIS.</w:t>
      </w:r>
    </w:p>
    <w:bookmarkStart w:id="1" w:name="_MON_1517219018"/>
    <w:bookmarkEnd w:id="1"/>
    <w:p w:rsidR="000266E4" w:rsidRDefault="000266E4" w:rsidP="008A606C">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10" o:title=""/>
          </v:shape>
          <o:OLEObject Type="Embed" ProgID="Word.Document.12" ShapeID="_x0000_i1025" DrawAspect="Icon" ObjectID="_1517909451" r:id="rId11">
            <o:FieldCodes>\s</o:FieldCodes>
          </o:OLEObject>
        </w:object>
      </w:r>
    </w:p>
    <w:p w:rsidR="008A606C" w:rsidRDefault="008A606C" w:rsidP="008A606C"/>
    <w:p w:rsidR="006C7D8C" w:rsidRDefault="006C7D8C" w:rsidP="006C7D8C">
      <w:r>
        <w:t xml:space="preserve">The recent </w:t>
      </w:r>
      <w:r w:rsidRPr="006F70A7">
        <w:rPr>
          <w:b/>
        </w:rPr>
        <w:t>APT e-Newsletters</w:t>
      </w:r>
      <w:r>
        <w:t xml:space="preserve"> are available under: </w:t>
      </w:r>
      <w:hyperlink r:id="rId12" w:history="1">
        <w:r w:rsidRPr="00567DD6">
          <w:rPr>
            <w:rStyle w:val="Hyperlink"/>
          </w:rPr>
          <w:t>http://www.apt.int/Publications</w:t>
        </w:r>
      </w:hyperlink>
      <w:r>
        <w:t xml:space="preserve"> </w:t>
      </w:r>
      <w:r w:rsidR="00270D2F">
        <w:t>(at the bottom of the page</w:t>
      </w:r>
      <w:r w:rsidR="00036B79">
        <w:t xml:space="preserve">, </w:t>
      </w:r>
      <w:r w:rsidR="00B2595C">
        <w:t xml:space="preserve">the </w:t>
      </w:r>
      <w:r w:rsidR="00036B79">
        <w:t xml:space="preserve">latest newsletter </w:t>
      </w:r>
      <w:r w:rsidR="00B2595C">
        <w:t xml:space="preserve">is </w:t>
      </w:r>
      <w:r w:rsidR="00036B79">
        <w:t>from January 2016</w:t>
      </w:r>
      <w:r w:rsidR="00270D2F">
        <w:t>)</w:t>
      </w:r>
      <w:r w:rsidR="00036B79">
        <w:t xml:space="preserve">. This includes a calendar of </w:t>
      </w:r>
      <w:proofErr w:type="gramStart"/>
      <w:r w:rsidR="00036B79">
        <w:t>events,</w:t>
      </w:r>
      <w:proofErr w:type="gramEnd"/>
      <w:r w:rsidR="00036B79">
        <w:t xml:space="preserve"> inter-alia APT plans a w</w:t>
      </w:r>
      <w:r w:rsidR="00036B79" w:rsidRPr="00036B79">
        <w:t>orkshop on Disaster Management/Communications</w:t>
      </w:r>
      <w:r w:rsidR="00036B79">
        <w:t xml:space="preserve"> in the second quarter 2016.</w:t>
      </w:r>
    </w:p>
    <w:p w:rsidR="00277CF8" w:rsidRDefault="00277CF8" w:rsidP="00277CF8">
      <w:r>
        <w:t>The following newly revised APT Reports have been approved:</w:t>
      </w:r>
    </w:p>
    <w:tbl>
      <w:tblPr>
        <w:tblpPr w:leftFromText="45" w:rightFromText="45" w:vertAnchor="text"/>
        <w:tblW w:w="5356"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1CFC5"/>
        <w:tblCellMar>
          <w:left w:w="0" w:type="dxa"/>
          <w:right w:w="0" w:type="dxa"/>
        </w:tblCellMar>
        <w:tblLook w:val="04A0" w:firstRow="1" w:lastRow="0" w:firstColumn="1" w:lastColumn="0" w:noHBand="0" w:noVBand="1"/>
      </w:tblPr>
      <w:tblGrid>
        <w:gridCol w:w="1993"/>
        <w:gridCol w:w="7002"/>
        <w:gridCol w:w="1156"/>
      </w:tblGrid>
      <w:tr w:rsidR="00564112" w:rsidRPr="00564112" w:rsidTr="00882607">
        <w:tc>
          <w:tcPr>
            <w:tcW w:w="0" w:type="auto"/>
            <w:shd w:val="clear" w:color="auto" w:fill="FFFFFF"/>
            <w:tcMar>
              <w:top w:w="60" w:type="dxa"/>
              <w:left w:w="60" w:type="dxa"/>
              <w:bottom w:w="60" w:type="dxa"/>
              <w:right w:w="60" w:type="dxa"/>
            </w:tcMar>
            <w:vAlign w:val="center"/>
            <w:hideMark/>
          </w:tcPr>
          <w:p w:rsidR="00564112" w:rsidRPr="00564112" w:rsidRDefault="00643CD3" w:rsidP="00564112">
            <w:pPr>
              <w:spacing w:line="312" w:lineRule="auto"/>
              <w:rPr>
                <w:lang w:val="de-DE"/>
              </w:rPr>
            </w:pPr>
            <w:hyperlink r:id="rId13" w:history="1">
              <w:r w:rsidR="00564112" w:rsidRPr="00564112">
                <w:rPr>
                  <w:rStyle w:val="Hyperlink"/>
                  <w:rFonts w:cs="Arial"/>
                </w:rPr>
                <w:t>APT/AWG/REP-04(Rev.2)</w:t>
              </w:r>
            </w:hyperlink>
          </w:p>
        </w:tc>
        <w:tc>
          <w:tcPr>
            <w:tcW w:w="0" w:type="auto"/>
            <w:shd w:val="clear" w:color="auto" w:fill="FFFFFF"/>
            <w:tcMar>
              <w:top w:w="60" w:type="dxa"/>
              <w:left w:w="60" w:type="dxa"/>
              <w:bottom w:w="60" w:type="dxa"/>
              <w:right w:w="60" w:type="dxa"/>
            </w:tcMar>
            <w:vAlign w:val="center"/>
            <w:hideMark/>
          </w:tcPr>
          <w:p w:rsidR="00564112" w:rsidRPr="00564112" w:rsidRDefault="00564112" w:rsidP="00564112">
            <w:pPr>
              <w:spacing w:line="234" w:lineRule="atLeast"/>
              <w:rPr>
                <w:lang w:val="en-US"/>
              </w:rPr>
            </w:pPr>
            <w:r w:rsidRPr="00564112">
              <w:rPr>
                <w:rFonts w:cs="Arial"/>
                <w:color w:val="000000"/>
              </w:rPr>
              <w:t>APT Report on "Studies on the Coexistence between IMT-2000 Technologies and between IMT-2000 Technologies and other wireless Access Technologies in Adjacent and Near-Adjacent Frequency Bands"</w:t>
            </w:r>
          </w:p>
        </w:tc>
        <w:tc>
          <w:tcPr>
            <w:tcW w:w="0" w:type="auto"/>
            <w:shd w:val="clear" w:color="auto" w:fill="FFFFFF"/>
            <w:tcMar>
              <w:top w:w="60" w:type="dxa"/>
              <w:left w:w="60" w:type="dxa"/>
              <w:bottom w:w="60" w:type="dxa"/>
              <w:right w:w="60" w:type="dxa"/>
            </w:tcMar>
            <w:vAlign w:val="center"/>
            <w:hideMark/>
          </w:tcPr>
          <w:p w:rsidR="00564112" w:rsidRPr="00B2595C" w:rsidRDefault="00564112" w:rsidP="00B2595C">
            <w:pPr>
              <w:spacing w:line="234" w:lineRule="atLeast"/>
              <w:jc w:val="center"/>
              <w:rPr>
                <w:rFonts w:cs="Arial"/>
                <w:color w:val="000000"/>
              </w:rPr>
            </w:pPr>
            <w:r w:rsidRPr="00B2595C">
              <w:rPr>
                <w:rFonts w:cs="Arial"/>
                <w:color w:val="000000"/>
              </w:rPr>
              <w:t>Revised 02/2016</w:t>
            </w:r>
          </w:p>
        </w:tc>
      </w:tr>
      <w:tr w:rsidR="00882607" w:rsidRPr="00564112" w:rsidTr="005A6382">
        <w:tc>
          <w:tcPr>
            <w:tcW w:w="0" w:type="auto"/>
            <w:shd w:val="clear" w:color="auto" w:fill="FFFFFF"/>
            <w:tcMar>
              <w:top w:w="60" w:type="dxa"/>
              <w:left w:w="60" w:type="dxa"/>
              <w:bottom w:w="60" w:type="dxa"/>
              <w:right w:w="60" w:type="dxa"/>
            </w:tcMar>
          </w:tcPr>
          <w:p w:rsidR="00882607" w:rsidRDefault="00643CD3" w:rsidP="00882607">
            <w:pPr>
              <w:spacing w:line="312" w:lineRule="auto"/>
              <w:rPr>
                <w:rFonts w:cs="Arial"/>
                <w:color w:val="000000"/>
                <w:sz w:val="18"/>
                <w:szCs w:val="18"/>
              </w:rPr>
            </w:pPr>
            <w:hyperlink r:id="rId14" w:history="1">
              <w:r w:rsidR="00882607" w:rsidRPr="00564112">
                <w:rPr>
                  <w:rStyle w:val="Hyperlink"/>
                  <w:rFonts w:cs="Arial"/>
                </w:rPr>
                <w:t>APT/AWG/REP-07(Rev.4)</w:t>
              </w:r>
            </w:hyperlink>
          </w:p>
        </w:tc>
        <w:tc>
          <w:tcPr>
            <w:tcW w:w="0" w:type="auto"/>
            <w:shd w:val="clear" w:color="auto" w:fill="FFFFFF"/>
            <w:tcMar>
              <w:top w:w="60" w:type="dxa"/>
              <w:left w:w="60" w:type="dxa"/>
              <w:bottom w:w="60" w:type="dxa"/>
              <w:right w:w="60" w:type="dxa"/>
            </w:tcMar>
            <w:vAlign w:val="center"/>
          </w:tcPr>
          <w:p w:rsidR="00882607" w:rsidRPr="00882607" w:rsidRDefault="00882607" w:rsidP="00882607">
            <w:pPr>
              <w:spacing w:line="234" w:lineRule="atLeast"/>
              <w:rPr>
                <w:rFonts w:cs="Arial"/>
                <w:color w:val="000000"/>
              </w:rPr>
            </w:pPr>
            <w:r>
              <w:rPr>
                <w:rFonts w:cs="Arial"/>
                <w:color w:val="000000"/>
              </w:rPr>
              <w:t>APT Survey Report on Operation of Short-Range Devices (SRDs)</w:t>
            </w:r>
          </w:p>
        </w:tc>
        <w:tc>
          <w:tcPr>
            <w:tcW w:w="0" w:type="auto"/>
            <w:shd w:val="clear" w:color="auto" w:fill="FFFFFF"/>
            <w:tcMar>
              <w:top w:w="60" w:type="dxa"/>
              <w:left w:w="60" w:type="dxa"/>
              <w:bottom w:w="60" w:type="dxa"/>
              <w:right w:w="60" w:type="dxa"/>
            </w:tcMar>
            <w:vAlign w:val="center"/>
          </w:tcPr>
          <w:p w:rsidR="00882607" w:rsidRDefault="00882607" w:rsidP="00882607">
            <w:pPr>
              <w:spacing w:line="234" w:lineRule="atLeast"/>
              <w:jc w:val="center"/>
              <w:rPr>
                <w:rFonts w:cs="Arial"/>
                <w:color w:val="000000"/>
                <w:sz w:val="18"/>
                <w:szCs w:val="18"/>
              </w:rPr>
            </w:pPr>
            <w:r>
              <w:rPr>
                <w:rFonts w:cs="Arial"/>
                <w:color w:val="000000"/>
              </w:rPr>
              <w:t>Revised 02/2016</w:t>
            </w:r>
          </w:p>
        </w:tc>
      </w:tr>
      <w:tr w:rsidR="00882607" w:rsidRPr="00564112" w:rsidTr="005A6382">
        <w:tc>
          <w:tcPr>
            <w:tcW w:w="0" w:type="auto"/>
            <w:shd w:val="clear" w:color="auto" w:fill="FFFFFF"/>
            <w:tcMar>
              <w:top w:w="60" w:type="dxa"/>
              <w:left w:w="60" w:type="dxa"/>
              <w:bottom w:w="60" w:type="dxa"/>
              <w:right w:w="60" w:type="dxa"/>
            </w:tcMar>
          </w:tcPr>
          <w:p w:rsidR="00882607" w:rsidRPr="00564112" w:rsidRDefault="00643CD3" w:rsidP="00882607">
            <w:pPr>
              <w:spacing w:line="312" w:lineRule="auto"/>
              <w:rPr>
                <w:rStyle w:val="Hyperlink"/>
              </w:rPr>
            </w:pPr>
            <w:hyperlink r:id="rId15" w:history="1">
              <w:r w:rsidR="00882607" w:rsidRPr="00564112">
                <w:rPr>
                  <w:rStyle w:val="Hyperlink"/>
                  <w:rFonts w:cs="Arial"/>
                </w:rPr>
                <w:t>APT/AWG/REP-15(Rev.3)</w:t>
              </w:r>
            </w:hyperlink>
          </w:p>
        </w:tc>
        <w:tc>
          <w:tcPr>
            <w:tcW w:w="0" w:type="auto"/>
            <w:shd w:val="clear" w:color="auto" w:fill="FFFFFF"/>
            <w:tcMar>
              <w:top w:w="60" w:type="dxa"/>
              <w:left w:w="60" w:type="dxa"/>
              <w:bottom w:w="60" w:type="dxa"/>
              <w:right w:w="60" w:type="dxa"/>
            </w:tcMar>
            <w:vAlign w:val="center"/>
          </w:tcPr>
          <w:p w:rsidR="00882607" w:rsidRPr="00882607" w:rsidRDefault="00882607" w:rsidP="00882607">
            <w:pPr>
              <w:spacing w:line="234" w:lineRule="atLeast"/>
              <w:rPr>
                <w:rFonts w:cs="Arial"/>
                <w:color w:val="000000"/>
              </w:rPr>
            </w:pPr>
            <w:r>
              <w:rPr>
                <w:rFonts w:cs="Arial"/>
                <w:color w:val="000000"/>
              </w:rPr>
              <w:t>APT Report on "Information of Mobile Operator's Frequencies, Technologies and License Durations in Asia Pacific Countries"</w:t>
            </w:r>
          </w:p>
        </w:tc>
        <w:tc>
          <w:tcPr>
            <w:tcW w:w="0" w:type="auto"/>
            <w:shd w:val="clear" w:color="auto" w:fill="FFFFFF"/>
            <w:tcMar>
              <w:top w:w="60" w:type="dxa"/>
              <w:left w:w="60" w:type="dxa"/>
              <w:bottom w:w="60" w:type="dxa"/>
              <w:right w:w="60" w:type="dxa"/>
            </w:tcMar>
            <w:vAlign w:val="center"/>
          </w:tcPr>
          <w:p w:rsidR="00882607" w:rsidRDefault="00882607" w:rsidP="00882607">
            <w:pPr>
              <w:spacing w:line="234" w:lineRule="atLeast"/>
              <w:jc w:val="center"/>
              <w:rPr>
                <w:rFonts w:cs="Arial"/>
                <w:color w:val="000000"/>
                <w:sz w:val="18"/>
                <w:szCs w:val="18"/>
              </w:rPr>
            </w:pPr>
            <w:r>
              <w:rPr>
                <w:rFonts w:cs="Arial"/>
                <w:color w:val="000000"/>
              </w:rPr>
              <w:t>Revised 02/2016</w:t>
            </w:r>
          </w:p>
        </w:tc>
      </w:tr>
      <w:tr w:rsidR="00882607" w:rsidRPr="00564112" w:rsidTr="005A6382">
        <w:tc>
          <w:tcPr>
            <w:tcW w:w="0" w:type="auto"/>
            <w:shd w:val="clear" w:color="auto" w:fill="FFFFFF"/>
            <w:tcMar>
              <w:top w:w="60" w:type="dxa"/>
              <w:left w:w="60" w:type="dxa"/>
              <w:bottom w:w="60" w:type="dxa"/>
              <w:right w:w="60" w:type="dxa"/>
            </w:tcMar>
          </w:tcPr>
          <w:p w:rsidR="00882607" w:rsidRPr="00564112" w:rsidRDefault="00643CD3" w:rsidP="00882607">
            <w:pPr>
              <w:spacing w:line="312" w:lineRule="auto"/>
              <w:rPr>
                <w:rStyle w:val="Hyperlink"/>
              </w:rPr>
            </w:pPr>
            <w:hyperlink r:id="rId16" w:history="1">
              <w:r w:rsidR="00882607" w:rsidRPr="00564112">
                <w:rPr>
                  <w:rStyle w:val="Hyperlink"/>
                  <w:rFonts w:cs="Arial"/>
                </w:rPr>
                <w:t>APT/AWG/REP-38(Rev.1)</w:t>
              </w:r>
            </w:hyperlink>
          </w:p>
        </w:tc>
        <w:tc>
          <w:tcPr>
            <w:tcW w:w="0" w:type="auto"/>
            <w:shd w:val="clear" w:color="auto" w:fill="FFFFFF"/>
            <w:tcMar>
              <w:top w:w="60" w:type="dxa"/>
              <w:left w:w="60" w:type="dxa"/>
              <w:bottom w:w="60" w:type="dxa"/>
              <w:right w:w="60" w:type="dxa"/>
            </w:tcMar>
            <w:vAlign w:val="center"/>
          </w:tcPr>
          <w:p w:rsidR="00882607" w:rsidRPr="00882607" w:rsidRDefault="00882607" w:rsidP="00882607">
            <w:pPr>
              <w:spacing w:line="234" w:lineRule="atLeast"/>
              <w:rPr>
                <w:rFonts w:cs="Arial"/>
                <w:color w:val="000000"/>
              </w:rPr>
            </w:pPr>
            <w:r>
              <w:rPr>
                <w:rFonts w:cs="Arial"/>
                <w:color w:val="000000"/>
              </w:rPr>
              <w:t>APT Report on "Technical Requirements for Mission Critical Broadband PPDR Communications"</w:t>
            </w:r>
          </w:p>
        </w:tc>
        <w:tc>
          <w:tcPr>
            <w:tcW w:w="0" w:type="auto"/>
            <w:shd w:val="clear" w:color="auto" w:fill="FFFFFF"/>
            <w:tcMar>
              <w:top w:w="60" w:type="dxa"/>
              <w:left w:w="60" w:type="dxa"/>
              <w:bottom w:w="60" w:type="dxa"/>
              <w:right w:w="60" w:type="dxa"/>
            </w:tcMar>
          </w:tcPr>
          <w:p w:rsidR="00882607" w:rsidRDefault="00882607" w:rsidP="00882607">
            <w:pPr>
              <w:spacing w:line="234" w:lineRule="atLeast"/>
              <w:jc w:val="center"/>
              <w:rPr>
                <w:rFonts w:cs="Arial"/>
                <w:color w:val="000000"/>
                <w:sz w:val="18"/>
                <w:szCs w:val="18"/>
              </w:rPr>
            </w:pPr>
            <w:r>
              <w:rPr>
                <w:rFonts w:cs="Arial"/>
                <w:color w:val="000000"/>
              </w:rPr>
              <w:t xml:space="preserve">Revised </w:t>
            </w:r>
            <w:r w:rsidRPr="00564112">
              <w:rPr>
                <w:rFonts w:cs="Arial"/>
                <w:color w:val="000000"/>
              </w:rPr>
              <w:t>0</w:t>
            </w:r>
            <w:r>
              <w:rPr>
                <w:rFonts w:cs="Arial"/>
                <w:color w:val="000000"/>
              </w:rPr>
              <w:t>2</w:t>
            </w:r>
            <w:r w:rsidRPr="00564112">
              <w:rPr>
                <w:rFonts w:cs="Arial"/>
                <w:color w:val="000000"/>
              </w:rPr>
              <w:t>/2016</w:t>
            </w:r>
          </w:p>
        </w:tc>
      </w:tr>
    </w:tbl>
    <w:p w:rsidR="00671707" w:rsidRDefault="00671707" w:rsidP="00277CF8"/>
    <w:p w:rsidR="00882607" w:rsidRDefault="006F1829" w:rsidP="00277CF8">
      <w:r>
        <w:t xml:space="preserve">APT Report </w:t>
      </w:r>
      <w:r w:rsidR="00B2595C">
        <w:t>0</w:t>
      </w:r>
      <w:r>
        <w:t>7</w:t>
      </w:r>
      <w:r w:rsidR="00882607">
        <w:t xml:space="preserve"> is </w:t>
      </w:r>
      <w:r w:rsidR="0072376F">
        <w:t xml:space="preserve">relevant for information for the SRD/MG, also with regard to the work in ITU-R WP1B on SRD classification (i.e. mapping of categories into a common set of SRD categories for </w:t>
      </w:r>
      <w:r w:rsidR="00B2595C">
        <w:t xml:space="preserve">an improved </w:t>
      </w:r>
      <w:r w:rsidR="0072376F">
        <w:t>global harmonisation).</w:t>
      </w:r>
      <w:r w:rsidR="00E333C9">
        <w:t xml:space="preserve"> </w:t>
      </w:r>
    </w:p>
    <w:p w:rsidR="00882607" w:rsidRDefault="00882607" w:rsidP="00277CF8">
      <w:r>
        <w:t xml:space="preserve">APT Report 04 includes a reference to </w:t>
      </w:r>
      <w:r w:rsidRPr="00882607">
        <w:t>Rep</w:t>
      </w:r>
      <w:r>
        <w:t>ort</w:t>
      </w:r>
      <w:r w:rsidRPr="00882607">
        <w:t xml:space="preserve"> ITU-R M.2110 (Sharing studies between </w:t>
      </w:r>
      <w:proofErr w:type="spellStart"/>
      <w:r w:rsidRPr="00882607">
        <w:t>radiocommunication</w:t>
      </w:r>
      <w:proofErr w:type="spellEnd"/>
      <w:r w:rsidRPr="00882607">
        <w:t xml:space="preserve"> services and IMT systems operating in the 450-470 MHz band)</w:t>
      </w:r>
      <w:r>
        <w:t>. The Report could be of relevance for WGSE/ SE7.</w:t>
      </w:r>
    </w:p>
    <w:p w:rsidR="00B2595C" w:rsidRDefault="00882607" w:rsidP="00277CF8">
      <w:r>
        <w:t xml:space="preserve">APT Report 15 </w:t>
      </w:r>
      <w:r w:rsidR="00B2595C">
        <w:t xml:space="preserve">includes </w:t>
      </w:r>
      <w:r>
        <w:t xml:space="preserve">updates from a considerable number of APT member administrations and could be of </w:t>
      </w:r>
      <w:r w:rsidR="00036B79">
        <w:t xml:space="preserve">interest in ECC PT1. </w:t>
      </w:r>
    </w:p>
    <w:p w:rsidR="00882607" w:rsidRDefault="00036B79" w:rsidP="00277CF8">
      <w:r>
        <w:t>The revision of APT Report 38 should be noted in FM49.</w:t>
      </w:r>
    </w:p>
    <w:p w:rsidR="00036B79" w:rsidRDefault="00036B79" w:rsidP="00277CF8"/>
    <w:p w:rsidR="00036B79" w:rsidRDefault="005B46BF" w:rsidP="00277CF8">
      <w:r>
        <w:t xml:space="preserve">The following work is in </w:t>
      </w:r>
      <w:r w:rsidR="008A606C">
        <w:t>progress in APT</w:t>
      </w:r>
      <w:r>
        <w:t xml:space="preserve"> AWG</w:t>
      </w:r>
      <w:r w:rsidR="00F510B1">
        <w:t xml:space="preserve"> (amongst some other work, list is not exhaustive)</w:t>
      </w:r>
      <w:r>
        <w:t>:</w:t>
      </w:r>
    </w:p>
    <w:p w:rsidR="008A606C" w:rsidRDefault="008A606C" w:rsidP="00277CF8"/>
    <w:p w:rsidR="008A606C" w:rsidRDefault="008A606C" w:rsidP="00BA12B0">
      <w:pPr>
        <w:pStyle w:val="ListParagraph"/>
        <w:numPr>
          <w:ilvl w:val="0"/>
          <w:numId w:val="6"/>
        </w:numPr>
      </w:pPr>
      <w:r>
        <w:lastRenderedPageBreak/>
        <w:t xml:space="preserve">A </w:t>
      </w:r>
      <w:r w:rsidR="005B46BF">
        <w:t>w</w:t>
      </w:r>
      <w:r w:rsidRPr="008A606C">
        <w:t xml:space="preserve">orking </w:t>
      </w:r>
      <w:r w:rsidR="005B46BF">
        <w:t>d</w:t>
      </w:r>
      <w:r w:rsidRPr="008A606C">
        <w:t xml:space="preserve">ocument </w:t>
      </w:r>
      <w:r w:rsidR="005B46BF">
        <w:t>t</w:t>
      </w:r>
      <w:r w:rsidRPr="008A606C">
        <w:t xml:space="preserve">owards </w:t>
      </w:r>
      <w:r>
        <w:t xml:space="preserve">a </w:t>
      </w:r>
      <w:r w:rsidR="005B46BF">
        <w:t>d</w:t>
      </w:r>
      <w:r w:rsidRPr="008A606C">
        <w:t xml:space="preserve">raft </w:t>
      </w:r>
      <w:r w:rsidR="005B46BF">
        <w:t>n</w:t>
      </w:r>
      <w:r w:rsidRPr="008A606C">
        <w:t>ew APT Recommendation/Rep</w:t>
      </w:r>
      <w:r w:rsidR="005B46BF">
        <w:t>ort on Authoris</w:t>
      </w:r>
      <w:r w:rsidRPr="008A606C">
        <w:t>ed/Licensed Shared Access (ASA/LSA)</w:t>
      </w:r>
      <w:r w:rsidR="005B46BF">
        <w:t>. The working document uses considerable references to ECC Deliverables</w:t>
      </w:r>
      <w:r>
        <w:t>;</w:t>
      </w:r>
    </w:p>
    <w:p w:rsidR="00443D99" w:rsidRDefault="005B46BF" w:rsidP="00BA12B0">
      <w:pPr>
        <w:pStyle w:val="ListParagraph"/>
        <w:numPr>
          <w:ilvl w:val="0"/>
          <w:numId w:val="6"/>
        </w:numPr>
      </w:pPr>
      <w:r>
        <w:t xml:space="preserve">A new questionnaire on </w:t>
      </w:r>
      <w:r w:rsidR="00B2595C">
        <w:t xml:space="preserve">the </w:t>
      </w:r>
      <w:r>
        <w:t>usage of the bands 108 – 117.975 MHz</w:t>
      </w:r>
      <w:r w:rsidR="008A606C" w:rsidRPr="008A606C">
        <w:t>, 328.6 – 335.4 MH</w:t>
      </w:r>
      <w:r>
        <w:t>z</w:t>
      </w:r>
      <w:r w:rsidR="008A606C" w:rsidRPr="008A606C">
        <w:t xml:space="preserve"> </w:t>
      </w:r>
      <w:r>
        <w:t xml:space="preserve">and </w:t>
      </w:r>
      <w:r w:rsidR="008A606C" w:rsidRPr="008A606C">
        <w:t>960 – 1164 MH</w:t>
      </w:r>
      <w:r>
        <w:t>z</w:t>
      </w:r>
      <w:r w:rsidR="008A606C" w:rsidRPr="008A606C">
        <w:t xml:space="preserve"> </w:t>
      </w:r>
      <w:r>
        <w:t xml:space="preserve">for aeronautical </w:t>
      </w:r>
      <w:proofErr w:type="spellStart"/>
      <w:r>
        <w:t>radionavigation</w:t>
      </w:r>
      <w:proofErr w:type="spellEnd"/>
      <w:r>
        <w:t xml:space="preserve"> service systems in the </w:t>
      </w:r>
      <w:r w:rsidR="00443D99">
        <w:t>Asia-Pacific region;</w:t>
      </w:r>
    </w:p>
    <w:p w:rsidR="008A606C" w:rsidRDefault="00443D99" w:rsidP="00BA12B0">
      <w:pPr>
        <w:pStyle w:val="ListParagraph"/>
        <w:numPr>
          <w:ilvl w:val="0"/>
          <w:numId w:val="6"/>
        </w:numPr>
      </w:pPr>
      <w:r>
        <w:t xml:space="preserve">A new questionnaire on frequency use in </w:t>
      </w:r>
      <w:r w:rsidR="008A606C" w:rsidRPr="008A606C">
        <w:t>457.5125-457.5875 MH</w:t>
      </w:r>
      <w:r>
        <w:t xml:space="preserve">z and </w:t>
      </w:r>
      <w:r w:rsidR="008A606C" w:rsidRPr="008A606C">
        <w:t>467.5125-467.5875 MH</w:t>
      </w:r>
      <w:r>
        <w:t xml:space="preserve">z </w:t>
      </w:r>
      <w:r w:rsidRPr="00443D99">
        <w:t>in the Asia-Pacific region</w:t>
      </w:r>
      <w:r>
        <w:t>;</w:t>
      </w:r>
    </w:p>
    <w:p w:rsidR="00443D99" w:rsidRDefault="00443D99" w:rsidP="00BA12B0">
      <w:pPr>
        <w:pStyle w:val="ListParagraph"/>
        <w:numPr>
          <w:ilvl w:val="0"/>
          <w:numId w:val="6"/>
        </w:numPr>
      </w:pPr>
      <w:r>
        <w:t>A working document towards a new APT Report on services and applications for public use of unmanned aircraft (triggered by Japan); similar to the work carried out in WGFM CG Drones;</w:t>
      </w:r>
    </w:p>
    <w:p w:rsidR="00443D99" w:rsidRDefault="00443D99" w:rsidP="00BA12B0">
      <w:pPr>
        <w:pStyle w:val="ListParagraph"/>
        <w:numPr>
          <w:ilvl w:val="0"/>
          <w:numId w:val="6"/>
        </w:numPr>
      </w:pPr>
      <w:r>
        <w:t>A working document towards a new APT Report on small cell cloud services (follows a questionnaire);</w:t>
      </w:r>
    </w:p>
    <w:p w:rsidR="00443D99" w:rsidRDefault="00443D99" w:rsidP="00BA12B0">
      <w:pPr>
        <w:pStyle w:val="ListParagraph"/>
        <w:numPr>
          <w:ilvl w:val="0"/>
          <w:numId w:val="6"/>
        </w:numPr>
      </w:pPr>
      <w:r>
        <w:t>A new study on implementation of BB-PPDR (based on LTE) networks;</w:t>
      </w:r>
    </w:p>
    <w:p w:rsidR="00443D99" w:rsidRDefault="00443D99" w:rsidP="00BA12B0">
      <w:pPr>
        <w:pStyle w:val="ListParagraph"/>
        <w:numPr>
          <w:ilvl w:val="0"/>
          <w:numId w:val="6"/>
        </w:numPr>
      </w:pPr>
      <w:r>
        <w:t>A working document towards a new APT Report on geo-location databases;</w:t>
      </w:r>
    </w:p>
    <w:p w:rsidR="005B46BF" w:rsidRDefault="00443D99" w:rsidP="00F510B1">
      <w:pPr>
        <w:pStyle w:val="ListParagraph"/>
        <w:numPr>
          <w:ilvl w:val="0"/>
          <w:numId w:val="6"/>
        </w:numPr>
      </w:pPr>
      <w:r>
        <w:t>A</w:t>
      </w:r>
      <w:r w:rsidR="005B46BF" w:rsidRPr="005B46BF">
        <w:t xml:space="preserve"> new </w:t>
      </w:r>
      <w:r>
        <w:t xml:space="preserve">APT Report and </w:t>
      </w:r>
      <w:r w:rsidR="005B46BF" w:rsidRPr="005B46BF">
        <w:t>Recommendation on frequency ranges for non-beam W</w:t>
      </w:r>
      <w:r>
        <w:t>ireless Power Transmission (W</w:t>
      </w:r>
      <w:r w:rsidR="005B46BF" w:rsidRPr="005B46BF">
        <w:t>P</w:t>
      </w:r>
      <w:r>
        <w:t xml:space="preserve">T) </w:t>
      </w:r>
      <w:r w:rsidR="005B46BF" w:rsidRPr="005B46BF">
        <w:t>for mobile devices</w:t>
      </w:r>
      <w:r w:rsidR="00F510B1">
        <w:t>;</w:t>
      </w:r>
      <w:r>
        <w:t xml:space="preserve"> </w:t>
      </w:r>
      <w:r w:rsidR="005B46BF" w:rsidRPr="005B46BF">
        <w:t xml:space="preserve">6765 kHz – 6795 kHz </w:t>
      </w:r>
      <w:r>
        <w:t xml:space="preserve">is </w:t>
      </w:r>
      <w:r w:rsidR="005B46BF" w:rsidRPr="005B46BF">
        <w:t>(see RR No. 5.138)</w:t>
      </w:r>
      <w:r>
        <w:t xml:space="preserve"> </w:t>
      </w:r>
      <w:r w:rsidR="005B46BF" w:rsidRPr="005B46BF">
        <w:t xml:space="preserve">the target frequency range as described in the APT Report on WPT and the latest WPT studies in ITU-R. </w:t>
      </w:r>
      <w:r>
        <w:t>In addition, d</w:t>
      </w:r>
      <w:r w:rsidR="005B46BF" w:rsidRPr="005B46BF">
        <w:t xml:space="preserve">evelopment of </w:t>
      </w:r>
      <w:r w:rsidR="00F510B1">
        <w:t xml:space="preserve">an </w:t>
      </w:r>
      <w:r w:rsidR="005B46BF" w:rsidRPr="005B46BF">
        <w:t xml:space="preserve">APT </w:t>
      </w:r>
      <w:r>
        <w:t xml:space="preserve">Report and </w:t>
      </w:r>
      <w:r w:rsidR="005B46BF" w:rsidRPr="005B46BF">
        <w:t xml:space="preserve">Recommendation on </w:t>
      </w:r>
      <w:r w:rsidR="00F510B1">
        <w:t>f</w:t>
      </w:r>
      <w:r w:rsidR="005B46BF" w:rsidRPr="005B46BF">
        <w:t xml:space="preserve">requency </w:t>
      </w:r>
      <w:r w:rsidR="00F510B1">
        <w:t>r</w:t>
      </w:r>
      <w:r w:rsidR="005B46BF" w:rsidRPr="005B46BF">
        <w:t xml:space="preserve">anges for Non-Beam WPT for </w:t>
      </w:r>
      <w:r>
        <w:t>e</w:t>
      </w:r>
      <w:r w:rsidR="005B46BF" w:rsidRPr="005B46BF">
        <w:t xml:space="preserve">lectric </w:t>
      </w:r>
      <w:r>
        <w:t>v</w:t>
      </w:r>
      <w:r w:rsidR="005B46BF" w:rsidRPr="005B46BF">
        <w:t>ehicles</w:t>
      </w:r>
      <w:r>
        <w:t xml:space="preserve">; </w:t>
      </w:r>
      <w:r w:rsidR="005B46BF" w:rsidRPr="005B46BF">
        <w:t>79 kHz – 90 kHz is a targeted frequency range as described in the APT Report on WPT and the latest WPT studies in ITU-R.</w:t>
      </w:r>
      <w:r>
        <w:t xml:space="preserve"> Note that ETSI is also developing an </w:t>
      </w:r>
      <w:r w:rsidR="00F510B1">
        <w:t>ETSI system reference document</w:t>
      </w:r>
      <w:r>
        <w:t xml:space="preserve"> </w:t>
      </w:r>
      <w:r w:rsidR="001F6FBB">
        <w:t xml:space="preserve">for </w:t>
      </w:r>
      <w:r w:rsidR="00F510B1" w:rsidRPr="00F510B1">
        <w:t xml:space="preserve">wireless power transmission using technologies other than radio frequency beam </w:t>
      </w:r>
      <w:r>
        <w:t>and th</w:t>
      </w:r>
      <w:r w:rsidR="00F510B1">
        <w:t>is</w:t>
      </w:r>
      <w:r>
        <w:t xml:space="preserve"> may arrive in </w:t>
      </w:r>
      <w:r w:rsidR="00F510B1">
        <w:t xml:space="preserve">the </w:t>
      </w:r>
      <w:r>
        <w:t>ECC</w:t>
      </w:r>
      <w:r w:rsidR="00F510B1">
        <w:t xml:space="preserve">/WGFM </w:t>
      </w:r>
      <w:r>
        <w:t>later on in 2016;</w:t>
      </w:r>
    </w:p>
    <w:p w:rsidR="001F6FBB" w:rsidRDefault="001F6FBB" w:rsidP="00BA12B0">
      <w:pPr>
        <w:pStyle w:val="ListParagraph"/>
        <w:numPr>
          <w:ilvl w:val="0"/>
          <w:numId w:val="6"/>
        </w:numPr>
      </w:pPr>
      <w:r>
        <w:t>A new activity towards a revision of an APT Report for the purpose to describe architecture and performance of integrated MSS systems and hybrid satellite/terrestrial systems below 3 GHz; this includes aspects such as MSS</w:t>
      </w:r>
      <w:r w:rsidR="00F510B1">
        <w:t>/CGC</w:t>
      </w:r>
      <w:r>
        <w:t xml:space="preserve"> networks used to connect directly to commercial airplanes (similar to 2GHz MSS</w:t>
      </w:r>
      <w:r w:rsidR="00F510B1">
        <w:t>/CGC</w:t>
      </w:r>
      <w:r>
        <w:t xml:space="preserve"> in Europe); </w:t>
      </w:r>
    </w:p>
    <w:p w:rsidR="001F6FBB" w:rsidRDefault="001F6FBB" w:rsidP="00BA12B0">
      <w:pPr>
        <w:pStyle w:val="ListParagraph"/>
        <w:numPr>
          <w:ilvl w:val="0"/>
          <w:numId w:val="6"/>
        </w:numPr>
      </w:pPr>
      <w:r>
        <w:t xml:space="preserve">A new questionnaire on the existing and future usage of </w:t>
      </w:r>
      <w:r w:rsidR="005B46BF">
        <w:t>17.7-20.2 GH</w:t>
      </w:r>
      <w:r>
        <w:t xml:space="preserve">z, </w:t>
      </w:r>
      <w:r w:rsidR="005B46BF">
        <w:t>27.5-30 GH</w:t>
      </w:r>
      <w:r>
        <w:t>z in the Asia-Pacific region; complemented by work on a new APT Report on modern satellite applications;</w:t>
      </w:r>
    </w:p>
    <w:p w:rsidR="001F6FBB" w:rsidRDefault="001F6FBB" w:rsidP="00BA12B0">
      <w:pPr>
        <w:pStyle w:val="ListParagraph"/>
        <w:numPr>
          <w:ilvl w:val="0"/>
          <w:numId w:val="6"/>
        </w:numPr>
      </w:pPr>
      <w:r>
        <w:t xml:space="preserve">AWG has a new sub-group on railway </w:t>
      </w:r>
      <w:proofErr w:type="spellStart"/>
      <w:r>
        <w:t>radiocommunications</w:t>
      </w:r>
      <w:proofErr w:type="spellEnd"/>
      <w:r>
        <w:t xml:space="preserve">. The task will be to create a new APT Report. This can be seen as an action to prepare for WRC-19 in support of the new AI </w:t>
      </w:r>
      <w:r w:rsidR="00F510B1">
        <w:t xml:space="preserve">1.11 </w:t>
      </w:r>
      <w:r>
        <w:t xml:space="preserve">for </w:t>
      </w:r>
      <w:r w:rsidRPr="001F6FBB">
        <w:t xml:space="preserve">railway </w:t>
      </w:r>
      <w:proofErr w:type="spellStart"/>
      <w:r w:rsidRPr="001F6FBB">
        <w:t>radiocommunications</w:t>
      </w:r>
      <w:proofErr w:type="spellEnd"/>
      <w:r>
        <w:t>;</w:t>
      </w:r>
    </w:p>
    <w:p w:rsidR="001F6FBB" w:rsidRDefault="001F6FBB" w:rsidP="00BA12B0">
      <w:pPr>
        <w:pStyle w:val="ListParagraph"/>
        <w:numPr>
          <w:ilvl w:val="0"/>
          <w:numId w:val="6"/>
        </w:numPr>
      </w:pPr>
      <w:r>
        <w:t>APT develops a new APT Recommendation on guidance for migration of GSM to Mobile broadband IMT systems;</w:t>
      </w:r>
    </w:p>
    <w:p w:rsidR="000266E4" w:rsidRDefault="001F6FBB" w:rsidP="00BA12B0">
      <w:pPr>
        <w:pStyle w:val="ListParagraph"/>
        <w:numPr>
          <w:ilvl w:val="0"/>
          <w:numId w:val="6"/>
        </w:numPr>
      </w:pPr>
      <w:r>
        <w:t xml:space="preserve">A </w:t>
      </w:r>
      <w:r w:rsidR="000266E4">
        <w:t>n</w:t>
      </w:r>
      <w:r>
        <w:t xml:space="preserve">ew questionnaire on existing and future use of bands in relation to </w:t>
      </w:r>
      <w:r w:rsidR="000266E4">
        <w:t xml:space="preserve">WRC-19 AI </w:t>
      </w:r>
      <w:r w:rsidR="005B46BF">
        <w:t xml:space="preserve">1.13 </w:t>
      </w:r>
      <w:r w:rsidR="00F510B1">
        <w:t xml:space="preserve">(future IMT) </w:t>
      </w:r>
      <w:r w:rsidR="000266E4">
        <w:t>in the Asia-Pacific region;</w:t>
      </w:r>
    </w:p>
    <w:p w:rsidR="000266E4" w:rsidRDefault="000266E4" w:rsidP="00BA12B0">
      <w:pPr>
        <w:pStyle w:val="ListParagraph"/>
        <w:numPr>
          <w:ilvl w:val="0"/>
          <w:numId w:val="6"/>
        </w:numPr>
      </w:pPr>
      <w:r>
        <w:t>An updated work plan on SRDs (looking into potential bands above 275 GHz for SRD usage); development of an APT Report for this purpose;</w:t>
      </w:r>
    </w:p>
    <w:p w:rsidR="000266E4" w:rsidRDefault="000266E4" w:rsidP="00BA12B0">
      <w:pPr>
        <w:pStyle w:val="ListParagraph"/>
        <w:numPr>
          <w:ilvl w:val="0"/>
          <w:numId w:val="6"/>
        </w:numPr>
      </w:pPr>
      <w:r>
        <w:t>Development of a new APT Report on fixed wireless systems;</w:t>
      </w:r>
    </w:p>
    <w:p w:rsidR="000266E4" w:rsidRDefault="000266E4" w:rsidP="00BA12B0">
      <w:pPr>
        <w:pStyle w:val="ListParagraph"/>
        <w:numPr>
          <w:ilvl w:val="0"/>
          <w:numId w:val="6"/>
        </w:numPr>
      </w:pPr>
      <w:r>
        <w:t>Development of a new APT Recommendation for IMT in the band 698-806 MHz;</w:t>
      </w:r>
    </w:p>
    <w:p w:rsidR="000266E4" w:rsidRDefault="000266E4" w:rsidP="00BA12B0">
      <w:pPr>
        <w:pStyle w:val="ListParagraph"/>
        <w:numPr>
          <w:ilvl w:val="0"/>
          <w:numId w:val="6"/>
        </w:numPr>
      </w:pPr>
      <w:r>
        <w:t xml:space="preserve">Work on APT frequency arrangements in </w:t>
      </w:r>
      <w:r w:rsidRPr="000266E4">
        <w:t>1427- 1518 MHz</w:t>
      </w:r>
      <w:r>
        <w:t xml:space="preserve">, 3300-3400 MHz, </w:t>
      </w:r>
      <w:r w:rsidRPr="000266E4">
        <w:t>3400-3600 MHz</w:t>
      </w:r>
      <w:r>
        <w:t xml:space="preserve">, and 4800-4990 MHz (APT Report(s) and Recommendations),  </w:t>
      </w:r>
    </w:p>
    <w:p w:rsidR="005B46BF" w:rsidRDefault="000266E4" w:rsidP="00BA12B0">
      <w:pPr>
        <w:pStyle w:val="ListParagraph"/>
        <w:numPr>
          <w:ilvl w:val="0"/>
          <w:numId w:val="6"/>
        </w:numPr>
      </w:pPr>
      <w:r>
        <w:t xml:space="preserve">Revision of APT Report 08 on BB-PPDR in bands </w:t>
      </w:r>
      <w:r w:rsidR="005B46BF">
        <w:t>406.1-430 MHz, 806-824/8</w:t>
      </w:r>
      <w:r w:rsidR="005A6382">
        <w:t>51-869 MHz, and 5 850-5 925 MHz following RESOLUTION 646 (REV. WRC-15);</w:t>
      </w:r>
    </w:p>
    <w:p w:rsidR="00EB2124" w:rsidRDefault="00EB2124" w:rsidP="00277CF8"/>
    <w:p w:rsidR="00277CF8" w:rsidRDefault="00277CF8" w:rsidP="00277CF8">
      <w:pPr>
        <w:spacing w:after="0"/>
        <w:jc w:val="left"/>
        <w:rPr>
          <w:lang w:val="en"/>
        </w:rPr>
      </w:pPr>
      <w:r>
        <w:rPr>
          <w:lang w:val="en"/>
        </w:rPr>
        <w:br w:type="page"/>
      </w:r>
    </w:p>
    <w:p w:rsidR="000526E6" w:rsidRPr="00D74C53" w:rsidRDefault="005A6382" w:rsidP="00BA12B0">
      <w:pPr>
        <w:pStyle w:val="ListParagraph"/>
        <w:numPr>
          <w:ilvl w:val="0"/>
          <w:numId w:val="3"/>
        </w:numPr>
        <w:spacing w:after="0"/>
        <w:rPr>
          <w:b/>
          <w:sz w:val="28"/>
          <w:szCs w:val="28"/>
          <w:lang w:val="fr-FR"/>
        </w:rPr>
      </w:pPr>
      <w:r w:rsidRPr="00D74C53">
        <w:rPr>
          <w:b/>
          <w:sz w:val="28"/>
          <w:szCs w:val="28"/>
          <w:lang w:val="fr-FR"/>
        </w:rPr>
        <w:lastRenderedPageBreak/>
        <w:t>LTE MTC (Machine-Type Communications)</w:t>
      </w:r>
    </w:p>
    <w:p w:rsidR="000526E6" w:rsidRPr="00D74C53" w:rsidRDefault="000526E6" w:rsidP="000526E6">
      <w:pPr>
        <w:spacing w:after="0"/>
        <w:rPr>
          <w:b/>
          <w:sz w:val="28"/>
          <w:szCs w:val="28"/>
          <w:lang w:val="fr-FR"/>
        </w:rPr>
      </w:pPr>
    </w:p>
    <w:p w:rsidR="002F3AAF" w:rsidRDefault="005A6382" w:rsidP="005A6382">
      <w:pPr>
        <w:spacing w:after="0"/>
        <w:jc w:val="left"/>
        <w:rPr>
          <w:rFonts w:eastAsia="Calibri" w:cs="Arial"/>
          <w:szCs w:val="22"/>
          <w:lang w:eastAsia="en-US"/>
        </w:rPr>
      </w:pPr>
      <w:r w:rsidRPr="005A6382">
        <w:rPr>
          <w:rFonts w:eastAsia="Calibri" w:cs="Arial"/>
          <w:szCs w:val="22"/>
          <w:lang w:eastAsia="en-US"/>
        </w:rPr>
        <w:t>At the FM54#7 meeting</w:t>
      </w:r>
      <w:r>
        <w:rPr>
          <w:rFonts w:eastAsia="Calibri" w:cs="Arial"/>
          <w:szCs w:val="22"/>
          <w:lang w:eastAsia="en-US"/>
        </w:rPr>
        <w:t xml:space="preserve"> in December 2015</w:t>
      </w:r>
      <w:r w:rsidRPr="005A6382">
        <w:rPr>
          <w:rFonts w:eastAsia="Calibri" w:cs="Arial"/>
          <w:szCs w:val="22"/>
          <w:lang w:eastAsia="en-US"/>
        </w:rPr>
        <w:t xml:space="preserve">, more information about LTE MTC was requested since this development could potentially be very interesting for </w:t>
      </w:r>
      <w:proofErr w:type="spellStart"/>
      <w:r w:rsidRPr="005A6382">
        <w:rPr>
          <w:rFonts w:eastAsia="Calibri" w:cs="Arial"/>
          <w:szCs w:val="22"/>
          <w:lang w:eastAsia="en-US"/>
        </w:rPr>
        <w:t>Iot</w:t>
      </w:r>
      <w:proofErr w:type="spellEnd"/>
      <w:r w:rsidRPr="005A6382">
        <w:rPr>
          <w:rFonts w:eastAsia="Calibri" w:cs="Arial"/>
          <w:szCs w:val="22"/>
          <w:lang w:eastAsia="en-US"/>
        </w:rPr>
        <w:t>/M2M (e.g. utilities) as well as the migration from GSM-R to a follow-on system</w:t>
      </w:r>
      <w:r w:rsidR="002F3AAF">
        <w:rPr>
          <w:rFonts w:eastAsia="Calibri" w:cs="Arial"/>
          <w:szCs w:val="22"/>
          <w:lang w:eastAsia="en-US"/>
        </w:rPr>
        <w:t xml:space="preserve"> for European railways</w:t>
      </w:r>
      <w:r w:rsidRPr="005A6382">
        <w:rPr>
          <w:rFonts w:eastAsia="Calibri" w:cs="Arial"/>
          <w:szCs w:val="22"/>
          <w:lang w:eastAsia="en-US"/>
        </w:rPr>
        <w:t xml:space="preserve">. It should be noted that LTE MTC seems to support also the adoption of hybrid approaches for LPWA (low power/ wide area) </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networks including unlicensed </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network</w:t>
      </w:r>
      <w:r w:rsidR="002F3AAF">
        <w:rPr>
          <w:rFonts w:eastAsia="Calibri" w:cs="Arial"/>
          <w:szCs w:val="22"/>
          <w:lang w:eastAsia="en-US"/>
        </w:rPr>
        <w:t>s</w:t>
      </w:r>
      <w:r w:rsidRPr="005A6382">
        <w:rPr>
          <w:rFonts w:eastAsia="Calibri" w:cs="Arial"/>
          <w:szCs w:val="22"/>
          <w:lang w:eastAsia="en-US"/>
        </w:rPr>
        <w:t xml:space="preserve"> (supported by strong industry alliance) and licensed </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This could be of interest for use in the 400 MHz, 800/900 MHz ranges in particular. </w:t>
      </w:r>
    </w:p>
    <w:p w:rsidR="002F3AAF" w:rsidRDefault="002F3AAF" w:rsidP="005A6382">
      <w:pPr>
        <w:spacing w:after="0"/>
        <w:jc w:val="left"/>
        <w:rPr>
          <w:rFonts w:eastAsia="Calibri" w:cs="Arial"/>
          <w:szCs w:val="22"/>
          <w:lang w:eastAsia="en-US"/>
        </w:rPr>
      </w:pPr>
    </w:p>
    <w:p w:rsidR="005A6382" w:rsidRPr="005A6382" w:rsidRDefault="002F3AAF" w:rsidP="005A6382">
      <w:pPr>
        <w:spacing w:after="0"/>
        <w:jc w:val="left"/>
        <w:rPr>
          <w:rFonts w:eastAsia="Calibri" w:cs="Arial"/>
          <w:szCs w:val="22"/>
          <w:lang w:eastAsia="en-US"/>
        </w:rPr>
      </w:pPr>
      <w:r>
        <w:rPr>
          <w:rFonts w:eastAsia="Calibri" w:cs="Arial"/>
          <w:szCs w:val="22"/>
          <w:lang w:eastAsia="en-US"/>
        </w:rPr>
        <w:t xml:space="preserve">The </w:t>
      </w:r>
      <w:r w:rsidR="005A6382" w:rsidRPr="005A6382">
        <w:rPr>
          <w:rFonts w:eastAsia="Calibri" w:cs="Arial"/>
          <w:szCs w:val="22"/>
          <w:lang w:eastAsia="en-US"/>
        </w:rPr>
        <w:t xml:space="preserve">3GPP agreed in November 2015 on specifications for Narrowband </w:t>
      </w:r>
      <w:proofErr w:type="spellStart"/>
      <w:r w:rsidR="005A6382" w:rsidRPr="005A6382">
        <w:rPr>
          <w:rFonts w:eastAsia="Calibri" w:cs="Arial"/>
          <w:szCs w:val="22"/>
          <w:lang w:eastAsia="en-US"/>
        </w:rPr>
        <w:t>IoT</w:t>
      </w:r>
      <w:proofErr w:type="spellEnd"/>
      <w:r w:rsidR="005A6382" w:rsidRPr="005A6382">
        <w:rPr>
          <w:rFonts w:eastAsia="Calibri" w:cs="Arial"/>
          <w:szCs w:val="22"/>
          <w:lang w:eastAsia="en-US"/>
        </w:rPr>
        <w:t xml:space="preserve"> (NB-</w:t>
      </w:r>
      <w:proofErr w:type="spellStart"/>
      <w:r w:rsidR="005A6382" w:rsidRPr="005A6382">
        <w:rPr>
          <w:rFonts w:eastAsia="Calibri" w:cs="Arial"/>
          <w:szCs w:val="22"/>
          <w:lang w:eastAsia="en-US"/>
        </w:rPr>
        <w:t>IoT</w:t>
      </w:r>
      <w:proofErr w:type="spellEnd"/>
      <w:r w:rsidR="005A6382" w:rsidRPr="005A6382">
        <w:rPr>
          <w:rFonts w:eastAsia="Calibri" w:cs="Arial"/>
          <w:szCs w:val="22"/>
          <w:lang w:eastAsia="en-US"/>
        </w:rPr>
        <w:t>)</w:t>
      </w:r>
      <w:r w:rsidR="00810EA4">
        <w:rPr>
          <w:rFonts w:eastAsia="Calibri" w:cs="Arial"/>
          <w:szCs w:val="22"/>
          <w:lang w:eastAsia="en-US"/>
        </w:rPr>
        <w:t xml:space="preserve"> (NB-</w:t>
      </w:r>
      <w:proofErr w:type="spellStart"/>
      <w:r w:rsidR="00810EA4">
        <w:rPr>
          <w:rFonts w:eastAsia="Calibri" w:cs="Arial"/>
          <w:szCs w:val="22"/>
          <w:lang w:eastAsia="en-US"/>
        </w:rPr>
        <w:t>IoT</w:t>
      </w:r>
      <w:proofErr w:type="spellEnd"/>
      <w:r w:rsidR="00810EA4">
        <w:rPr>
          <w:rFonts w:eastAsia="Calibri" w:cs="Arial"/>
          <w:szCs w:val="22"/>
          <w:lang w:eastAsia="en-US"/>
        </w:rPr>
        <w:t xml:space="preserve"> was finally decided as the terminology to be used in 3GPP)</w:t>
      </w:r>
      <w:r w:rsidR="005A6382" w:rsidRPr="005A6382">
        <w:rPr>
          <w:rFonts w:eastAsia="Calibri" w:cs="Arial"/>
          <w:szCs w:val="22"/>
          <w:lang w:eastAsia="en-US"/>
        </w:rPr>
        <w:t>.</w:t>
      </w:r>
    </w:p>
    <w:p w:rsidR="005A6382" w:rsidRPr="005A6382" w:rsidRDefault="005A6382" w:rsidP="005A6382">
      <w:pPr>
        <w:spacing w:after="0"/>
        <w:jc w:val="left"/>
        <w:rPr>
          <w:rFonts w:eastAsia="Calibri" w:cs="Arial"/>
          <w:szCs w:val="22"/>
          <w:lang w:eastAsia="en-US"/>
        </w:rPr>
      </w:pPr>
    </w:p>
    <w:p w:rsidR="005A6382" w:rsidRPr="005A6382" w:rsidRDefault="005A6382" w:rsidP="005A6382">
      <w:pPr>
        <w:spacing w:after="0"/>
        <w:jc w:val="left"/>
        <w:rPr>
          <w:rFonts w:eastAsia="Calibri" w:cs="Arial"/>
          <w:szCs w:val="22"/>
          <w:lang w:eastAsia="en-US"/>
        </w:rPr>
      </w:pPr>
      <w:r w:rsidRPr="005A6382">
        <w:rPr>
          <w:rFonts w:eastAsia="Calibri" w:cs="Arial"/>
          <w:szCs w:val="22"/>
          <w:lang w:eastAsia="en-US"/>
        </w:rPr>
        <w:t xml:space="preserve">3GPP has recently adopted a narrow band </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(NB-</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feature to specify a new radio access for cellular </w:t>
      </w:r>
      <w:proofErr w:type="spellStart"/>
      <w:r w:rsidRPr="005A6382">
        <w:rPr>
          <w:rFonts w:eastAsia="Calibri" w:cs="Arial"/>
          <w:szCs w:val="22"/>
          <w:lang w:eastAsia="en-US"/>
        </w:rPr>
        <w:t>IoT</w:t>
      </w:r>
      <w:proofErr w:type="spellEnd"/>
      <w:r w:rsidRPr="005A6382">
        <w:rPr>
          <w:rFonts w:eastAsia="Calibri" w:cs="Arial"/>
          <w:szCs w:val="22"/>
          <w:lang w:eastAsia="en-US"/>
        </w:rPr>
        <w:t>, based to a great extent on a non-backward-compatible variant of E-UTRA, that addresses improved indoor coverage, support for massive number of low throughput devices, low delay sensitivity, ultra</w:t>
      </w:r>
      <w:r w:rsidR="002F3AAF">
        <w:rPr>
          <w:rFonts w:eastAsia="Calibri" w:cs="Arial"/>
          <w:szCs w:val="22"/>
          <w:lang w:eastAsia="en-US"/>
        </w:rPr>
        <w:t>-</w:t>
      </w:r>
      <w:r w:rsidRPr="005A6382">
        <w:rPr>
          <w:rFonts w:eastAsia="Calibri" w:cs="Arial"/>
          <w:szCs w:val="22"/>
          <w:lang w:eastAsia="en-US"/>
        </w:rPr>
        <w:t xml:space="preserve">low device cost, low device power consumption and (optimised) network architecture. </w:t>
      </w:r>
      <w:r w:rsidR="002F3AAF">
        <w:rPr>
          <w:rFonts w:eastAsia="Calibri" w:cs="Arial"/>
          <w:szCs w:val="22"/>
          <w:lang w:eastAsia="en-US"/>
        </w:rPr>
        <w:t>In essence</w:t>
      </w:r>
      <w:r w:rsidRPr="005A6382">
        <w:rPr>
          <w:rFonts w:eastAsia="Calibri" w:cs="Arial"/>
          <w:szCs w:val="22"/>
          <w:lang w:eastAsia="en-US"/>
        </w:rPr>
        <w:t>, NB-</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is expected to be the main steam for 3GPP LPWAN replacing NB-LTE and NB-</w:t>
      </w:r>
      <w:proofErr w:type="spellStart"/>
      <w:r w:rsidRPr="005A6382">
        <w:rPr>
          <w:rFonts w:eastAsia="Calibri" w:cs="Arial"/>
          <w:szCs w:val="22"/>
          <w:lang w:eastAsia="en-US"/>
        </w:rPr>
        <w:t>CIoT</w:t>
      </w:r>
      <w:proofErr w:type="spellEnd"/>
      <w:r w:rsidRPr="005A6382">
        <w:rPr>
          <w:rFonts w:eastAsia="Calibri" w:cs="Arial"/>
          <w:szCs w:val="22"/>
          <w:lang w:eastAsia="en-US"/>
        </w:rPr>
        <w:t xml:space="preserve"> (Cellular IOT) proposals.</w:t>
      </w:r>
    </w:p>
    <w:p w:rsidR="005A6382" w:rsidRPr="005A6382" w:rsidRDefault="005A6382" w:rsidP="005A6382">
      <w:pPr>
        <w:spacing w:after="0"/>
        <w:jc w:val="left"/>
        <w:rPr>
          <w:rFonts w:eastAsia="Calibri" w:cs="Arial"/>
          <w:szCs w:val="22"/>
          <w:lang w:eastAsia="en-US"/>
        </w:rPr>
      </w:pPr>
    </w:p>
    <w:p w:rsidR="005A6382" w:rsidRPr="005A6382" w:rsidRDefault="005A6382" w:rsidP="005A6382">
      <w:pPr>
        <w:spacing w:after="0"/>
        <w:jc w:val="left"/>
        <w:rPr>
          <w:rFonts w:eastAsia="Calibri" w:cs="Arial"/>
          <w:szCs w:val="22"/>
          <w:lang w:eastAsia="en-US"/>
        </w:rPr>
      </w:pPr>
      <w:r w:rsidRPr="005A6382">
        <w:rPr>
          <w:rFonts w:eastAsia="Calibri" w:cs="Arial"/>
          <w:szCs w:val="22"/>
          <w:lang w:eastAsia="en-US"/>
        </w:rPr>
        <w:t xml:space="preserve">See e.g. </w:t>
      </w:r>
    </w:p>
    <w:p w:rsidR="005A6382" w:rsidRPr="005A6382" w:rsidRDefault="00643CD3" w:rsidP="00BA12B0">
      <w:pPr>
        <w:numPr>
          <w:ilvl w:val="0"/>
          <w:numId w:val="7"/>
        </w:numPr>
        <w:spacing w:after="0" w:line="276" w:lineRule="auto"/>
        <w:contextualSpacing/>
        <w:jc w:val="left"/>
        <w:rPr>
          <w:rFonts w:eastAsia="Calibri" w:cs="Arial"/>
          <w:szCs w:val="22"/>
          <w:lang w:eastAsia="en-US"/>
        </w:rPr>
      </w:pPr>
      <w:hyperlink r:id="rId17" w:history="1">
        <w:r w:rsidR="005A6382" w:rsidRPr="005A6382">
          <w:rPr>
            <w:rFonts w:eastAsia="Calibri" w:cs="Arial"/>
            <w:color w:val="0000FF"/>
            <w:szCs w:val="22"/>
            <w:u w:val="single"/>
            <w:lang w:eastAsia="en-US"/>
          </w:rPr>
          <w:t>http://www.gsma.com/connectedliving/wp-content/uploads/2015/07/002_Bob-Cai-Huawei_NB-CIoT-Ready-to-Go-V5.pdf</w:t>
        </w:r>
      </w:hyperlink>
      <w:r w:rsidR="005A6382" w:rsidRPr="005A6382">
        <w:rPr>
          <w:rFonts w:eastAsia="Calibri" w:cs="Arial"/>
          <w:szCs w:val="22"/>
          <w:lang w:eastAsia="en-US"/>
        </w:rPr>
        <w:t xml:space="preserve"> </w:t>
      </w:r>
    </w:p>
    <w:p w:rsidR="005A6382" w:rsidRPr="005A6382" w:rsidRDefault="005A6382" w:rsidP="005A6382">
      <w:pPr>
        <w:spacing w:after="0"/>
        <w:jc w:val="left"/>
        <w:rPr>
          <w:rFonts w:eastAsia="Calibri" w:cs="Arial"/>
          <w:szCs w:val="22"/>
          <w:lang w:eastAsia="en-US"/>
        </w:rPr>
      </w:pPr>
    </w:p>
    <w:p w:rsidR="005A6382" w:rsidRPr="005A6382" w:rsidRDefault="00643CD3" w:rsidP="00BA12B0">
      <w:pPr>
        <w:numPr>
          <w:ilvl w:val="0"/>
          <w:numId w:val="7"/>
        </w:numPr>
        <w:spacing w:after="0" w:line="276" w:lineRule="auto"/>
        <w:contextualSpacing/>
        <w:jc w:val="left"/>
        <w:rPr>
          <w:rFonts w:eastAsia="Calibri" w:cs="Arial"/>
          <w:szCs w:val="22"/>
          <w:lang w:eastAsia="en-US"/>
        </w:rPr>
      </w:pPr>
      <w:hyperlink r:id="rId18" w:history="1">
        <w:r w:rsidR="005A6382" w:rsidRPr="005A6382">
          <w:rPr>
            <w:rFonts w:eastAsia="Calibri" w:cs="Arial"/>
            <w:color w:val="0000FF"/>
            <w:szCs w:val="22"/>
            <w:u w:val="single"/>
            <w:lang w:eastAsia="en-US"/>
          </w:rPr>
          <w:t>http://www.3gpp.org/news-events/3gpp-news/1733-niot</w:t>
        </w:r>
      </w:hyperlink>
      <w:r w:rsidR="005A6382" w:rsidRPr="005A6382">
        <w:rPr>
          <w:rFonts w:eastAsia="Calibri" w:cs="Arial"/>
          <w:szCs w:val="22"/>
          <w:lang w:eastAsia="en-US"/>
        </w:rPr>
        <w:t xml:space="preserve"> </w:t>
      </w:r>
    </w:p>
    <w:p w:rsidR="005A6382" w:rsidRPr="005A6382" w:rsidRDefault="005A6382" w:rsidP="005A6382">
      <w:pPr>
        <w:spacing w:after="0"/>
        <w:jc w:val="left"/>
        <w:rPr>
          <w:rFonts w:eastAsia="Calibri" w:cs="Arial"/>
          <w:szCs w:val="22"/>
          <w:lang w:eastAsia="en-US"/>
        </w:rPr>
      </w:pPr>
    </w:p>
    <w:p w:rsidR="005A6382" w:rsidRPr="005A6382" w:rsidRDefault="005A6382" w:rsidP="005A6382">
      <w:pPr>
        <w:spacing w:after="0"/>
        <w:jc w:val="left"/>
        <w:rPr>
          <w:rFonts w:eastAsia="Calibri" w:cs="Arial"/>
          <w:szCs w:val="22"/>
          <w:lang w:eastAsia="en-US"/>
        </w:rPr>
      </w:pPr>
      <w:r w:rsidRPr="005A6382">
        <w:rPr>
          <w:rFonts w:eastAsia="Calibri" w:cs="Arial"/>
          <w:szCs w:val="22"/>
          <w:lang w:eastAsia="en-US"/>
        </w:rPr>
        <w:t xml:space="preserve">The LTE MTC (machine type communication) evolution is based on amending the LTE to support MTC. The first version was released with 3GPP Release 8 based on CAT 1 but it does not meet the </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requirement (battery/cost/range) and a new release is with R12 with Cat 0 and currently enhanced version (</w:t>
      </w:r>
      <w:proofErr w:type="spellStart"/>
      <w:r w:rsidRPr="005A6382">
        <w:rPr>
          <w:rFonts w:eastAsia="Calibri" w:cs="Arial"/>
          <w:szCs w:val="22"/>
          <w:lang w:eastAsia="en-US"/>
        </w:rPr>
        <w:t>eMTC</w:t>
      </w:r>
      <w:proofErr w:type="spellEnd"/>
      <w:r w:rsidRPr="005A6382">
        <w:rPr>
          <w:rFonts w:eastAsia="Calibri" w:cs="Arial"/>
          <w:szCs w:val="22"/>
          <w:lang w:eastAsia="en-US"/>
        </w:rPr>
        <w:t xml:space="preserve">) is under evaluation in </w:t>
      </w:r>
      <w:proofErr w:type="spellStart"/>
      <w:r w:rsidRPr="005A6382">
        <w:rPr>
          <w:rFonts w:eastAsia="Calibri" w:cs="Arial"/>
          <w:szCs w:val="22"/>
          <w:lang w:eastAsia="en-US"/>
        </w:rPr>
        <w:t>Rel</w:t>
      </w:r>
      <w:proofErr w:type="spellEnd"/>
      <w:r w:rsidRPr="005A6382">
        <w:rPr>
          <w:rFonts w:eastAsia="Calibri" w:cs="Arial"/>
          <w:szCs w:val="22"/>
          <w:lang w:eastAsia="en-US"/>
        </w:rPr>
        <w:t xml:space="preserve"> 13 to meet LPWAN requirement (CAT M). </w:t>
      </w:r>
    </w:p>
    <w:p w:rsidR="005A6382" w:rsidRPr="005A6382" w:rsidRDefault="005A6382" w:rsidP="005A6382">
      <w:pPr>
        <w:spacing w:after="0"/>
        <w:jc w:val="left"/>
        <w:rPr>
          <w:rFonts w:eastAsia="Calibri" w:cs="Arial"/>
          <w:szCs w:val="22"/>
          <w:lang w:eastAsia="en-US"/>
        </w:rPr>
      </w:pPr>
      <w:r w:rsidRPr="005A6382">
        <w:rPr>
          <w:rFonts w:eastAsia="Calibri" w:cs="Arial"/>
          <w:szCs w:val="22"/>
          <w:lang w:eastAsia="en-US"/>
        </w:rPr>
        <w:t>NB-</w:t>
      </w:r>
      <w:proofErr w:type="spellStart"/>
      <w:r w:rsidRPr="005A6382">
        <w:rPr>
          <w:rFonts w:eastAsia="Calibri" w:cs="Arial"/>
          <w:szCs w:val="22"/>
          <w:lang w:eastAsia="en-US"/>
        </w:rPr>
        <w:t>CIoT</w:t>
      </w:r>
      <w:proofErr w:type="spellEnd"/>
      <w:r w:rsidRPr="005A6382">
        <w:rPr>
          <w:rFonts w:eastAsia="Calibri" w:cs="Arial"/>
          <w:szCs w:val="22"/>
          <w:lang w:eastAsia="en-US"/>
        </w:rPr>
        <w:t xml:space="preserve"> and NB-LTE (will be evolved into NB-</w:t>
      </w:r>
      <w:proofErr w:type="spellStart"/>
      <w:r w:rsidRPr="005A6382">
        <w:rPr>
          <w:rFonts w:eastAsia="Calibri" w:cs="Arial"/>
          <w:szCs w:val="22"/>
          <w:lang w:eastAsia="en-US"/>
        </w:rPr>
        <w:t>IoT</w:t>
      </w:r>
      <w:proofErr w:type="spellEnd"/>
      <w:r w:rsidRPr="005A6382">
        <w:rPr>
          <w:rFonts w:eastAsia="Calibri" w:cs="Arial"/>
          <w:szCs w:val="22"/>
          <w:lang w:eastAsia="en-US"/>
        </w:rPr>
        <w:t>) is expected to be released with 3GPP Rel</w:t>
      </w:r>
      <w:r w:rsidR="002F3AAF">
        <w:rPr>
          <w:rFonts w:eastAsia="Calibri" w:cs="Arial"/>
          <w:szCs w:val="22"/>
          <w:lang w:eastAsia="en-US"/>
        </w:rPr>
        <w:t>ease</w:t>
      </w:r>
      <w:r w:rsidRPr="005A6382">
        <w:rPr>
          <w:rFonts w:eastAsia="Calibri" w:cs="Arial"/>
          <w:szCs w:val="22"/>
          <w:lang w:eastAsia="en-US"/>
        </w:rPr>
        <w:t xml:space="preserve"> 13. </w:t>
      </w:r>
    </w:p>
    <w:p w:rsidR="005A6382" w:rsidRPr="005A6382" w:rsidRDefault="005A6382" w:rsidP="005A6382">
      <w:pPr>
        <w:spacing w:after="0"/>
        <w:jc w:val="left"/>
        <w:rPr>
          <w:rFonts w:eastAsia="Calibri" w:cs="Arial"/>
          <w:szCs w:val="22"/>
          <w:lang w:eastAsia="en-US"/>
        </w:rPr>
      </w:pPr>
      <w:r w:rsidRPr="005A6382">
        <w:rPr>
          <w:rFonts w:eastAsia="Calibri" w:cs="Arial"/>
          <w:szCs w:val="22"/>
          <w:lang w:eastAsia="en-US"/>
        </w:rPr>
        <w:t xml:space="preserve">GSM </w:t>
      </w:r>
      <w:proofErr w:type="gramStart"/>
      <w:r w:rsidRPr="005A6382">
        <w:rPr>
          <w:rFonts w:eastAsia="Calibri" w:cs="Arial"/>
          <w:szCs w:val="22"/>
          <w:lang w:eastAsia="en-US"/>
        </w:rPr>
        <w:t>Evolution :</w:t>
      </w:r>
      <w:proofErr w:type="gramEnd"/>
      <w:r w:rsidRPr="005A6382">
        <w:rPr>
          <w:rFonts w:eastAsia="Calibri" w:cs="Arial"/>
          <w:szCs w:val="22"/>
          <w:lang w:eastAsia="en-US"/>
        </w:rPr>
        <w:t xml:space="preserve"> upgrade of GSM by using one carrier for </w:t>
      </w:r>
      <w:proofErr w:type="spellStart"/>
      <w:r w:rsidRPr="005A6382">
        <w:rPr>
          <w:rFonts w:eastAsia="Calibri" w:cs="Arial"/>
          <w:szCs w:val="22"/>
          <w:lang w:eastAsia="en-US"/>
        </w:rPr>
        <w:t>IoT</w:t>
      </w:r>
      <w:proofErr w:type="spellEnd"/>
      <w:r w:rsidRPr="005A6382">
        <w:rPr>
          <w:rFonts w:eastAsia="Calibri" w:cs="Arial"/>
          <w:szCs w:val="22"/>
          <w:lang w:eastAsia="en-US"/>
        </w:rPr>
        <w:t xml:space="preserve"> and extending the coverage is expected with 3GPP Rel</w:t>
      </w:r>
      <w:r w:rsidR="002F3AAF">
        <w:rPr>
          <w:rFonts w:eastAsia="Calibri" w:cs="Arial"/>
          <w:szCs w:val="22"/>
          <w:lang w:eastAsia="en-US"/>
        </w:rPr>
        <w:t>ease</w:t>
      </w:r>
      <w:r w:rsidRPr="005A6382">
        <w:rPr>
          <w:rFonts w:eastAsia="Calibri" w:cs="Arial"/>
          <w:szCs w:val="22"/>
          <w:lang w:eastAsia="en-US"/>
        </w:rPr>
        <w:t xml:space="preserve"> 13.</w:t>
      </w:r>
    </w:p>
    <w:p w:rsidR="005A6382" w:rsidRPr="005A6382" w:rsidRDefault="005A6382" w:rsidP="005A6382">
      <w:pPr>
        <w:spacing w:after="0"/>
        <w:jc w:val="left"/>
        <w:rPr>
          <w:rFonts w:eastAsia="Calibri" w:cs="Arial"/>
          <w:szCs w:val="22"/>
          <w:lang w:eastAsia="en-US"/>
        </w:rPr>
      </w:pPr>
    </w:p>
    <w:p w:rsidR="005A6382" w:rsidRPr="005A6382" w:rsidRDefault="005A6382" w:rsidP="005A6382">
      <w:pPr>
        <w:spacing w:after="0"/>
        <w:jc w:val="left"/>
        <w:rPr>
          <w:rFonts w:eastAsia="Calibri" w:cs="Arial"/>
          <w:szCs w:val="22"/>
          <w:lang w:eastAsia="en-US"/>
        </w:rPr>
      </w:pPr>
      <w:r w:rsidRPr="005A6382">
        <w:rPr>
          <w:rFonts w:ascii="Calibri" w:eastAsia="Calibri" w:hAnsi="Calibri"/>
          <w:noProof/>
          <w:szCs w:val="22"/>
          <w:lang w:val="da-DK" w:eastAsia="da-DK"/>
        </w:rPr>
        <w:drawing>
          <wp:inline distT="0" distB="0" distL="0" distR="0" wp14:anchorId="5E4675C1" wp14:editId="502054AA">
            <wp:extent cx="6124575" cy="294132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2941320"/>
                    </a:xfrm>
                    <a:prstGeom prst="rect">
                      <a:avLst/>
                    </a:prstGeom>
                    <a:noFill/>
                    <a:ln>
                      <a:noFill/>
                    </a:ln>
                  </pic:spPr>
                </pic:pic>
              </a:graphicData>
            </a:graphic>
          </wp:inline>
        </w:drawing>
      </w:r>
    </w:p>
    <w:p w:rsidR="005A6382" w:rsidRPr="005A6382" w:rsidRDefault="005A6382" w:rsidP="005A6382">
      <w:pPr>
        <w:spacing w:after="0"/>
        <w:jc w:val="left"/>
        <w:rPr>
          <w:rFonts w:eastAsia="Calibri" w:cs="Arial"/>
          <w:szCs w:val="22"/>
          <w:lang w:eastAsia="en-US"/>
        </w:rPr>
      </w:pPr>
    </w:p>
    <w:p w:rsidR="005A6382" w:rsidRPr="005A6382" w:rsidRDefault="005A6382" w:rsidP="005A6382">
      <w:pPr>
        <w:spacing w:after="0"/>
        <w:jc w:val="left"/>
        <w:rPr>
          <w:rFonts w:eastAsia="Calibri" w:cs="Arial"/>
          <w:szCs w:val="22"/>
          <w:lang w:eastAsia="en-US"/>
        </w:rPr>
      </w:pPr>
      <w:r w:rsidRPr="005A6382">
        <w:rPr>
          <w:rFonts w:eastAsia="Calibri" w:cs="Arial"/>
          <w:b/>
          <w:szCs w:val="22"/>
          <w:lang w:eastAsia="en-US"/>
        </w:rPr>
        <w:lastRenderedPageBreak/>
        <w:t xml:space="preserve">This is an interesting development for utilities and railways </w:t>
      </w:r>
      <w:r w:rsidR="00810EA4">
        <w:rPr>
          <w:rFonts w:eastAsia="Calibri" w:cs="Arial"/>
          <w:b/>
          <w:szCs w:val="22"/>
          <w:lang w:eastAsia="en-US"/>
        </w:rPr>
        <w:t>(once, mobility is going to be supported in future 3GPP releases for NB-</w:t>
      </w:r>
      <w:proofErr w:type="spellStart"/>
      <w:r w:rsidR="00810EA4">
        <w:rPr>
          <w:rFonts w:eastAsia="Calibri" w:cs="Arial"/>
          <w:b/>
          <w:szCs w:val="22"/>
          <w:lang w:eastAsia="en-US"/>
        </w:rPr>
        <w:t>IoT</w:t>
      </w:r>
      <w:proofErr w:type="spellEnd"/>
      <w:r w:rsidR="00810EA4">
        <w:rPr>
          <w:rFonts w:eastAsia="Calibri" w:cs="Arial"/>
          <w:b/>
          <w:szCs w:val="22"/>
          <w:lang w:eastAsia="en-US"/>
        </w:rPr>
        <w:t xml:space="preserve">) </w:t>
      </w:r>
      <w:r w:rsidRPr="005A6382">
        <w:rPr>
          <w:rFonts w:eastAsia="Calibri" w:cs="Arial"/>
          <w:b/>
          <w:szCs w:val="22"/>
          <w:lang w:eastAsia="en-US"/>
        </w:rPr>
        <w:t>and should be monitored</w:t>
      </w:r>
      <w:r w:rsidR="002F3AAF">
        <w:rPr>
          <w:rFonts w:eastAsia="Calibri" w:cs="Arial"/>
          <w:b/>
          <w:szCs w:val="22"/>
          <w:lang w:eastAsia="en-US"/>
        </w:rPr>
        <w:t>.</w:t>
      </w:r>
      <w:r w:rsidRPr="005A6382">
        <w:rPr>
          <w:rFonts w:eastAsia="Calibri" w:cs="Arial"/>
          <w:szCs w:val="22"/>
          <w:lang w:eastAsia="en-US"/>
        </w:rPr>
        <w:t xml:space="preserve"> </w:t>
      </w:r>
      <w:r w:rsidR="002F3AAF">
        <w:rPr>
          <w:rFonts w:eastAsia="Calibri" w:cs="Arial"/>
          <w:szCs w:val="22"/>
          <w:lang w:eastAsia="en-US"/>
        </w:rPr>
        <w:t xml:space="preserve">The </w:t>
      </w:r>
      <w:r w:rsidRPr="005A6382">
        <w:rPr>
          <w:rFonts w:eastAsia="Calibri" w:cs="Arial"/>
          <w:szCs w:val="22"/>
          <w:lang w:eastAsia="en-US"/>
        </w:rPr>
        <w:t xml:space="preserve">new proposal for release 13, to be frozen in 2Q2016, based on 200 kHz channels or part of broader LTE assignments. It can be used as stand-alone (200 KHz) or in combination with other LTE modes/ broader band services. Traffic prioritisation in relation to </w:t>
      </w:r>
      <w:proofErr w:type="spellStart"/>
      <w:r w:rsidRPr="005A6382">
        <w:rPr>
          <w:rFonts w:eastAsia="Calibri" w:cs="Arial"/>
          <w:szCs w:val="22"/>
          <w:lang w:eastAsia="en-US"/>
        </w:rPr>
        <w:t>QoS</w:t>
      </w:r>
      <w:proofErr w:type="spellEnd"/>
      <w:r w:rsidRPr="005A6382">
        <w:rPr>
          <w:rFonts w:eastAsia="Calibri" w:cs="Arial"/>
          <w:szCs w:val="22"/>
          <w:lang w:eastAsia="en-US"/>
        </w:rPr>
        <w:t xml:space="preserve">/latency considerations is considered possible. </w:t>
      </w:r>
    </w:p>
    <w:p w:rsidR="005A6382" w:rsidRPr="005A6382" w:rsidRDefault="005A6382" w:rsidP="005A6382">
      <w:pPr>
        <w:spacing w:after="0"/>
        <w:jc w:val="left"/>
        <w:rPr>
          <w:rFonts w:eastAsia="Calibri" w:cs="Arial"/>
          <w:szCs w:val="22"/>
          <w:lang w:eastAsia="en-US"/>
        </w:rPr>
      </w:pPr>
    </w:p>
    <w:p w:rsidR="005A6382" w:rsidRPr="002F3AAF" w:rsidRDefault="005A6382" w:rsidP="005A6382">
      <w:pPr>
        <w:spacing w:after="0"/>
        <w:jc w:val="left"/>
        <w:rPr>
          <w:rFonts w:eastAsia="Calibri" w:cs="Arial"/>
          <w:b/>
          <w:szCs w:val="22"/>
          <w:lang w:eastAsia="en-US"/>
        </w:rPr>
      </w:pPr>
      <w:r w:rsidRPr="002F3AAF">
        <w:rPr>
          <w:rFonts w:eastAsia="Calibri" w:cs="Arial"/>
          <w:b/>
          <w:szCs w:val="22"/>
          <w:lang w:eastAsia="en-US"/>
        </w:rPr>
        <w:t>Evolution:</w:t>
      </w:r>
    </w:p>
    <w:p w:rsidR="005A6382" w:rsidRPr="005A6382" w:rsidRDefault="005A6382" w:rsidP="005A6382">
      <w:pPr>
        <w:spacing w:after="0"/>
        <w:jc w:val="left"/>
        <w:rPr>
          <w:rFonts w:eastAsia="Calibri" w:cs="Arial"/>
          <w:szCs w:val="22"/>
          <w:lang w:eastAsia="en-US"/>
        </w:rPr>
      </w:pPr>
      <w:r w:rsidRPr="005A6382">
        <w:rPr>
          <w:rFonts w:ascii="Calibri" w:eastAsia="Calibri" w:hAnsi="Calibri"/>
          <w:noProof/>
          <w:szCs w:val="22"/>
          <w:lang w:val="da-DK" w:eastAsia="da-DK"/>
        </w:rPr>
        <w:drawing>
          <wp:inline distT="0" distB="0" distL="0" distR="0" wp14:anchorId="035CD8A6" wp14:editId="1BF01872">
            <wp:extent cx="6124575" cy="4088765"/>
            <wp:effectExtent l="0" t="0" r="9525"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4575" cy="4088765"/>
                    </a:xfrm>
                    <a:prstGeom prst="rect">
                      <a:avLst/>
                    </a:prstGeom>
                    <a:noFill/>
                    <a:ln>
                      <a:noFill/>
                    </a:ln>
                  </pic:spPr>
                </pic:pic>
              </a:graphicData>
            </a:graphic>
          </wp:inline>
        </w:drawing>
      </w:r>
    </w:p>
    <w:p w:rsidR="005A6382" w:rsidRPr="005A6382" w:rsidRDefault="005A6382" w:rsidP="005A6382">
      <w:pPr>
        <w:spacing w:after="200" w:line="276" w:lineRule="auto"/>
        <w:jc w:val="left"/>
        <w:rPr>
          <w:rFonts w:ascii="Calibri" w:eastAsia="Calibri" w:hAnsi="Calibri"/>
          <w:szCs w:val="22"/>
          <w:lang w:val="de-DE" w:eastAsia="en-US"/>
        </w:rPr>
      </w:pPr>
    </w:p>
    <w:p w:rsidR="005A6382" w:rsidRPr="005A6382" w:rsidRDefault="005A6382" w:rsidP="005A6382">
      <w:pPr>
        <w:spacing w:after="200" w:line="276" w:lineRule="auto"/>
        <w:jc w:val="left"/>
        <w:rPr>
          <w:rFonts w:eastAsia="Calibri" w:cs="Arial"/>
          <w:szCs w:val="22"/>
          <w:lang w:val="en-US" w:eastAsia="en-US"/>
        </w:rPr>
      </w:pPr>
      <w:r w:rsidRPr="005A6382">
        <w:rPr>
          <w:rFonts w:eastAsia="Calibri" w:cs="Arial"/>
          <w:szCs w:val="22"/>
          <w:lang w:val="en-US" w:eastAsia="en-US"/>
        </w:rPr>
        <w:t xml:space="preserve">NB-IOT shall support 3 different modes of operation: </w:t>
      </w:r>
    </w:p>
    <w:p w:rsidR="005A6382" w:rsidRPr="005A6382" w:rsidRDefault="005A6382" w:rsidP="002F3AAF">
      <w:pPr>
        <w:numPr>
          <w:ilvl w:val="0"/>
          <w:numId w:val="13"/>
        </w:numPr>
        <w:spacing w:after="200" w:line="276" w:lineRule="auto"/>
        <w:contextualSpacing/>
        <w:jc w:val="left"/>
        <w:rPr>
          <w:rFonts w:eastAsia="Calibri" w:cs="Arial"/>
          <w:szCs w:val="22"/>
          <w:lang w:val="en-US" w:eastAsia="en-US"/>
        </w:rPr>
      </w:pPr>
      <w:r w:rsidRPr="005A6382">
        <w:rPr>
          <w:rFonts w:eastAsia="Calibri" w:cs="Arial"/>
          <w:szCs w:val="22"/>
          <w:lang w:val="en-US" w:eastAsia="en-US"/>
        </w:rPr>
        <w:t xml:space="preserve">‘Stand-alone operation’ </w:t>
      </w:r>
      <w:proofErr w:type="spellStart"/>
      <w:r w:rsidRPr="005A6382">
        <w:rPr>
          <w:rFonts w:eastAsia="Calibri" w:cs="Arial"/>
          <w:szCs w:val="22"/>
          <w:lang w:val="en-US" w:eastAsia="en-US"/>
        </w:rPr>
        <w:t>utilising</w:t>
      </w:r>
      <w:proofErr w:type="spellEnd"/>
      <w:r w:rsidRPr="005A6382">
        <w:rPr>
          <w:rFonts w:eastAsia="Calibri" w:cs="Arial"/>
          <w:szCs w:val="22"/>
          <w:lang w:val="en-US" w:eastAsia="en-US"/>
        </w:rPr>
        <w:t xml:space="preserve"> for example the spectrum currently being used by GERAN systems as a replacement of one or more GSM carriers;</w:t>
      </w:r>
    </w:p>
    <w:p w:rsidR="005A6382" w:rsidRPr="005A6382" w:rsidRDefault="005A6382" w:rsidP="002F3AAF">
      <w:pPr>
        <w:numPr>
          <w:ilvl w:val="0"/>
          <w:numId w:val="13"/>
        </w:numPr>
        <w:spacing w:after="200" w:line="276" w:lineRule="auto"/>
        <w:contextualSpacing/>
        <w:jc w:val="left"/>
        <w:rPr>
          <w:rFonts w:eastAsia="Calibri" w:cs="Arial"/>
          <w:szCs w:val="22"/>
          <w:lang w:val="en-US" w:eastAsia="en-US"/>
        </w:rPr>
      </w:pPr>
      <w:r w:rsidRPr="005A6382">
        <w:rPr>
          <w:rFonts w:eastAsia="Calibri" w:cs="Arial"/>
          <w:szCs w:val="22"/>
          <w:lang w:val="en-US" w:eastAsia="en-US"/>
        </w:rPr>
        <w:t xml:space="preserve">‘Guard band operation’ </w:t>
      </w:r>
      <w:proofErr w:type="spellStart"/>
      <w:r w:rsidRPr="005A6382">
        <w:rPr>
          <w:rFonts w:eastAsia="Calibri" w:cs="Arial"/>
          <w:szCs w:val="22"/>
          <w:lang w:val="en-US" w:eastAsia="en-US"/>
        </w:rPr>
        <w:t>utilising</w:t>
      </w:r>
      <w:proofErr w:type="spellEnd"/>
      <w:r w:rsidRPr="005A6382">
        <w:rPr>
          <w:rFonts w:eastAsia="Calibri" w:cs="Arial"/>
          <w:szCs w:val="22"/>
          <w:lang w:val="en-US" w:eastAsia="en-US"/>
        </w:rPr>
        <w:t xml:space="preserve"> the unused resource blocks within a LTE carrier’s guard-band;</w:t>
      </w:r>
    </w:p>
    <w:p w:rsidR="005A6382" w:rsidRPr="005A6382" w:rsidRDefault="005A6382" w:rsidP="002F3AAF">
      <w:pPr>
        <w:numPr>
          <w:ilvl w:val="0"/>
          <w:numId w:val="13"/>
        </w:numPr>
        <w:spacing w:after="200" w:line="276" w:lineRule="auto"/>
        <w:contextualSpacing/>
        <w:jc w:val="left"/>
        <w:rPr>
          <w:rFonts w:eastAsia="Calibri" w:cs="Arial"/>
          <w:szCs w:val="22"/>
          <w:lang w:val="en-US" w:eastAsia="en-US"/>
        </w:rPr>
      </w:pPr>
      <w:r w:rsidRPr="005A6382">
        <w:rPr>
          <w:rFonts w:eastAsia="Calibri" w:cs="Arial"/>
          <w:szCs w:val="22"/>
          <w:lang w:val="en-US" w:eastAsia="en-US"/>
        </w:rPr>
        <w:t xml:space="preserve">‘In-band operation’ </w:t>
      </w:r>
      <w:proofErr w:type="spellStart"/>
      <w:r w:rsidRPr="005A6382">
        <w:rPr>
          <w:rFonts w:eastAsia="Calibri" w:cs="Arial"/>
          <w:szCs w:val="22"/>
          <w:lang w:val="en-US" w:eastAsia="en-US"/>
        </w:rPr>
        <w:t>utilising</w:t>
      </w:r>
      <w:proofErr w:type="spellEnd"/>
      <w:r w:rsidRPr="005A6382">
        <w:rPr>
          <w:rFonts w:eastAsia="Calibri" w:cs="Arial"/>
          <w:szCs w:val="22"/>
          <w:lang w:val="en-US" w:eastAsia="en-US"/>
        </w:rPr>
        <w:t xml:space="preserve"> resource blocks within a normal LTE carrie</w:t>
      </w:r>
      <w:r w:rsidR="002F3AAF">
        <w:rPr>
          <w:rFonts w:eastAsia="Calibri" w:cs="Arial"/>
          <w:szCs w:val="22"/>
          <w:lang w:val="en-US" w:eastAsia="en-US"/>
        </w:rPr>
        <w:t>r.</w:t>
      </w:r>
    </w:p>
    <w:p w:rsidR="002F3AAF" w:rsidRDefault="002F3AAF" w:rsidP="005A6382">
      <w:pPr>
        <w:spacing w:after="200" w:line="276" w:lineRule="auto"/>
        <w:jc w:val="left"/>
        <w:rPr>
          <w:rFonts w:eastAsia="Calibri" w:cs="Arial"/>
          <w:szCs w:val="22"/>
          <w:lang w:val="en-US" w:eastAsia="en-US"/>
        </w:rPr>
      </w:pPr>
    </w:p>
    <w:p w:rsidR="005A6382" w:rsidRPr="005A6382" w:rsidRDefault="005A6382" w:rsidP="005A6382">
      <w:pPr>
        <w:spacing w:after="200" w:line="276" w:lineRule="auto"/>
        <w:jc w:val="left"/>
        <w:rPr>
          <w:rFonts w:eastAsia="Calibri" w:cs="Arial"/>
          <w:szCs w:val="22"/>
          <w:lang w:val="en-US" w:eastAsia="en-US"/>
        </w:rPr>
      </w:pPr>
      <w:r w:rsidRPr="005A6382">
        <w:rPr>
          <w:rFonts w:eastAsia="Calibri" w:cs="Arial"/>
          <w:szCs w:val="22"/>
          <w:lang w:val="en-US" w:eastAsia="en-US"/>
        </w:rPr>
        <w:t>NB-</w:t>
      </w:r>
      <w:proofErr w:type="spellStart"/>
      <w:r w:rsidRPr="005A6382">
        <w:rPr>
          <w:rFonts w:eastAsia="Calibri" w:cs="Arial"/>
          <w:szCs w:val="22"/>
          <w:lang w:val="en-US" w:eastAsia="en-US"/>
        </w:rPr>
        <w:t>IoT</w:t>
      </w:r>
      <w:proofErr w:type="spellEnd"/>
      <w:r w:rsidRPr="005A6382">
        <w:rPr>
          <w:rFonts w:eastAsia="Calibri" w:cs="Arial"/>
          <w:szCs w:val="22"/>
          <w:lang w:val="en-US" w:eastAsia="en-US"/>
        </w:rPr>
        <w:t xml:space="preserve"> will support following features:</w:t>
      </w:r>
    </w:p>
    <w:p w:rsidR="005A6382" w:rsidRPr="005A6382" w:rsidRDefault="005A6382" w:rsidP="00BA12B0">
      <w:pPr>
        <w:numPr>
          <w:ilvl w:val="0"/>
          <w:numId w:val="9"/>
        </w:numPr>
        <w:spacing w:after="200" w:line="276" w:lineRule="auto"/>
        <w:contextualSpacing/>
        <w:jc w:val="left"/>
        <w:rPr>
          <w:rFonts w:eastAsia="Calibri" w:cs="Arial"/>
          <w:szCs w:val="22"/>
          <w:lang w:val="en-US" w:eastAsia="en-US"/>
        </w:rPr>
      </w:pPr>
      <w:r w:rsidRPr="005A6382">
        <w:rPr>
          <w:rFonts w:eastAsia="Calibri" w:cs="Arial"/>
          <w:szCs w:val="22"/>
          <w:lang w:val="en-US" w:eastAsia="en-US"/>
        </w:rPr>
        <w:t xml:space="preserve">180 kHz UE RF bandwidth for both downlink and uplink; </w:t>
      </w:r>
    </w:p>
    <w:p w:rsidR="005A6382" w:rsidRDefault="005A6382" w:rsidP="00BA12B0">
      <w:pPr>
        <w:numPr>
          <w:ilvl w:val="0"/>
          <w:numId w:val="9"/>
        </w:numPr>
        <w:spacing w:after="200" w:line="276" w:lineRule="auto"/>
        <w:contextualSpacing/>
        <w:jc w:val="left"/>
        <w:rPr>
          <w:rFonts w:eastAsia="Calibri" w:cs="Arial"/>
          <w:szCs w:val="22"/>
          <w:lang w:val="en-US" w:eastAsia="en-US"/>
        </w:rPr>
      </w:pPr>
      <w:proofErr w:type="gramStart"/>
      <w:r w:rsidRPr="005A6382">
        <w:rPr>
          <w:rFonts w:eastAsia="Calibri" w:cs="Arial"/>
          <w:szCs w:val="22"/>
          <w:lang w:val="en-US" w:eastAsia="en-US"/>
        </w:rPr>
        <w:t>a</w:t>
      </w:r>
      <w:proofErr w:type="gramEnd"/>
      <w:r w:rsidRPr="005A6382">
        <w:rPr>
          <w:rFonts w:eastAsia="Calibri" w:cs="Arial"/>
          <w:szCs w:val="22"/>
          <w:lang w:val="en-US" w:eastAsia="en-US"/>
        </w:rPr>
        <w:t xml:space="preserve"> single </w:t>
      </w:r>
      <w:proofErr w:type="spellStart"/>
      <w:r w:rsidRPr="005A6382">
        <w:rPr>
          <w:rFonts w:eastAsia="Calibri" w:cs="Arial"/>
          <w:szCs w:val="22"/>
          <w:lang w:val="en-US" w:eastAsia="en-US"/>
        </w:rPr>
        <w:t>synchronisation</w:t>
      </w:r>
      <w:proofErr w:type="spellEnd"/>
      <w:r w:rsidRPr="005A6382">
        <w:rPr>
          <w:rFonts w:eastAsia="Calibri" w:cs="Arial"/>
          <w:szCs w:val="22"/>
          <w:lang w:val="en-US" w:eastAsia="en-US"/>
        </w:rPr>
        <w:t xml:space="preserve"> signal design for the different modes of operation, including techniques to handle overlap with legacy LTE signals.</w:t>
      </w:r>
    </w:p>
    <w:p w:rsidR="002F3AAF" w:rsidRPr="005A6382" w:rsidRDefault="002F3AAF" w:rsidP="00BA12B0">
      <w:pPr>
        <w:numPr>
          <w:ilvl w:val="0"/>
          <w:numId w:val="9"/>
        </w:numPr>
        <w:spacing w:after="200" w:line="276" w:lineRule="auto"/>
        <w:contextualSpacing/>
        <w:jc w:val="left"/>
        <w:rPr>
          <w:rFonts w:eastAsia="Calibri" w:cs="Arial"/>
          <w:szCs w:val="22"/>
          <w:lang w:val="en-US" w:eastAsia="en-US"/>
        </w:rPr>
      </w:pPr>
    </w:p>
    <w:p w:rsidR="005A6382" w:rsidRPr="005A6382" w:rsidRDefault="005A6382" w:rsidP="005A6382">
      <w:pPr>
        <w:spacing w:after="200" w:line="276" w:lineRule="auto"/>
        <w:jc w:val="left"/>
        <w:rPr>
          <w:rFonts w:eastAsia="Calibri" w:cs="Arial"/>
          <w:szCs w:val="22"/>
          <w:lang w:val="en-US" w:eastAsia="en-US"/>
        </w:rPr>
      </w:pPr>
      <w:r w:rsidRPr="005A6382">
        <w:rPr>
          <w:rFonts w:eastAsia="Calibri" w:cs="Arial"/>
          <w:szCs w:val="22"/>
          <w:lang w:val="en-US" w:eastAsia="en-US"/>
        </w:rPr>
        <w:t>This will allow to introduce NB-</w:t>
      </w:r>
      <w:proofErr w:type="spellStart"/>
      <w:r w:rsidRPr="005A6382">
        <w:rPr>
          <w:rFonts w:eastAsia="Calibri" w:cs="Arial"/>
          <w:szCs w:val="22"/>
          <w:lang w:val="en-US" w:eastAsia="en-US"/>
        </w:rPr>
        <w:t>IoT</w:t>
      </w:r>
      <w:proofErr w:type="spellEnd"/>
      <w:r w:rsidR="002F3AAF">
        <w:rPr>
          <w:rFonts w:eastAsia="Calibri" w:cs="Arial"/>
          <w:szCs w:val="22"/>
          <w:lang w:val="en-US" w:eastAsia="en-US"/>
        </w:rPr>
        <w:t>,</w:t>
      </w:r>
      <w:r w:rsidRPr="005A6382">
        <w:rPr>
          <w:rFonts w:eastAsia="Calibri" w:cs="Arial"/>
          <w:szCs w:val="22"/>
          <w:lang w:val="en-US" w:eastAsia="en-US"/>
        </w:rPr>
        <w:t xml:space="preserve"> once </w:t>
      </w:r>
      <w:proofErr w:type="spellStart"/>
      <w:r w:rsidRPr="005A6382">
        <w:rPr>
          <w:rFonts w:eastAsia="Calibri" w:cs="Arial"/>
          <w:szCs w:val="22"/>
          <w:lang w:val="en-US" w:eastAsia="en-US"/>
        </w:rPr>
        <w:t>standardised</w:t>
      </w:r>
      <w:proofErr w:type="spellEnd"/>
      <w:r w:rsidRPr="005A6382">
        <w:rPr>
          <w:rFonts w:eastAsia="Calibri" w:cs="Arial"/>
          <w:szCs w:val="22"/>
          <w:lang w:val="en-US" w:eastAsia="en-US"/>
        </w:rPr>
        <w:t xml:space="preserve"> by 3GPP</w:t>
      </w:r>
      <w:r w:rsidR="002F3AAF">
        <w:rPr>
          <w:rFonts w:eastAsia="Calibri" w:cs="Arial"/>
          <w:szCs w:val="22"/>
          <w:lang w:val="en-US" w:eastAsia="en-US"/>
        </w:rPr>
        <w:t>,</w:t>
      </w:r>
      <w:r w:rsidRPr="005A6382">
        <w:rPr>
          <w:rFonts w:eastAsia="Calibri" w:cs="Arial"/>
          <w:szCs w:val="22"/>
          <w:lang w:val="en-US" w:eastAsia="en-US"/>
        </w:rPr>
        <w:t xml:space="preserve"> and </w:t>
      </w:r>
      <w:r w:rsidR="002F3AAF">
        <w:rPr>
          <w:rFonts w:eastAsia="Calibri" w:cs="Arial"/>
          <w:szCs w:val="22"/>
          <w:lang w:val="en-US" w:eastAsia="en-US"/>
        </w:rPr>
        <w:t xml:space="preserve">a </w:t>
      </w:r>
      <w:r w:rsidRPr="005A6382">
        <w:rPr>
          <w:rFonts w:eastAsia="Calibri" w:cs="Arial"/>
          <w:szCs w:val="22"/>
          <w:lang w:val="en-US" w:eastAsia="en-US"/>
        </w:rPr>
        <w:t xml:space="preserve">complete eco-system is ready either in-band or </w:t>
      </w:r>
      <w:r w:rsidR="002F3AAF">
        <w:rPr>
          <w:rFonts w:eastAsia="Calibri" w:cs="Arial"/>
          <w:szCs w:val="22"/>
          <w:lang w:val="en-US" w:eastAsia="en-US"/>
        </w:rPr>
        <w:t xml:space="preserve">in the </w:t>
      </w:r>
      <w:r w:rsidRPr="005A6382">
        <w:rPr>
          <w:rFonts w:eastAsia="Calibri" w:cs="Arial"/>
          <w:szCs w:val="22"/>
          <w:lang w:val="en-US" w:eastAsia="en-US"/>
        </w:rPr>
        <w:t>guard band of LTE</w:t>
      </w:r>
      <w:r w:rsidR="002F3AAF">
        <w:rPr>
          <w:rFonts w:eastAsia="Calibri" w:cs="Arial"/>
          <w:szCs w:val="22"/>
          <w:lang w:val="en-US" w:eastAsia="en-US"/>
        </w:rPr>
        <w:t>,</w:t>
      </w:r>
      <w:r w:rsidRPr="005A6382">
        <w:rPr>
          <w:rFonts w:eastAsia="Calibri" w:cs="Arial"/>
          <w:szCs w:val="22"/>
          <w:lang w:val="en-US" w:eastAsia="en-US"/>
        </w:rPr>
        <w:t xml:space="preserve"> or by re-farming one or more of GSM carriers. Adoption of hybrid approaches for LPWA </w:t>
      </w:r>
      <w:proofErr w:type="spellStart"/>
      <w:r w:rsidRPr="005A6382">
        <w:rPr>
          <w:rFonts w:eastAsia="Calibri" w:cs="Arial"/>
          <w:szCs w:val="22"/>
          <w:lang w:val="en-US" w:eastAsia="en-US"/>
        </w:rPr>
        <w:t>IoT</w:t>
      </w:r>
      <w:proofErr w:type="spellEnd"/>
      <w:r w:rsidRPr="005A6382">
        <w:rPr>
          <w:rFonts w:eastAsia="Calibri" w:cs="Arial"/>
          <w:szCs w:val="22"/>
          <w:lang w:val="en-US" w:eastAsia="en-US"/>
        </w:rPr>
        <w:t xml:space="preserve"> networks including unlicensed </w:t>
      </w:r>
      <w:proofErr w:type="spellStart"/>
      <w:r w:rsidRPr="005A6382">
        <w:rPr>
          <w:rFonts w:eastAsia="Calibri" w:cs="Arial"/>
          <w:szCs w:val="22"/>
          <w:lang w:val="en-US" w:eastAsia="en-US"/>
        </w:rPr>
        <w:t>IoT</w:t>
      </w:r>
      <w:proofErr w:type="spellEnd"/>
      <w:r w:rsidRPr="005A6382">
        <w:rPr>
          <w:rFonts w:eastAsia="Calibri" w:cs="Arial"/>
          <w:szCs w:val="22"/>
          <w:lang w:val="en-US" w:eastAsia="en-US"/>
        </w:rPr>
        <w:t xml:space="preserve"> network and licensed </w:t>
      </w:r>
      <w:proofErr w:type="spellStart"/>
      <w:r w:rsidRPr="005A6382">
        <w:rPr>
          <w:rFonts w:eastAsia="Calibri" w:cs="Arial"/>
          <w:szCs w:val="22"/>
          <w:lang w:val="en-US" w:eastAsia="en-US"/>
        </w:rPr>
        <w:t>IoT</w:t>
      </w:r>
      <w:proofErr w:type="spellEnd"/>
      <w:r w:rsidRPr="005A6382">
        <w:rPr>
          <w:rFonts w:eastAsia="Calibri" w:cs="Arial"/>
          <w:szCs w:val="22"/>
          <w:lang w:val="en-US" w:eastAsia="en-US"/>
        </w:rPr>
        <w:t xml:space="preserve"> (when </w:t>
      </w:r>
      <w:proofErr w:type="spellStart"/>
      <w:r w:rsidRPr="005A6382">
        <w:rPr>
          <w:rFonts w:eastAsia="Calibri" w:cs="Arial"/>
          <w:szCs w:val="22"/>
          <w:lang w:val="en-US" w:eastAsia="en-US"/>
        </w:rPr>
        <w:t>finalised</w:t>
      </w:r>
      <w:proofErr w:type="spellEnd"/>
      <w:r w:rsidRPr="005A6382">
        <w:rPr>
          <w:rFonts w:eastAsia="Calibri" w:cs="Arial"/>
          <w:szCs w:val="22"/>
          <w:lang w:val="en-US" w:eastAsia="en-US"/>
        </w:rPr>
        <w:t xml:space="preserve"> by 3GPP). This is almost similar to existing </w:t>
      </w:r>
      <w:proofErr w:type="spellStart"/>
      <w:r w:rsidRPr="005A6382">
        <w:rPr>
          <w:rFonts w:eastAsia="Calibri" w:cs="Arial"/>
          <w:szCs w:val="22"/>
          <w:lang w:val="en-US" w:eastAsia="en-US"/>
        </w:rPr>
        <w:t>WiFi</w:t>
      </w:r>
      <w:proofErr w:type="spellEnd"/>
      <w:r w:rsidRPr="005A6382">
        <w:rPr>
          <w:rFonts w:eastAsia="Calibri" w:cs="Arial"/>
          <w:szCs w:val="22"/>
          <w:lang w:val="en-US" w:eastAsia="en-US"/>
        </w:rPr>
        <w:t>/LTE networks (unlicensed/licensed).</w:t>
      </w:r>
    </w:p>
    <w:p w:rsidR="005A6382" w:rsidRPr="005A6382" w:rsidRDefault="005A6382" w:rsidP="005A6382">
      <w:pPr>
        <w:spacing w:after="200" w:line="276" w:lineRule="auto"/>
        <w:jc w:val="left"/>
        <w:rPr>
          <w:rFonts w:ascii="Calibri" w:eastAsia="Calibri" w:hAnsi="Calibri"/>
          <w:szCs w:val="22"/>
          <w:lang w:val="en-US" w:eastAsia="en-US"/>
        </w:rPr>
      </w:pPr>
    </w:p>
    <w:p w:rsidR="005A6382" w:rsidRPr="005A6382" w:rsidRDefault="005A6382" w:rsidP="005A6382">
      <w:pPr>
        <w:spacing w:after="200" w:line="276" w:lineRule="auto"/>
        <w:jc w:val="left"/>
        <w:rPr>
          <w:rFonts w:ascii="Calibri" w:eastAsia="Calibri" w:hAnsi="Calibri"/>
          <w:szCs w:val="22"/>
          <w:lang w:val="en-US" w:eastAsia="en-US"/>
        </w:rPr>
      </w:pPr>
      <w:r w:rsidRPr="005A6382">
        <w:rPr>
          <w:rFonts w:ascii="Calibri" w:eastAsia="Calibri" w:hAnsi="Calibri"/>
          <w:noProof/>
          <w:szCs w:val="22"/>
          <w:lang w:val="da-DK" w:eastAsia="da-DK"/>
        </w:rPr>
        <w:drawing>
          <wp:inline distT="0" distB="0" distL="0" distR="0" wp14:anchorId="64E69378" wp14:editId="7CB45C6C">
            <wp:extent cx="3053715" cy="3864610"/>
            <wp:effectExtent l="0" t="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3715" cy="3864610"/>
                    </a:xfrm>
                    <a:prstGeom prst="rect">
                      <a:avLst/>
                    </a:prstGeom>
                    <a:noFill/>
                    <a:ln>
                      <a:noFill/>
                    </a:ln>
                  </pic:spPr>
                </pic:pic>
              </a:graphicData>
            </a:graphic>
          </wp:inline>
        </w:drawing>
      </w:r>
    </w:p>
    <w:p w:rsidR="005A6382" w:rsidRPr="002F3AAF" w:rsidRDefault="005A6382" w:rsidP="005A6382">
      <w:pPr>
        <w:spacing w:after="200" w:line="276" w:lineRule="auto"/>
        <w:jc w:val="left"/>
        <w:rPr>
          <w:rFonts w:ascii="Calibri" w:eastAsia="Calibri" w:hAnsi="Calibri"/>
          <w:szCs w:val="22"/>
          <w:lang w:val="en-US" w:eastAsia="en-US"/>
        </w:rPr>
      </w:pPr>
      <w:r w:rsidRPr="002F3AAF">
        <w:rPr>
          <w:rFonts w:eastAsia="Calibri" w:cs="Arial"/>
          <w:szCs w:val="22"/>
          <w:lang w:eastAsia="en-US"/>
        </w:rPr>
        <w:t xml:space="preserve">The approved Work Item description on NB-IOT is available in </w:t>
      </w:r>
      <w:hyperlink r:id="rId22" w:tgtFrame="_blank" w:history="1">
        <w:r w:rsidRPr="005A6382">
          <w:rPr>
            <w:rFonts w:eastAsia="Calibri" w:cs="Arial"/>
            <w:color w:val="5E85B7"/>
            <w:szCs w:val="22"/>
            <w:lang w:eastAsia="en-US"/>
          </w:rPr>
          <w:t>RP-151621</w:t>
        </w:r>
      </w:hyperlink>
      <w:r w:rsidRPr="005A6382">
        <w:rPr>
          <w:rFonts w:eastAsia="Calibri" w:cs="Arial"/>
          <w:color w:val="444444"/>
          <w:szCs w:val="22"/>
          <w:lang w:eastAsia="en-US"/>
        </w:rPr>
        <w:t xml:space="preserve"> </w:t>
      </w:r>
      <w:r w:rsidRPr="002F3AAF">
        <w:rPr>
          <w:rFonts w:eastAsia="Calibri" w:cs="Arial"/>
          <w:szCs w:val="22"/>
          <w:lang w:eastAsia="en-US"/>
        </w:rPr>
        <w:t>with a long list of supporting 3GPP members.</w:t>
      </w:r>
      <w:r w:rsidR="000256E7" w:rsidRPr="002F3AAF">
        <w:rPr>
          <w:rFonts w:eastAsia="Calibri" w:cs="Arial"/>
          <w:szCs w:val="22"/>
          <w:lang w:eastAsia="en-US"/>
        </w:rPr>
        <w:t xml:space="preserve"> 3GPP TSG RAN4 also conducted compatibility studies and has come to conclusions that NB-</w:t>
      </w:r>
      <w:proofErr w:type="spellStart"/>
      <w:r w:rsidR="000256E7" w:rsidRPr="002F3AAF">
        <w:rPr>
          <w:rFonts w:eastAsia="Calibri" w:cs="Arial"/>
          <w:szCs w:val="22"/>
          <w:lang w:eastAsia="en-US"/>
        </w:rPr>
        <w:t>IoT</w:t>
      </w:r>
      <w:proofErr w:type="spellEnd"/>
      <w:r w:rsidR="000256E7" w:rsidRPr="002F3AAF">
        <w:rPr>
          <w:rFonts w:eastAsia="Calibri" w:cs="Arial"/>
          <w:szCs w:val="22"/>
          <w:lang w:eastAsia="en-US"/>
        </w:rPr>
        <w:t xml:space="preserve"> can co-exist with GSM, UMTS and LTE for standalone</w:t>
      </w:r>
      <w:r w:rsidR="002F3AAF">
        <w:rPr>
          <w:rFonts w:eastAsia="Calibri" w:cs="Arial"/>
          <w:szCs w:val="22"/>
          <w:lang w:eastAsia="en-US"/>
        </w:rPr>
        <w:t xml:space="preserve"> (RAN4 in 02/2016)</w:t>
      </w:r>
      <w:r w:rsidR="000256E7" w:rsidRPr="002F3AAF">
        <w:rPr>
          <w:rFonts w:eastAsia="Calibri" w:cs="Arial"/>
          <w:szCs w:val="22"/>
          <w:lang w:eastAsia="en-US"/>
        </w:rPr>
        <w:t>.</w:t>
      </w:r>
    </w:p>
    <w:p w:rsidR="0065111E" w:rsidRDefault="005A6382" w:rsidP="005A6382">
      <w:pPr>
        <w:spacing w:after="200" w:line="276" w:lineRule="auto"/>
        <w:jc w:val="left"/>
        <w:rPr>
          <w:rFonts w:eastAsia="Calibri" w:cs="Arial"/>
          <w:szCs w:val="22"/>
          <w:lang w:val="en-US" w:eastAsia="en-US"/>
        </w:rPr>
      </w:pPr>
      <w:r w:rsidRPr="005A6382">
        <w:rPr>
          <w:rFonts w:eastAsia="Calibri" w:cs="Arial"/>
          <w:szCs w:val="22"/>
          <w:lang w:val="en-US" w:eastAsia="en-US"/>
        </w:rPr>
        <w:t>It is expected that some contributions to the upcoming CEPT Workshop on M2M will also address LTE MTC / NB-</w:t>
      </w:r>
      <w:proofErr w:type="spellStart"/>
      <w:r w:rsidRPr="005A6382">
        <w:rPr>
          <w:rFonts w:eastAsia="Calibri" w:cs="Arial"/>
          <w:szCs w:val="22"/>
          <w:lang w:val="en-US" w:eastAsia="en-US"/>
        </w:rPr>
        <w:t>IoT</w:t>
      </w:r>
      <w:proofErr w:type="spellEnd"/>
      <w:r w:rsidRPr="005A6382">
        <w:rPr>
          <w:rFonts w:eastAsia="Calibri" w:cs="Arial"/>
          <w:szCs w:val="22"/>
          <w:lang w:val="en-US" w:eastAsia="en-US"/>
        </w:rPr>
        <w:t>.</w:t>
      </w:r>
    </w:p>
    <w:p w:rsidR="0065111E" w:rsidRPr="005A6382" w:rsidRDefault="0065111E" w:rsidP="005A6382">
      <w:pPr>
        <w:spacing w:after="200" w:line="276" w:lineRule="auto"/>
        <w:jc w:val="left"/>
        <w:rPr>
          <w:rFonts w:eastAsia="Calibri" w:cs="Arial"/>
          <w:szCs w:val="22"/>
          <w:lang w:val="en-US" w:eastAsia="en-US"/>
        </w:rPr>
      </w:pPr>
      <w:r>
        <w:rPr>
          <w:rFonts w:eastAsia="Calibri" w:cs="Arial"/>
          <w:szCs w:val="22"/>
          <w:lang w:val="en-US" w:eastAsia="en-US"/>
        </w:rPr>
        <w:t>(</w:t>
      </w:r>
      <w:proofErr w:type="gramStart"/>
      <w:r>
        <w:rPr>
          <w:rFonts w:eastAsia="Calibri" w:cs="Arial"/>
          <w:szCs w:val="22"/>
          <w:lang w:val="en-US" w:eastAsia="en-US"/>
        </w:rPr>
        <w:t>should</w:t>
      </w:r>
      <w:proofErr w:type="gramEnd"/>
      <w:r>
        <w:rPr>
          <w:rFonts w:eastAsia="Calibri" w:cs="Arial"/>
          <w:szCs w:val="22"/>
          <w:lang w:val="en-US" w:eastAsia="en-US"/>
        </w:rPr>
        <w:t xml:space="preserve"> be considered by ECC PT1, FM54, SRD/MG)</w:t>
      </w:r>
    </w:p>
    <w:p w:rsidR="006C794F" w:rsidRPr="000526E6" w:rsidRDefault="006C794F" w:rsidP="000526E6"/>
    <w:p w:rsidR="005A6382" w:rsidRDefault="005A6382" w:rsidP="002F3AAF">
      <w:pPr>
        <w:pStyle w:val="ListParagraph"/>
        <w:numPr>
          <w:ilvl w:val="0"/>
          <w:numId w:val="3"/>
        </w:numPr>
        <w:spacing w:after="0"/>
        <w:rPr>
          <w:b/>
          <w:sz w:val="28"/>
          <w:szCs w:val="28"/>
        </w:rPr>
      </w:pPr>
      <w:r w:rsidRPr="005A6382">
        <w:rPr>
          <w:b/>
          <w:sz w:val="28"/>
          <w:szCs w:val="28"/>
        </w:rPr>
        <w:t xml:space="preserve">FCC </w:t>
      </w:r>
      <w:r w:rsidR="002F3AAF">
        <w:rPr>
          <w:b/>
          <w:sz w:val="28"/>
          <w:szCs w:val="28"/>
        </w:rPr>
        <w:t>on Hearing Aid Compatibility for all wireless voice technologies</w:t>
      </w:r>
    </w:p>
    <w:p w:rsidR="002F3AAF" w:rsidRPr="002F3AAF" w:rsidRDefault="002F3AAF" w:rsidP="002F3AAF">
      <w:pPr>
        <w:spacing w:after="0"/>
        <w:rPr>
          <w:b/>
          <w:sz w:val="28"/>
          <w:szCs w:val="28"/>
        </w:rPr>
      </w:pPr>
    </w:p>
    <w:p w:rsidR="005A6382" w:rsidRPr="002F3AAF" w:rsidRDefault="005A6382" w:rsidP="002F3AAF">
      <w:pPr>
        <w:spacing w:after="200" w:line="276" w:lineRule="auto"/>
        <w:jc w:val="left"/>
        <w:rPr>
          <w:rFonts w:eastAsia="Calibri" w:cs="Arial"/>
          <w:szCs w:val="22"/>
          <w:lang w:val="en-US" w:eastAsia="en-US"/>
        </w:rPr>
      </w:pPr>
      <w:r w:rsidRPr="002F3AAF">
        <w:rPr>
          <w:rFonts w:eastAsia="Calibri" w:cs="Arial"/>
          <w:szCs w:val="22"/>
          <w:lang w:val="en-US" w:eastAsia="en-US"/>
        </w:rPr>
        <w:t xml:space="preserve">On November </w:t>
      </w:r>
      <w:r w:rsidR="0065111E">
        <w:rPr>
          <w:rFonts w:eastAsia="Calibri" w:cs="Arial"/>
          <w:szCs w:val="22"/>
          <w:lang w:val="en-US" w:eastAsia="en-US"/>
        </w:rPr>
        <w:t>19</w:t>
      </w:r>
      <w:r w:rsidRPr="002F3AAF">
        <w:rPr>
          <w:rFonts w:eastAsia="Calibri" w:cs="Arial"/>
          <w:szCs w:val="22"/>
          <w:lang w:val="en-US" w:eastAsia="en-US"/>
        </w:rPr>
        <w:t>, 2015, the FCC released a Report and Order and Notice of Proposed Rulemaking expanding the FCC’s rules requiring wireless phones to be hearing aid compatible.  The item has two parts:</w:t>
      </w:r>
    </w:p>
    <w:p w:rsidR="005A6382" w:rsidRPr="002F3AAF" w:rsidRDefault="005A6382" w:rsidP="00BA12B0">
      <w:pPr>
        <w:numPr>
          <w:ilvl w:val="0"/>
          <w:numId w:val="10"/>
        </w:numPr>
        <w:spacing w:before="100" w:beforeAutospacing="1" w:after="100" w:afterAutospacing="1"/>
        <w:jc w:val="left"/>
        <w:textAlignment w:val="baseline"/>
        <w:rPr>
          <w:rFonts w:cs="Arial"/>
          <w:szCs w:val="22"/>
          <w:lang w:val="en-US"/>
        </w:rPr>
      </w:pPr>
      <w:r w:rsidRPr="002F3AAF">
        <w:rPr>
          <w:rFonts w:cs="Arial"/>
          <w:szCs w:val="22"/>
          <w:lang w:val="en-US"/>
        </w:rPr>
        <w:t xml:space="preserve">The </w:t>
      </w:r>
      <w:r w:rsidRPr="002F3AAF">
        <w:rPr>
          <w:rFonts w:cs="Arial"/>
          <w:i/>
          <w:iCs/>
          <w:szCs w:val="22"/>
          <w:lang w:val="en-US"/>
        </w:rPr>
        <w:t>Report and Order</w:t>
      </w:r>
      <w:r w:rsidRPr="002F3AAF">
        <w:rPr>
          <w:rFonts w:cs="Arial"/>
          <w:szCs w:val="22"/>
          <w:lang w:val="en-US"/>
        </w:rPr>
        <w:t xml:space="preserve"> </w:t>
      </w:r>
      <w:r w:rsidRPr="0065111E">
        <w:rPr>
          <w:rFonts w:cs="Arial"/>
          <w:szCs w:val="22"/>
          <w:lang w:val="en-US"/>
        </w:rPr>
        <w:t>expands the scope of the hearing aid compatibility rules to cover phones used with the wireless technologies of tomorrow, including IP-based communications services such as Wi-Fi Calling and Voice-over-LTE. </w:t>
      </w:r>
    </w:p>
    <w:p w:rsidR="005A6382" w:rsidRPr="002F3AAF" w:rsidRDefault="005A6382" w:rsidP="00BA12B0">
      <w:pPr>
        <w:numPr>
          <w:ilvl w:val="0"/>
          <w:numId w:val="10"/>
        </w:numPr>
        <w:spacing w:before="100" w:beforeAutospacing="1" w:after="100" w:afterAutospacing="1"/>
        <w:jc w:val="left"/>
        <w:textAlignment w:val="baseline"/>
        <w:rPr>
          <w:rFonts w:cs="Arial"/>
          <w:szCs w:val="22"/>
          <w:lang w:val="en-US"/>
        </w:rPr>
      </w:pPr>
      <w:r w:rsidRPr="002F3AAF">
        <w:rPr>
          <w:rFonts w:cs="Arial"/>
          <w:szCs w:val="22"/>
          <w:lang w:val="en-US"/>
        </w:rPr>
        <w:t xml:space="preserve">The </w:t>
      </w:r>
      <w:r w:rsidRPr="002F3AAF">
        <w:rPr>
          <w:rFonts w:cs="Arial"/>
          <w:i/>
          <w:iCs/>
          <w:szCs w:val="22"/>
          <w:lang w:val="en-US"/>
        </w:rPr>
        <w:t xml:space="preserve">Notice of Proposed Rulemaking </w:t>
      </w:r>
      <w:r w:rsidRPr="002F3AAF">
        <w:rPr>
          <w:rFonts w:cs="Arial"/>
          <w:szCs w:val="22"/>
          <w:lang w:val="en-US"/>
        </w:rPr>
        <w:t>seeks comment on a consensus plan by industry and consumer stakeholders that would require a greater number of wireless handsets to be hearing aid compatible over time, with an ultimate goal of 100 percent compatibility in 8 years.</w:t>
      </w:r>
      <w:r w:rsidR="002F3AAF" w:rsidRPr="002F3AAF">
        <w:rPr>
          <w:rFonts w:cs="Arial"/>
          <w:szCs w:val="22"/>
          <w:lang w:val="en-US"/>
        </w:rPr>
        <w:t xml:space="preserve"> </w:t>
      </w:r>
      <w:r w:rsidRPr="002F3AAF">
        <w:rPr>
          <w:rFonts w:cs="Arial"/>
          <w:szCs w:val="22"/>
          <w:lang w:val="en-US"/>
        </w:rPr>
        <w:t>This would replace the current hearing aid compatibility rules, which require service providers and handset manufacturers to ensure that a specified fraction of their offerings are hearing aid compliant. </w:t>
      </w:r>
    </w:p>
    <w:p w:rsidR="005A6382" w:rsidRPr="002F3AAF" w:rsidRDefault="002F3AAF" w:rsidP="002F3AAF">
      <w:pPr>
        <w:spacing w:after="200" w:line="276" w:lineRule="auto"/>
        <w:jc w:val="left"/>
        <w:rPr>
          <w:rFonts w:eastAsia="Calibri" w:cs="Arial"/>
          <w:szCs w:val="22"/>
          <w:lang w:val="en-US" w:eastAsia="en-US"/>
        </w:rPr>
      </w:pPr>
      <w:r w:rsidRPr="002F3AAF">
        <w:rPr>
          <w:rFonts w:eastAsia="Calibri" w:cs="Arial"/>
          <w:szCs w:val="22"/>
          <w:lang w:val="en-US" w:eastAsia="en-US"/>
        </w:rPr>
        <w:lastRenderedPageBreak/>
        <w:t>L</w:t>
      </w:r>
      <w:r w:rsidR="005A6382" w:rsidRPr="002F3AAF">
        <w:rPr>
          <w:rFonts w:eastAsia="Calibri" w:cs="Arial"/>
          <w:szCs w:val="22"/>
          <w:lang w:val="en-US" w:eastAsia="en-US"/>
        </w:rPr>
        <w:t>inks:</w:t>
      </w:r>
    </w:p>
    <w:p w:rsidR="005A6382" w:rsidRPr="005A6382" w:rsidRDefault="00643CD3" w:rsidP="005A6382">
      <w:pPr>
        <w:spacing w:after="0"/>
        <w:jc w:val="left"/>
        <w:rPr>
          <w:rFonts w:ascii="Calibri" w:eastAsia="Calibri" w:hAnsi="Calibri"/>
          <w:szCs w:val="22"/>
          <w:lang w:val="en-US"/>
        </w:rPr>
      </w:pPr>
      <w:hyperlink r:id="rId23" w:tgtFrame="_blank" w:history="1">
        <w:r w:rsidR="005A6382" w:rsidRPr="005A6382">
          <w:rPr>
            <w:rFonts w:ascii="Calibri" w:eastAsia="Calibri" w:hAnsi="Calibri"/>
            <w:color w:val="0563C1"/>
            <w:szCs w:val="22"/>
            <w:u w:val="single"/>
            <w:lang w:val="en-US"/>
          </w:rPr>
          <w:t>https://apps.fcc.gov/edocs_public/attachmatch/DOC-336415A1.docx</w:t>
        </w:r>
      </w:hyperlink>
    </w:p>
    <w:p w:rsidR="005A6382" w:rsidRPr="005A6382" w:rsidRDefault="00643CD3" w:rsidP="005A6382">
      <w:pPr>
        <w:spacing w:after="240"/>
        <w:jc w:val="left"/>
        <w:rPr>
          <w:rFonts w:ascii="Calibri" w:eastAsia="Calibri" w:hAnsi="Calibri"/>
          <w:szCs w:val="22"/>
          <w:lang w:val="en-US"/>
        </w:rPr>
      </w:pPr>
      <w:hyperlink r:id="rId24" w:history="1">
        <w:r w:rsidR="005A6382" w:rsidRPr="005A6382">
          <w:rPr>
            <w:rFonts w:ascii="Calibri" w:eastAsia="Calibri" w:hAnsi="Calibri"/>
            <w:color w:val="0563C1"/>
            <w:szCs w:val="22"/>
            <w:u w:val="single"/>
            <w:lang w:val="en-US"/>
          </w:rPr>
          <w:t>https://apps.fcc.gov/edocs_public/attachmatch/DOC-336415A1.pdf</w:t>
        </w:r>
      </w:hyperlink>
    </w:p>
    <w:p w:rsidR="005A6382" w:rsidRPr="005A6382" w:rsidRDefault="005A6382" w:rsidP="005A6382">
      <w:pPr>
        <w:spacing w:after="0"/>
        <w:jc w:val="left"/>
        <w:rPr>
          <w:rFonts w:ascii="Calibri" w:eastAsia="Calibri" w:hAnsi="Calibri"/>
          <w:szCs w:val="22"/>
          <w:lang w:val="en-US"/>
        </w:rPr>
      </w:pPr>
      <w:r w:rsidRPr="005A6382">
        <w:rPr>
          <w:rFonts w:ascii="Calibri" w:eastAsia="Calibri" w:hAnsi="Calibri"/>
          <w:szCs w:val="22"/>
          <w:lang w:val="en-US"/>
        </w:rPr>
        <w:t xml:space="preserve">Chairman Wheeler statement:  </w:t>
      </w:r>
      <w:r w:rsidRPr="005A6382">
        <w:rPr>
          <w:rFonts w:ascii="Calibri" w:eastAsia="Calibri" w:hAnsi="Calibri"/>
          <w:szCs w:val="22"/>
          <w:lang w:val="en-US"/>
        </w:rPr>
        <w:br/>
        <w:t xml:space="preserve">Word: </w:t>
      </w:r>
      <w:hyperlink r:id="rId25" w:tgtFrame="_blank" w:history="1">
        <w:r w:rsidRPr="005A6382">
          <w:rPr>
            <w:rFonts w:ascii="Calibri" w:eastAsia="Calibri" w:hAnsi="Calibri"/>
            <w:color w:val="0563C1"/>
            <w:szCs w:val="22"/>
            <w:u w:val="single"/>
            <w:lang w:val="en-US"/>
          </w:rPr>
          <w:t>https://apps.fcc.gov/edocs_public/attachmatch/DOC-336415A2.docx</w:t>
        </w:r>
      </w:hyperlink>
    </w:p>
    <w:p w:rsidR="005A6382" w:rsidRPr="005A6382" w:rsidRDefault="005A6382" w:rsidP="005A6382">
      <w:pPr>
        <w:spacing w:after="240"/>
        <w:jc w:val="left"/>
        <w:rPr>
          <w:rFonts w:ascii="Calibri" w:eastAsia="Calibri" w:hAnsi="Calibri"/>
          <w:szCs w:val="22"/>
          <w:lang w:val="da-DK"/>
        </w:rPr>
      </w:pPr>
      <w:r w:rsidRPr="005A6382">
        <w:rPr>
          <w:rFonts w:ascii="Calibri" w:eastAsia="Calibri" w:hAnsi="Calibri"/>
          <w:szCs w:val="22"/>
          <w:lang w:val="da-DK"/>
        </w:rPr>
        <w:t xml:space="preserve">PDF: </w:t>
      </w:r>
      <w:r w:rsidR="00643CD3">
        <w:fldChar w:fldCharType="begin"/>
      </w:r>
      <w:r w:rsidR="00643CD3" w:rsidRPr="00D74C53">
        <w:rPr>
          <w:lang w:val="da-DK"/>
        </w:rPr>
        <w:instrText xml:space="preserve"> HYPERLINK "https://apps.fcc.gov/edocs_public/attachmatch/DOC-336415A2.pdf" \t "_blank" </w:instrText>
      </w:r>
      <w:r w:rsidR="00643CD3">
        <w:fldChar w:fldCharType="separate"/>
      </w:r>
      <w:r w:rsidRPr="005A6382">
        <w:rPr>
          <w:rFonts w:ascii="Calibri" w:eastAsia="Calibri" w:hAnsi="Calibri"/>
          <w:color w:val="0563C1"/>
          <w:szCs w:val="22"/>
          <w:u w:val="single"/>
          <w:lang w:val="da-DK"/>
        </w:rPr>
        <w:t>https://apps.fcc.gov/edocs_public/attachmatch/DOC-336415A2.pdf</w:t>
      </w:r>
      <w:r w:rsidR="00643CD3">
        <w:rPr>
          <w:rFonts w:ascii="Calibri" w:eastAsia="Calibri" w:hAnsi="Calibri"/>
          <w:color w:val="0563C1"/>
          <w:szCs w:val="22"/>
          <w:u w:val="single"/>
          <w:lang w:val="da-DK"/>
        </w:rPr>
        <w:fldChar w:fldCharType="end"/>
      </w:r>
    </w:p>
    <w:p w:rsidR="005A6382" w:rsidRPr="005A6382" w:rsidRDefault="005A6382" w:rsidP="005A6382">
      <w:pPr>
        <w:spacing w:after="0"/>
        <w:jc w:val="left"/>
        <w:rPr>
          <w:rFonts w:ascii="Calibri" w:eastAsia="Calibri" w:hAnsi="Calibri"/>
          <w:szCs w:val="22"/>
          <w:lang w:val="en-US"/>
        </w:rPr>
      </w:pPr>
      <w:r w:rsidRPr="005A6382">
        <w:rPr>
          <w:rFonts w:ascii="Calibri" w:eastAsia="Calibri" w:hAnsi="Calibri"/>
          <w:szCs w:val="22"/>
          <w:lang w:val="en-US"/>
        </w:rPr>
        <w:t xml:space="preserve">Commissioners’ statements:  </w:t>
      </w:r>
      <w:r w:rsidRPr="005A6382">
        <w:rPr>
          <w:rFonts w:ascii="Calibri" w:eastAsia="Calibri" w:hAnsi="Calibri"/>
          <w:szCs w:val="22"/>
          <w:lang w:val="en-US"/>
        </w:rPr>
        <w:br/>
      </w:r>
      <w:hyperlink r:id="rId26" w:tgtFrame="_blank" w:history="1">
        <w:r w:rsidRPr="005A6382">
          <w:rPr>
            <w:rFonts w:ascii="Calibri" w:eastAsia="Calibri" w:hAnsi="Calibri"/>
            <w:color w:val="0563C1"/>
            <w:szCs w:val="22"/>
            <w:u w:val="single"/>
            <w:lang w:val="en-US"/>
          </w:rPr>
          <w:t>https://apps.fcc.gov/edocs_public/attachmatch/DOC-336415A3.docx</w:t>
        </w:r>
      </w:hyperlink>
      <w:r w:rsidRPr="005A6382">
        <w:rPr>
          <w:rFonts w:ascii="Calibri" w:eastAsia="Calibri" w:hAnsi="Calibri"/>
          <w:szCs w:val="22"/>
          <w:lang w:val="en-US"/>
        </w:rPr>
        <w:br/>
      </w:r>
      <w:hyperlink r:id="rId27" w:tgtFrame="_blank" w:history="1">
        <w:r w:rsidRPr="005A6382">
          <w:rPr>
            <w:rFonts w:ascii="Calibri" w:eastAsia="Calibri" w:hAnsi="Calibri"/>
            <w:color w:val="0563C1"/>
            <w:szCs w:val="22"/>
            <w:u w:val="single"/>
            <w:lang w:val="en-US"/>
          </w:rPr>
          <w:t>https://apps.fcc.gov/edocs_public/attachmatch/DOC-336415A4.docx</w:t>
        </w:r>
      </w:hyperlink>
      <w:r w:rsidRPr="005A6382">
        <w:rPr>
          <w:rFonts w:ascii="Calibri" w:eastAsia="Calibri" w:hAnsi="Calibri"/>
          <w:szCs w:val="22"/>
          <w:lang w:val="en-US"/>
        </w:rPr>
        <w:br/>
      </w:r>
      <w:hyperlink r:id="rId28" w:tgtFrame="_blank" w:history="1">
        <w:r w:rsidRPr="005A6382">
          <w:rPr>
            <w:rFonts w:ascii="Calibri" w:eastAsia="Calibri" w:hAnsi="Calibri"/>
            <w:color w:val="0563C1"/>
            <w:szCs w:val="22"/>
            <w:u w:val="single"/>
            <w:lang w:val="en-US"/>
          </w:rPr>
          <w:t>https://apps.fcc.gov/edocs_public/attachmatch/DOC-336415A5.docx</w:t>
        </w:r>
      </w:hyperlink>
      <w:r w:rsidRPr="005A6382">
        <w:rPr>
          <w:rFonts w:ascii="Calibri" w:eastAsia="Calibri" w:hAnsi="Calibri"/>
          <w:szCs w:val="22"/>
          <w:lang w:val="en-US"/>
        </w:rPr>
        <w:br/>
      </w:r>
      <w:hyperlink r:id="rId29" w:tgtFrame="_blank" w:history="1">
        <w:r w:rsidRPr="005A6382">
          <w:rPr>
            <w:rFonts w:ascii="Calibri" w:eastAsia="Calibri" w:hAnsi="Calibri"/>
            <w:color w:val="0563C1"/>
            <w:szCs w:val="22"/>
            <w:u w:val="single"/>
            <w:lang w:val="en-US"/>
          </w:rPr>
          <w:t>https://apps.fcc.gov/edocs_public/attachmatch/DOC-336415A6.docx</w:t>
        </w:r>
      </w:hyperlink>
    </w:p>
    <w:p w:rsidR="005A6382" w:rsidRPr="005A6382" w:rsidRDefault="005A6382" w:rsidP="005A6382">
      <w:pPr>
        <w:spacing w:after="0"/>
        <w:jc w:val="left"/>
        <w:rPr>
          <w:rFonts w:ascii="Calibri" w:eastAsia="Calibri" w:hAnsi="Calibri"/>
          <w:szCs w:val="22"/>
          <w:lang w:val="en-US"/>
        </w:rPr>
      </w:pPr>
      <w:r w:rsidRPr="005A6382">
        <w:rPr>
          <w:rFonts w:ascii="Calibri" w:eastAsia="Calibri" w:hAnsi="Calibri"/>
          <w:szCs w:val="22"/>
          <w:lang w:val="en-US"/>
        </w:rPr>
        <w:br/>
      </w:r>
      <w:hyperlink r:id="rId30" w:history="1">
        <w:r w:rsidRPr="005A6382">
          <w:rPr>
            <w:rFonts w:ascii="Calibri" w:eastAsia="Calibri" w:hAnsi="Calibri"/>
            <w:color w:val="0563C1"/>
            <w:szCs w:val="22"/>
            <w:u w:val="single"/>
            <w:lang w:val="en-US"/>
          </w:rPr>
          <w:t>https://apps.fcc.gov/edocs_public/attachmatch/DOC-336415A3.pdf</w:t>
        </w:r>
      </w:hyperlink>
      <w:r w:rsidRPr="005A6382">
        <w:rPr>
          <w:rFonts w:ascii="Calibri" w:eastAsia="Calibri" w:hAnsi="Calibri"/>
          <w:szCs w:val="22"/>
          <w:lang w:val="en-US"/>
        </w:rPr>
        <w:br/>
      </w:r>
      <w:hyperlink r:id="rId31" w:tgtFrame="_blank" w:history="1">
        <w:r w:rsidRPr="005A6382">
          <w:rPr>
            <w:rFonts w:ascii="Calibri" w:eastAsia="Calibri" w:hAnsi="Calibri"/>
            <w:color w:val="0563C1"/>
            <w:szCs w:val="22"/>
            <w:u w:val="single"/>
            <w:lang w:val="en-US"/>
          </w:rPr>
          <w:t>https://apps.fcc.gov/edocs_public/attachmatch/DOC-336415A4.pdf</w:t>
        </w:r>
      </w:hyperlink>
      <w:r w:rsidRPr="005A6382">
        <w:rPr>
          <w:rFonts w:ascii="Calibri" w:eastAsia="Calibri" w:hAnsi="Calibri"/>
          <w:szCs w:val="22"/>
          <w:lang w:val="en-US"/>
        </w:rPr>
        <w:br/>
      </w:r>
      <w:hyperlink r:id="rId32" w:tgtFrame="_blank" w:history="1">
        <w:r w:rsidRPr="005A6382">
          <w:rPr>
            <w:rFonts w:ascii="Calibri" w:eastAsia="Calibri" w:hAnsi="Calibri"/>
            <w:color w:val="0563C1"/>
            <w:szCs w:val="22"/>
            <w:u w:val="single"/>
            <w:lang w:val="en-US"/>
          </w:rPr>
          <w:t>https://apps.fcc.gov/edocs_public/attachmatch/DOC-336415A5.pdf</w:t>
        </w:r>
      </w:hyperlink>
      <w:r w:rsidRPr="005A6382">
        <w:rPr>
          <w:rFonts w:ascii="Calibri" w:eastAsia="Calibri" w:hAnsi="Calibri"/>
          <w:szCs w:val="22"/>
          <w:lang w:val="en-US"/>
        </w:rPr>
        <w:br/>
      </w:r>
      <w:hyperlink r:id="rId33" w:tgtFrame="_blank" w:history="1">
        <w:r w:rsidRPr="005A6382">
          <w:rPr>
            <w:rFonts w:ascii="Calibri" w:eastAsia="Calibri" w:hAnsi="Calibri"/>
            <w:color w:val="0563C1"/>
            <w:szCs w:val="22"/>
            <w:u w:val="single"/>
            <w:lang w:val="en-US"/>
          </w:rPr>
          <w:t>https://apps.fcc.gov/edocs_public/attachmatch/DOC-336415A6.pdf</w:t>
        </w:r>
      </w:hyperlink>
    </w:p>
    <w:p w:rsidR="005A6382" w:rsidRDefault="005A6382" w:rsidP="006F6EC3"/>
    <w:p w:rsidR="005A6382" w:rsidRDefault="0065111E" w:rsidP="006F6EC3">
      <w:r>
        <w:t>(</w:t>
      </w:r>
      <w:proofErr w:type="gramStart"/>
      <w:r>
        <w:t>should</w:t>
      </w:r>
      <w:proofErr w:type="gramEnd"/>
      <w:r>
        <w:t xml:space="preserve"> be considered by SRD/MG when discussing hearing aids/ALDs, also with regard to global harmonisation aspects)</w:t>
      </w:r>
    </w:p>
    <w:p w:rsidR="0065111E" w:rsidRDefault="0065111E" w:rsidP="006F6EC3"/>
    <w:p w:rsidR="0065111E" w:rsidRPr="0065111E" w:rsidRDefault="0065111E" w:rsidP="0065111E">
      <w:pPr>
        <w:pStyle w:val="ListParagraph"/>
        <w:numPr>
          <w:ilvl w:val="0"/>
          <w:numId w:val="3"/>
        </w:numPr>
        <w:spacing w:after="0"/>
        <w:rPr>
          <w:b/>
          <w:sz w:val="28"/>
          <w:szCs w:val="28"/>
        </w:rPr>
      </w:pPr>
      <w:r w:rsidRPr="0065111E">
        <w:rPr>
          <w:b/>
          <w:sz w:val="28"/>
          <w:szCs w:val="28"/>
        </w:rPr>
        <w:t xml:space="preserve">Update on FCC – </w:t>
      </w:r>
      <w:r>
        <w:rPr>
          <w:b/>
          <w:sz w:val="28"/>
          <w:szCs w:val="28"/>
        </w:rPr>
        <w:t>W</w:t>
      </w:r>
      <w:r w:rsidRPr="0065111E">
        <w:rPr>
          <w:b/>
          <w:sz w:val="28"/>
          <w:szCs w:val="28"/>
        </w:rPr>
        <w:t>hite Space Use</w:t>
      </w:r>
      <w:r>
        <w:rPr>
          <w:b/>
          <w:sz w:val="28"/>
          <w:szCs w:val="28"/>
        </w:rPr>
        <w:t xml:space="preserve"> and Incentive Auctions</w:t>
      </w:r>
      <w:r w:rsidR="009777C1">
        <w:rPr>
          <w:b/>
          <w:sz w:val="28"/>
          <w:szCs w:val="28"/>
        </w:rPr>
        <w:t xml:space="preserve"> – Modification of Part 15 rules</w:t>
      </w:r>
    </w:p>
    <w:p w:rsidR="0065111E" w:rsidRDefault="0065111E" w:rsidP="00107369">
      <w:pPr>
        <w:spacing w:after="0"/>
        <w:jc w:val="left"/>
        <w:rPr>
          <w:rFonts w:ascii="Times New Roman" w:hAnsi="Times New Roman"/>
          <w:sz w:val="24"/>
          <w:szCs w:val="22"/>
          <w:lang w:val="en-US" w:eastAsia="fr-FR"/>
        </w:rPr>
      </w:pPr>
    </w:p>
    <w:p w:rsidR="00107369" w:rsidRPr="00EA6488" w:rsidRDefault="00107369" w:rsidP="00107369">
      <w:pPr>
        <w:spacing w:after="0"/>
        <w:jc w:val="left"/>
        <w:rPr>
          <w:rFonts w:cs="Arial"/>
          <w:szCs w:val="22"/>
          <w:lang w:val="en-US" w:eastAsia="fr-FR"/>
        </w:rPr>
      </w:pPr>
      <w:r w:rsidRPr="00EA6488">
        <w:rPr>
          <w:rFonts w:cs="Arial"/>
          <w:szCs w:val="22"/>
          <w:lang w:val="en-US" w:eastAsia="fr-FR"/>
        </w:rPr>
        <w:t>The last ECO bulletin presented at the 40</w:t>
      </w:r>
      <w:r w:rsidRPr="00EA6488">
        <w:rPr>
          <w:rFonts w:cs="Arial"/>
          <w:szCs w:val="22"/>
          <w:vertAlign w:val="superscript"/>
          <w:lang w:val="en-US" w:eastAsia="fr-FR"/>
        </w:rPr>
        <w:t>th</w:t>
      </w:r>
      <w:r w:rsidRPr="00EA6488">
        <w:rPr>
          <w:rFonts w:cs="Arial"/>
          <w:szCs w:val="22"/>
          <w:lang w:val="en-US" w:eastAsia="fr-FR"/>
        </w:rPr>
        <w:t xml:space="preserve"> ECC Meeting (30 June- 3 July 2015) in document </w:t>
      </w:r>
      <w:hyperlink r:id="rId34" w:history="1">
        <w:proofErr w:type="gramStart"/>
        <w:r w:rsidRPr="00EA6488">
          <w:rPr>
            <w:rFonts w:cs="Arial"/>
            <w:color w:val="0000FF"/>
            <w:szCs w:val="22"/>
            <w:u w:val="single"/>
            <w:lang w:val="en-US" w:eastAsia="fr-FR"/>
          </w:rPr>
          <w:t>ECC(</w:t>
        </w:r>
        <w:proofErr w:type="gramEnd"/>
        <w:r w:rsidRPr="00EA6488">
          <w:rPr>
            <w:rFonts w:cs="Arial"/>
            <w:color w:val="0000FF"/>
            <w:szCs w:val="22"/>
            <w:u w:val="single"/>
            <w:lang w:val="en-US" w:eastAsia="fr-FR"/>
          </w:rPr>
          <w:t>15)052R1</w:t>
        </w:r>
      </w:hyperlink>
      <w:r w:rsidR="0065111E" w:rsidRPr="00EA6488">
        <w:rPr>
          <w:rFonts w:cs="Arial"/>
          <w:color w:val="0000FF"/>
          <w:szCs w:val="22"/>
          <w:u w:val="single"/>
          <w:lang w:val="en-US" w:eastAsia="fr-FR"/>
        </w:rPr>
        <w:t xml:space="preserve"> </w:t>
      </w:r>
      <w:r w:rsidR="0065111E" w:rsidRPr="00EA6488">
        <w:rPr>
          <w:rFonts w:cs="Arial"/>
          <w:szCs w:val="22"/>
          <w:lang w:val="en-US" w:eastAsia="fr-FR"/>
        </w:rPr>
        <w:t>included information on the FCC White Space Use rulings. Later on, t</w:t>
      </w:r>
      <w:r w:rsidRPr="00EA6488">
        <w:rPr>
          <w:rFonts w:cs="Arial"/>
          <w:szCs w:val="22"/>
          <w:lang w:val="en-US" w:eastAsia="fr-FR"/>
        </w:rPr>
        <w:t>he USA has updated with FCC 15-99 on 11 August 2015 in a Report and Order:</w:t>
      </w:r>
    </w:p>
    <w:p w:rsidR="00107369" w:rsidRDefault="00107369" w:rsidP="00107369">
      <w:pPr>
        <w:spacing w:after="0"/>
        <w:jc w:val="left"/>
        <w:rPr>
          <w:rFonts w:cs="Arial"/>
          <w:szCs w:val="22"/>
          <w:lang w:val="en-US" w:eastAsia="fr-FR"/>
        </w:rPr>
      </w:pPr>
      <w:r w:rsidRPr="00EA6488">
        <w:rPr>
          <w:rFonts w:cs="Arial"/>
          <w:szCs w:val="22"/>
          <w:lang w:val="en-US" w:eastAsia="fr-FR"/>
        </w:rPr>
        <w:t xml:space="preserve">Amendment of Part 15 of the Commission’s Rules for </w:t>
      </w:r>
      <w:r w:rsidRPr="00EA6488">
        <w:rPr>
          <w:rFonts w:cs="Arial"/>
          <w:b/>
          <w:szCs w:val="22"/>
          <w:lang w:val="en-US" w:eastAsia="fr-FR"/>
        </w:rPr>
        <w:t>Unlicensed Operations</w:t>
      </w:r>
      <w:r w:rsidRPr="00EA6488">
        <w:rPr>
          <w:rFonts w:cs="Arial"/>
          <w:szCs w:val="22"/>
          <w:lang w:val="en-US" w:eastAsia="fr-FR"/>
        </w:rPr>
        <w:t xml:space="preserve"> in the Television Bands, Repurposed 600 MHz Band, 600 MHz Guard Bands and Duplex Gap, and Channel 37, and Amendment of Part 74 of the Commission’s Rules for </w:t>
      </w:r>
      <w:r w:rsidRPr="00EA6488">
        <w:rPr>
          <w:rFonts w:cs="Arial"/>
          <w:b/>
          <w:szCs w:val="22"/>
          <w:lang w:val="en-US" w:eastAsia="fr-FR"/>
        </w:rPr>
        <w:t>Low Power Auxiliary Stations</w:t>
      </w:r>
      <w:r w:rsidRPr="00EA6488">
        <w:rPr>
          <w:rFonts w:cs="Arial"/>
          <w:szCs w:val="22"/>
          <w:lang w:val="en-US" w:eastAsia="fr-FR"/>
        </w:rPr>
        <w:t xml:space="preserve"> in the Repurposed 600 MHz Band and 600 MHz Duplex Gap; Expanding the Economic and Innovation</w:t>
      </w:r>
      <w:r w:rsidR="00EA6488">
        <w:rPr>
          <w:rFonts w:cs="Arial"/>
          <w:szCs w:val="22"/>
          <w:lang w:val="en-US" w:eastAsia="fr-FR"/>
        </w:rPr>
        <w:t xml:space="preserve"> </w:t>
      </w:r>
      <w:r w:rsidRPr="00EA6488">
        <w:rPr>
          <w:rFonts w:cs="Arial"/>
          <w:szCs w:val="22"/>
          <w:lang w:val="en-US" w:eastAsia="fr-FR"/>
        </w:rPr>
        <w:t xml:space="preserve">Opportunities of Spectrum through </w:t>
      </w:r>
      <w:r w:rsidRPr="00EA6488">
        <w:rPr>
          <w:rFonts w:cs="Arial"/>
          <w:b/>
          <w:szCs w:val="22"/>
          <w:lang w:val="en-US" w:eastAsia="fr-FR"/>
        </w:rPr>
        <w:t>Incentive Auctions</w:t>
      </w:r>
      <w:r w:rsidRPr="00EA6488">
        <w:rPr>
          <w:rFonts w:cs="Arial"/>
          <w:szCs w:val="22"/>
          <w:lang w:val="en-US" w:eastAsia="fr-FR"/>
        </w:rPr>
        <w:t>.</w:t>
      </w:r>
    </w:p>
    <w:p w:rsidR="00EA6488" w:rsidRDefault="00EA6488" w:rsidP="00107369">
      <w:pPr>
        <w:spacing w:after="0"/>
        <w:jc w:val="left"/>
        <w:rPr>
          <w:rFonts w:cs="Arial"/>
          <w:szCs w:val="22"/>
          <w:lang w:val="en-US" w:eastAsia="fr-FR"/>
        </w:rPr>
      </w:pPr>
    </w:p>
    <w:p w:rsidR="00EA6488" w:rsidRDefault="00EA6488" w:rsidP="00107369">
      <w:pPr>
        <w:spacing w:after="0"/>
        <w:jc w:val="left"/>
        <w:rPr>
          <w:rFonts w:cs="Arial"/>
          <w:szCs w:val="22"/>
          <w:lang w:val="en-US" w:eastAsia="fr-FR"/>
        </w:rPr>
      </w:pPr>
      <w:r>
        <w:rPr>
          <w:rFonts w:cs="Arial"/>
          <w:szCs w:val="22"/>
          <w:lang w:val="en-US" w:eastAsia="fr-FR"/>
        </w:rPr>
        <w:t xml:space="preserve">FCC 15-99: </w:t>
      </w:r>
      <w:hyperlink r:id="rId35" w:history="1">
        <w:r w:rsidRPr="00217A3F">
          <w:rPr>
            <w:rStyle w:val="Hyperlink"/>
            <w:rFonts w:cs="Arial"/>
            <w:szCs w:val="22"/>
            <w:lang w:val="en-US" w:eastAsia="fr-FR"/>
          </w:rPr>
          <w:t>https://www.fcc.gov/document/fcc-adopts-rules-unlicensed-services-tv-and-600-mhz-bands</w:t>
        </w:r>
      </w:hyperlink>
      <w:r>
        <w:rPr>
          <w:rFonts w:cs="Arial"/>
          <w:szCs w:val="22"/>
          <w:lang w:val="en-US" w:eastAsia="fr-FR"/>
        </w:rPr>
        <w:t xml:space="preserve"> </w:t>
      </w:r>
    </w:p>
    <w:p w:rsidR="00EA6488" w:rsidRDefault="00EA6488" w:rsidP="00107369">
      <w:pPr>
        <w:spacing w:after="0"/>
        <w:jc w:val="left"/>
        <w:rPr>
          <w:rFonts w:cs="Arial"/>
          <w:szCs w:val="22"/>
          <w:lang w:val="en-US" w:eastAsia="fr-FR"/>
        </w:rPr>
      </w:pPr>
      <w:r>
        <w:rPr>
          <w:rFonts w:cs="Arial"/>
          <w:szCs w:val="22"/>
          <w:lang w:val="en-US" w:eastAsia="fr-FR"/>
        </w:rPr>
        <w:t xml:space="preserve">Proceedings FCC 15-99: </w:t>
      </w:r>
      <w:hyperlink r:id="rId36" w:history="1">
        <w:r w:rsidRPr="00217A3F">
          <w:rPr>
            <w:rStyle w:val="Hyperlink"/>
            <w:rFonts w:cs="Arial"/>
            <w:szCs w:val="22"/>
            <w:lang w:val="en-US" w:eastAsia="fr-FR"/>
          </w:rPr>
          <w:t>http://apps.fcc.gov/ecfs/proceeding/view?name=15-99</w:t>
        </w:r>
      </w:hyperlink>
      <w:r>
        <w:rPr>
          <w:rFonts w:cs="Arial"/>
          <w:szCs w:val="22"/>
          <w:lang w:val="en-US" w:eastAsia="fr-FR"/>
        </w:rPr>
        <w:t xml:space="preserve"> </w:t>
      </w:r>
    </w:p>
    <w:p w:rsidR="004020C5" w:rsidRDefault="004020C5" w:rsidP="00107369">
      <w:pPr>
        <w:spacing w:after="0"/>
        <w:jc w:val="left"/>
        <w:rPr>
          <w:rFonts w:ascii="Times New Roman" w:hAnsi="Times New Roman"/>
          <w:sz w:val="24"/>
          <w:szCs w:val="22"/>
          <w:lang w:val="en-US" w:eastAsia="fr-FR"/>
        </w:rPr>
      </w:pPr>
    </w:p>
    <w:p w:rsidR="00EA6488" w:rsidRPr="007C3787" w:rsidRDefault="004020C5" w:rsidP="004020C5">
      <w:pPr>
        <w:spacing w:after="0"/>
        <w:jc w:val="left"/>
        <w:rPr>
          <w:rFonts w:cs="Arial"/>
          <w:szCs w:val="22"/>
          <w:lang w:val="en-US" w:eastAsia="fr-FR"/>
        </w:rPr>
      </w:pPr>
      <w:r w:rsidRPr="007C3787">
        <w:rPr>
          <w:rFonts w:cs="Arial"/>
          <w:szCs w:val="22"/>
          <w:lang w:val="en-US" w:eastAsia="fr-FR"/>
        </w:rPr>
        <w:t xml:space="preserve">In this Report and Order, </w:t>
      </w:r>
      <w:r w:rsidR="00EA6488" w:rsidRPr="007C3787">
        <w:rPr>
          <w:rFonts w:cs="Arial"/>
          <w:szCs w:val="22"/>
          <w:lang w:val="en-US" w:eastAsia="fr-FR"/>
        </w:rPr>
        <w:t xml:space="preserve">the FCC tries to </w:t>
      </w:r>
      <w:proofErr w:type="spellStart"/>
      <w:r w:rsidRPr="007C3787">
        <w:rPr>
          <w:rFonts w:cs="Arial"/>
          <w:szCs w:val="22"/>
          <w:lang w:val="en-US" w:eastAsia="fr-FR"/>
        </w:rPr>
        <w:t>maximi</w:t>
      </w:r>
      <w:r w:rsidR="00EA6488" w:rsidRPr="007C3787">
        <w:rPr>
          <w:rFonts w:cs="Arial"/>
          <w:szCs w:val="22"/>
          <w:lang w:val="en-US" w:eastAsia="fr-FR"/>
        </w:rPr>
        <w:t>s</w:t>
      </w:r>
      <w:r w:rsidRPr="007C3787">
        <w:rPr>
          <w:rFonts w:cs="Arial"/>
          <w:szCs w:val="22"/>
          <w:lang w:val="en-US" w:eastAsia="fr-FR"/>
        </w:rPr>
        <w:t>e</w:t>
      </w:r>
      <w:proofErr w:type="spellEnd"/>
      <w:r w:rsidRPr="007C3787">
        <w:rPr>
          <w:rFonts w:cs="Arial"/>
          <w:szCs w:val="22"/>
          <w:lang w:val="en-US" w:eastAsia="fr-FR"/>
        </w:rPr>
        <w:t xml:space="preserve"> unlicensed white space device’s access to spectrum in</w:t>
      </w:r>
      <w:r w:rsidR="00EA6488" w:rsidRPr="007C3787">
        <w:rPr>
          <w:rFonts w:cs="Arial"/>
          <w:szCs w:val="22"/>
          <w:lang w:val="en-US" w:eastAsia="fr-FR"/>
        </w:rPr>
        <w:t xml:space="preserve"> </w:t>
      </w:r>
      <w:r w:rsidRPr="007C3787">
        <w:rPr>
          <w:rFonts w:cs="Arial"/>
          <w:szCs w:val="22"/>
          <w:lang w:val="en-US" w:eastAsia="fr-FR"/>
        </w:rPr>
        <w:t>the television broadcasting band and the 600 MHz band</w:t>
      </w:r>
      <w:r w:rsidRPr="007C3787">
        <w:rPr>
          <w:rFonts w:cs="Arial"/>
          <w:b/>
          <w:szCs w:val="22"/>
          <w:lang w:val="en-US" w:eastAsia="fr-FR"/>
        </w:rPr>
        <w:t xml:space="preserve"> in a number of ways</w:t>
      </w:r>
      <w:r w:rsidR="009777C1" w:rsidRPr="007C3787">
        <w:rPr>
          <w:rFonts w:cs="Arial"/>
          <w:b/>
          <w:szCs w:val="22"/>
          <w:lang w:val="en-US" w:eastAsia="fr-FR"/>
        </w:rPr>
        <w:t xml:space="preserve"> (see below)</w:t>
      </w:r>
      <w:r w:rsidRPr="007C3787">
        <w:rPr>
          <w:rFonts w:cs="Arial"/>
          <w:szCs w:val="22"/>
          <w:lang w:val="en-US" w:eastAsia="fr-FR"/>
        </w:rPr>
        <w:t>, while at the same time</w:t>
      </w:r>
      <w:r w:rsidR="00EA6488" w:rsidRPr="007C3787">
        <w:rPr>
          <w:rFonts w:cs="Arial"/>
          <w:szCs w:val="22"/>
          <w:lang w:val="en-US" w:eastAsia="fr-FR"/>
        </w:rPr>
        <w:t xml:space="preserve"> </w:t>
      </w:r>
      <w:r w:rsidRPr="007C3787">
        <w:rPr>
          <w:rFonts w:cs="Arial"/>
          <w:szCs w:val="22"/>
          <w:lang w:val="en-US" w:eastAsia="fr-FR"/>
        </w:rPr>
        <w:t xml:space="preserve">protecting licensed users from harmful interference. </w:t>
      </w:r>
      <w:r w:rsidR="00EA6488" w:rsidRPr="007C3787">
        <w:rPr>
          <w:rFonts w:cs="Arial"/>
          <w:szCs w:val="22"/>
          <w:lang w:val="en-US" w:eastAsia="fr-FR"/>
        </w:rPr>
        <w:t xml:space="preserve">This includes </w:t>
      </w:r>
      <w:r w:rsidRPr="007C3787">
        <w:rPr>
          <w:rFonts w:cs="Arial"/>
          <w:szCs w:val="22"/>
          <w:lang w:val="en-US" w:eastAsia="fr-FR"/>
        </w:rPr>
        <w:t xml:space="preserve">modifying </w:t>
      </w:r>
      <w:r w:rsidR="00EA6488" w:rsidRPr="007C3787">
        <w:rPr>
          <w:rFonts w:cs="Arial"/>
          <w:szCs w:val="22"/>
          <w:lang w:val="en-US" w:eastAsia="fr-FR"/>
        </w:rPr>
        <w:t xml:space="preserve">of the </w:t>
      </w:r>
      <w:r w:rsidRPr="007C3787">
        <w:rPr>
          <w:rFonts w:cs="Arial"/>
          <w:szCs w:val="22"/>
          <w:lang w:val="en-US" w:eastAsia="fr-FR"/>
        </w:rPr>
        <w:t>Part 15 rules</w:t>
      </w:r>
      <w:r w:rsidR="00EA6488" w:rsidRPr="007C3787">
        <w:rPr>
          <w:rFonts w:cs="Arial"/>
          <w:szCs w:val="22"/>
          <w:lang w:val="en-US" w:eastAsia="fr-FR"/>
        </w:rPr>
        <w:t xml:space="preserve"> </w:t>
      </w:r>
      <w:r w:rsidRPr="007C3787">
        <w:rPr>
          <w:rFonts w:cs="Arial"/>
          <w:szCs w:val="22"/>
          <w:lang w:val="en-US" w:eastAsia="fr-FR"/>
        </w:rPr>
        <w:t>to permit fixed and personal/portable devices to use TV channels previously unavailable to them while</w:t>
      </w:r>
      <w:r w:rsidR="00EA6488" w:rsidRPr="007C3787">
        <w:rPr>
          <w:rFonts w:cs="Arial"/>
          <w:szCs w:val="22"/>
          <w:lang w:val="en-US" w:eastAsia="fr-FR"/>
        </w:rPr>
        <w:t xml:space="preserve"> </w:t>
      </w:r>
      <w:r w:rsidRPr="007C3787">
        <w:rPr>
          <w:rFonts w:cs="Arial"/>
          <w:szCs w:val="22"/>
          <w:lang w:val="en-US" w:eastAsia="fr-FR"/>
        </w:rPr>
        <w:t>continuing to protect TV services from harmful interference by, for example, adjusting power limits,</w:t>
      </w:r>
      <w:r w:rsidR="00EA6488" w:rsidRPr="007C3787">
        <w:rPr>
          <w:rFonts w:cs="Arial"/>
          <w:szCs w:val="22"/>
          <w:lang w:val="en-US" w:eastAsia="fr-FR"/>
        </w:rPr>
        <w:t xml:space="preserve"> </w:t>
      </w:r>
      <w:r w:rsidRPr="007C3787">
        <w:rPr>
          <w:rFonts w:cs="Arial"/>
          <w:szCs w:val="22"/>
          <w:lang w:val="en-US" w:eastAsia="fr-FR"/>
        </w:rPr>
        <w:t xml:space="preserve">specifying separation distances, and specifying antenna heights. </w:t>
      </w:r>
    </w:p>
    <w:p w:rsidR="00EA6488" w:rsidRPr="007C3787" w:rsidRDefault="00EA6488" w:rsidP="004020C5">
      <w:pPr>
        <w:spacing w:after="0"/>
        <w:jc w:val="left"/>
        <w:rPr>
          <w:rFonts w:cs="Arial"/>
          <w:szCs w:val="22"/>
          <w:lang w:val="en-US" w:eastAsia="fr-FR"/>
        </w:rPr>
      </w:pPr>
    </w:p>
    <w:p w:rsidR="004020C5" w:rsidRPr="007C3787" w:rsidRDefault="00EA6488" w:rsidP="004020C5">
      <w:pPr>
        <w:spacing w:after="0"/>
        <w:jc w:val="left"/>
        <w:rPr>
          <w:rFonts w:cs="Arial"/>
          <w:szCs w:val="22"/>
          <w:lang w:val="en-US" w:eastAsia="fr-FR"/>
        </w:rPr>
      </w:pPr>
      <w:r w:rsidRPr="007C3787">
        <w:rPr>
          <w:rFonts w:cs="Arial"/>
          <w:szCs w:val="22"/>
          <w:lang w:val="en-US" w:eastAsia="fr-FR"/>
        </w:rPr>
        <w:t>This includes:</w:t>
      </w:r>
    </w:p>
    <w:p w:rsidR="004020C5" w:rsidRPr="007C3787" w:rsidRDefault="00EA6488"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White </w:t>
      </w:r>
      <w:r w:rsidR="004020C5" w:rsidRPr="007C3787">
        <w:rPr>
          <w:rFonts w:cs="Arial"/>
          <w:szCs w:val="22"/>
          <w:lang w:val="en-US" w:eastAsia="fr-FR"/>
        </w:rPr>
        <w:t>space device operations in the 600 MHz band—including the duplex gap, guard bands, 600 MHz service</w:t>
      </w:r>
      <w:r w:rsidRPr="007C3787">
        <w:rPr>
          <w:rFonts w:cs="Arial"/>
          <w:szCs w:val="22"/>
          <w:lang w:val="en-US" w:eastAsia="fr-FR"/>
        </w:rPr>
        <w:t xml:space="preserve"> </w:t>
      </w:r>
      <w:r w:rsidR="004020C5" w:rsidRPr="007C3787">
        <w:rPr>
          <w:rFonts w:cs="Arial"/>
          <w:szCs w:val="22"/>
          <w:lang w:val="en-US" w:eastAsia="fr-FR"/>
        </w:rPr>
        <w:t>band and channel 37—by limiting power and specifying frequency and distance separations as needed to</w:t>
      </w:r>
      <w:r w:rsidRPr="007C3787">
        <w:rPr>
          <w:rFonts w:cs="Arial"/>
          <w:szCs w:val="22"/>
          <w:lang w:val="en-US" w:eastAsia="fr-FR"/>
        </w:rPr>
        <w:t xml:space="preserve"> </w:t>
      </w:r>
      <w:r w:rsidR="004020C5" w:rsidRPr="007C3787">
        <w:rPr>
          <w:rFonts w:cs="Arial"/>
          <w:szCs w:val="22"/>
          <w:lang w:val="en-US" w:eastAsia="fr-FR"/>
        </w:rPr>
        <w:t xml:space="preserve">protect </w:t>
      </w:r>
      <w:proofErr w:type="spellStart"/>
      <w:r w:rsidR="004020C5" w:rsidRPr="007C3787">
        <w:rPr>
          <w:rFonts w:cs="Arial"/>
          <w:szCs w:val="22"/>
          <w:lang w:val="en-US" w:eastAsia="fr-FR"/>
        </w:rPr>
        <w:t>authori</w:t>
      </w:r>
      <w:r w:rsidRPr="007C3787">
        <w:rPr>
          <w:rFonts w:cs="Arial"/>
          <w:szCs w:val="22"/>
          <w:lang w:val="en-US" w:eastAsia="fr-FR"/>
        </w:rPr>
        <w:t>s</w:t>
      </w:r>
      <w:r w:rsidR="004020C5" w:rsidRPr="007C3787">
        <w:rPr>
          <w:rFonts w:cs="Arial"/>
          <w:szCs w:val="22"/>
          <w:lang w:val="en-US" w:eastAsia="fr-FR"/>
        </w:rPr>
        <w:t>ed</w:t>
      </w:r>
      <w:proofErr w:type="spellEnd"/>
      <w:r w:rsidR="004020C5" w:rsidRPr="007C3787">
        <w:rPr>
          <w:rFonts w:cs="Arial"/>
          <w:szCs w:val="22"/>
          <w:lang w:val="en-US" w:eastAsia="fr-FR"/>
        </w:rPr>
        <w:t xml:space="preserve"> services in those bands from harmful interference. White space devices will continue to</w:t>
      </w:r>
      <w:r w:rsidRPr="007C3787">
        <w:rPr>
          <w:rFonts w:cs="Arial"/>
          <w:szCs w:val="22"/>
          <w:lang w:val="en-US" w:eastAsia="fr-FR"/>
        </w:rPr>
        <w:t xml:space="preserve"> </w:t>
      </w:r>
      <w:r w:rsidR="004020C5" w:rsidRPr="007C3787">
        <w:rPr>
          <w:rFonts w:cs="Arial"/>
          <w:szCs w:val="22"/>
          <w:lang w:val="en-US" w:eastAsia="fr-FR"/>
        </w:rPr>
        <w:t>access the white space databases for channel assignments in the TV bands, as well as in the 600 MHz</w:t>
      </w:r>
      <w:r w:rsidRPr="007C3787">
        <w:rPr>
          <w:rFonts w:cs="Arial"/>
          <w:szCs w:val="22"/>
          <w:lang w:val="en-US" w:eastAsia="fr-FR"/>
        </w:rPr>
        <w:t xml:space="preserve"> </w:t>
      </w:r>
      <w:r w:rsidR="004020C5" w:rsidRPr="007C3787">
        <w:rPr>
          <w:rFonts w:cs="Arial"/>
          <w:szCs w:val="22"/>
          <w:lang w:val="en-US" w:eastAsia="fr-FR"/>
        </w:rPr>
        <w:lastRenderedPageBreak/>
        <w:t xml:space="preserve">band and channel 37. These are the specific actions </w:t>
      </w:r>
      <w:r w:rsidRPr="007C3787">
        <w:rPr>
          <w:rFonts w:cs="Arial"/>
          <w:szCs w:val="22"/>
          <w:lang w:val="en-US" w:eastAsia="fr-FR"/>
        </w:rPr>
        <w:t xml:space="preserve">taken </w:t>
      </w:r>
      <w:r w:rsidR="004020C5" w:rsidRPr="007C3787">
        <w:rPr>
          <w:rFonts w:cs="Arial"/>
          <w:szCs w:val="22"/>
          <w:lang w:val="en-US" w:eastAsia="fr-FR"/>
        </w:rPr>
        <w:t>to ensure that white space devices have</w:t>
      </w:r>
      <w:r w:rsidRPr="007C3787">
        <w:rPr>
          <w:rFonts w:cs="Arial"/>
          <w:szCs w:val="22"/>
          <w:lang w:val="en-US" w:eastAsia="fr-FR"/>
        </w:rPr>
        <w:t xml:space="preserve"> </w:t>
      </w:r>
      <w:r w:rsidR="004020C5" w:rsidRPr="007C3787">
        <w:rPr>
          <w:rFonts w:cs="Arial"/>
          <w:szCs w:val="22"/>
          <w:lang w:val="en-US" w:eastAsia="fr-FR"/>
        </w:rPr>
        <w:t>sufficient spectrum to provide broadband services in these bands</w:t>
      </w:r>
      <w:r w:rsidR="006C3EB9" w:rsidRPr="007C3787">
        <w:rPr>
          <w:rFonts w:cs="Arial"/>
          <w:szCs w:val="22"/>
          <w:lang w:val="en-US" w:eastAsia="fr-FR"/>
        </w:rPr>
        <w:t>;</w:t>
      </w:r>
    </w:p>
    <w:p w:rsidR="004020C5" w:rsidRPr="007C3787" w:rsidRDefault="004020C5" w:rsidP="006C3EB9">
      <w:pPr>
        <w:pStyle w:val="ListParagraph"/>
        <w:numPr>
          <w:ilvl w:val="0"/>
          <w:numId w:val="7"/>
        </w:numPr>
        <w:spacing w:after="0"/>
        <w:jc w:val="left"/>
        <w:rPr>
          <w:rFonts w:cs="Arial"/>
          <w:szCs w:val="22"/>
          <w:lang w:val="en-US" w:eastAsia="fr-FR"/>
        </w:rPr>
      </w:pPr>
      <w:r w:rsidRPr="007C3787">
        <w:rPr>
          <w:rFonts w:cs="Arial"/>
          <w:szCs w:val="22"/>
          <w:lang w:val="en-US" w:eastAsia="fr-FR"/>
        </w:rPr>
        <w:t>In the TV Bands, modify Part 15 rules to permit:</w:t>
      </w:r>
      <w:r w:rsidR="006C3EB9" w:rsidRPr="007C3787">
        <w:rPr>
          <w:rFonts w:cs="Arial"/>
          <w:szCs w:val="22"/>
          <w:lang w:val="en-US" w:eastAsia="fr-FR"/>
        </w:rPr>
        <w:t xml:space="preserve"> </w:t>
      </w:r>
      <w:r w:rsidRPr="007C3787">
        <w:rPr>
          <w:rFonts w:cs="Arial"/>
          <w:szCs w:val="22"/>
          <w:lang w:val="en-US" w:eastAsia="fr-FR"/>
        </w:rPr>
        <w:t>Fixed white space devices to operate</w:t>
      </w:r>
      <w:r w:rsidR="00EA6488" w:rsidRPr="007C3787">
        <w:rPr>
          <w:rFonts w:cs="Arial"/>
          <w:szCs w:val="22"/>
          <w:lang w:val="en-US" w:eastAsia="fr-FR"/>
        </w:rPr>
        <w:t xml:space="preserve"> </w:t>
      </w:r>
      <w:r w:rsidRPr="007C3787">
        <w:rPr>
          <w:rFonts w:cs="Arial"/>
          <w:szCs w:val="22"/>
          <w:lang w:val="en-US" w:eastAsia="fr-FR"/>
        </w:rPr>
        <w:t xml:space="preserve">adjacent to occupied TV channels at 40 </w:t>
      </w:r>
      <w:proofErr w:type="spellStart"/>
      <w:r w:rsidRPr="007C3787">
        <w:rPr>
          <w:rFonts w:cs="Arial"/>
          <w:szCs w:val="22"/>
          <w:lang w:val="en-US" w:eastAsia="fr-FR"/>
        </w:rPr>
        <w:t>mW</w:t>
      </w:r>
      <w:proofErr w:type="spellEnd"/>
      <w:r w:rsidRPr="007C3787">
        <w:rPr>
          <w:rFonts w:cs="Arial"/>
          <w:szCs w:val="22"/>
          <w:lang w:val="en-US" w:eastAsia="fr-FR"/>
        </w:rPr>
        <w:t xml:space="preserve"> at antenna heights of 10 meters</w:t>
      </w:r>
      <w:r w:rsidR="00EA6488" w:rsidRPr="007C3787">
        <w:rPr>
          <w:rFonts w:cs="Arial"/>
          <w:szCs w:val="22"/>
          <w:lang w:val="en-US" w:eastAsia="fr-FR"/>
        </w:rPr>
        <w:t xml:space="preserve"> </w:t>
      </w:r>
      <w:r w:rsidRPr="007C3787">
        <w:rPr>
          <w:rFonts w:cs="Arial"/>
          <w:szCs w:val="22"/>
          <w:lang w:val="en-US" w:eastAsia="fr-FR"/>
        </w:rPr>
        <w:t>above ground level or less (within the TV station contour)</w:t>
      </w:r>
      <w:r w:rsidR="00EA6488" w:rsidRPr="007C3787">
        <w:rPr>
          <w:rFonts w:cs="Arial"/>
          <w:szCs w:val="22"/>
          <w:lang w:val="en-US" w:eastAsia="fr-FR"/>
        </w:rPr>
        <w:t xml:space="preserve">, </w:t>
      </w:r>
      <w:r w:rsidRPr="007C3787">
        <w:rPr>
          <w:rFonts w:cs="Arial"/>
          <w:szCs w:val="22"/>
          <w:lang w:val="en-US" w:eastAsia="fr-FR"/>
        </w:rPr>
        <w:t xml:space="preserve">at 100 </w:t>
      </w:r>
      <w:proofErr w:type="spellStart"/>
      <w:r w:rsidRPr="007C3787">
        <w:rPr>
          <w:rFonts w:cs="Arial"/>
          <w:szCs w:val="22"/>
          <w:lang w:val="en-US" w:eastAsia="fr-FR"/>
        </w:rPr>
        <w:t>mW</w:t>
      </w:r>
      <w:proofErr w:type="spellEnd"/>
      <w:r w:rsidRPr="007C3787">
        <w:rPr>
          <w:rFonts w:cs="Arial"/>
          <w:szCs w:val="22"/>
          <w:lang w:val="en-US" w:eastAsia="fr-FR"/>
        </w:rPr>
        <w:t xml:space="preserve"> at antenna heights of 10 meters above ground level or less if there are</w:t>
      </w:r>
      <w:r w:rsidR="00EA6488" w:rsidRPr="007C3787">
        <w:rPr>
          <w:rFonts w:cs="Arial"/>
          <w:szCs w:val="22"/>
          <w:lang w:val="en-US" w:eastAsia="fr-FR"/>
        </w:rPr>
        <w:t xml:space="preserve"> </w:t>
      </w:r>
      <w:r w:rsidRPr="007C3787">
        <w:rPr>
          <w:rFonts w:cs="Arial"/>
          <w:szCs w:val="22"/>
          <w:lang w:val="en-US" w:eastAsia="fr-FR"/>
        </w:rPr>
        <w:t>two contiguous vacant TV channels,</w:t>
      </w:r>
      <w:r w:rsidR="00EA6488" w:rsidRPr="007C3787">
        <w:rPr>
          <w:rFonts w:cs="Arial"/>
          <w:szCs w:val="22"/>
          <w:lang w:val="en-US" w:eastAsia="fr-FR"/>
        </w:rPr>
        <w:t xml:space="preserve"> </w:t>
      </w:r>
      <w:r w:rsidRPr="007C3787">
        <w:rPr>
          <w:rFonts w:cs="Arial"/>
          <w:szCs w:val="22"/>
          <w:lang w:val="en-US" w:eastAsia="fr-FR"/>
        </w:rPr>
        <w:t>closer to co- and adjacent-TV channels</w:t>
      </w:r>
      <w:r w:rsidR="00EA6488" w:rsidRPr="007C3787">
        <w:rPr>
          <w:rFonts w:cs="Arial"/>
          <w:szCs w:val="22"/>
          <w:lang w:val="en-US" w:eastAsia="fr-FR"/>
        </w:rPr>
        <w:t xml:space="preserve"> </w:t>
      </w:r>
      <w:r w:rsidRPr="007C3787">
        <w:rPr>
          <w:rFonts w:cs="Arial"/>
          <w:szCs w:val="22"/>
          <w:lang w:val="en-US" w:eastAsia="fr-FR"/>
        </w:rPr>
        <w:t xml:space="preserve">by using </w:t>
      </w:r>
      <w:r w:rsidRPr="007C3787">
        <w:rPr>
          <w:rFonts w:cs="Arial"/>
          <w:szCs w:val="22"/>
          <w:u w:val="single"/>
          <w:lang w:val="en-US" w:eastAsia="fr-FR"/>
        </w:rPr>
        <w:t xml:space="preserve">location technologies </w:t>
      </w:r>
      <w:r w:rsidR="006C3EB9" w:rsidRPr="007C3787">
        <w:rPr>
          <w:rFonts w:cs="Arial"/>
          <w:szCs w:val="22"/>
          <w:u w:val="single"/>
          <w:lang w:val="en-US" w:eastAsia="fr-FR"/>
        </w:rPr>
        <w:t xml:space="preserve">(now mandatory technical implementation) </w:t>
      </w:r>
      <w:r w:rsidRPr="007C3787">
        <w:rPr>
          <w:rFonts w:cs="Arial"/>
          <w:szCs w:val="22"/>
          <w:lang w:val="en-US" w:eastAsia="fr-FR"/>
        </w:rPr>
        <w:t>with a lower degree of accuracy than ±50 meters</w:t>
      </w:r>
      <w:r w:rsidR="00EA6488" w:rsidRPr="007C3787">
        <w:rPr>
          <w:rFonts w:cs="Arial"/>
          <w:szCs w:val="22"/>
          <w:lang w:val="en-US" w:eastAsia="fr-FR"/>
        </w:rPr>
        <w:t xml:space="preserve">, </w:t>
      </w:r>
      <w:r w:rsidRPr="007C3787">
        <w:rPr>
          <w:rFonts w:cs="Arial"/>
          <w:szCs w:val="22"/>
          <w:lang w:val="en-US" w:eastAsia="fr-FR"/>
        </w:rPr>
        <w:t>by bonding contiguous or non-contiguous channels</w:t>
      </w:r>
      <w:r w:rsidR="006C3EB9" w:rsidRPr="007C3787">
        <w:rPr>
          <w:rFonts w:cs="Arial"/>
          <w:szCs w:val="22"/>
          <w:lang w:val="en-US" w:eastAsia="fr-FR"/>
        </w:rPr>
        <w:t>;</w:t>
      </w:r>
    </w:p>
    <w:p w:rsidR="00EA6488" w:rsidRPr="007C3787" w:rsidRDefault="00EA6488" w:rsidP="004020C5">
      <w:pPr>
        <w:spacing w:after="0"/>
        <w:jc w:val="left"/>
        <w:rPr>
          <w:rFonts w:cs="Arial"/>
          <w:szCs w:val="22"/>
          <w:lang w:val="en-US" w:eastAsia="fr-FR"/>
        </w:rPr>
      </w:pPr>
    </w:p>
    <w:p w:rsidR="004020C5" w:rsidRPr="007C3787" w:rsidRDefault="004020C5" w:rsidP="004020C5">
      <w:pPr>
        <w:spacing w:after="0"/>
        <w:jc w:val="left"/>
        <w:rPr>
          <w:rFonts w:cs="Arial"/>
          <w:szCs w:val="22"/>
          <w:lang w:val="en-US" w:eastAsia="fr-FR"/>
        </w:rPr>
      </w:pPr>
      <w:r w:rsidRPr="007C3787">
        <w:rPr>
          <w:rFonts w:cs="Arial"/>
          <w:szCs w:val="22"/>
          <w:lang w:val="en-US" w:eastAsia="fr-FR"/>
        </w:rPr>
        <w:t xml:space="preserve">In this Report and Order, </w:t>
      </w:r>
      <w:r w:rsidR="00EA6488" w:rsidRPr="007C3787">
        <w:rPr>
          <w:rFonts w:cs="Arial"/>
          <w:szCs w:val="22"/>
          <w:lang w:val="en-US" w:eastAsia="fr-FR"/>
        </w:rPr>
        <w:t>the FCC uses</w:t>
      </w:r>
      <w:r w:rsidRPr="007C3787">
        <w:rPr>
          <w:rFonts w:cs="Arial"/>
          <w:szCs w:val="22"/>
          <w:lang w:val="en-US" w:eastAsia="fr-FR"/>
        </w:rPr>
        <w:t xml:space="preserve"> the term “600 MHz band” to refer to all of the frequency bands that, after the</w:t>
      </w:r>
      <w:r w:rsidR="00EA6488" w:rsidRPr="007C3787">
        <w:rPr>
          <w:rFonts w:cs="Arial"/>
          <w:szCs w:val="22"/>
          <w:lang w:val="en-US" w:eastAsia="fr-FR"/>
        </w:rPr>
        <w:t xml:space="preserve"> </w:t>
      </w:r>
      <w:r w:rsidRPr="007C3787">
        <w:rPr>
          <w:rFonts w:cs="Arial"/>
          <w:szCs w:val="22"/>
          <w:lang w:val="en-US" w:eastAsia="fr-FR"/>
        </w:rPr>
        <w:t>incentive auction, will no longer be allocated and assigned only for broadcasting services but instead will be used for</w:t>
      </w:r>
      <w:r w:rsidR="006C3EB9" w:rsidRPr="007C3787">
        <w:rPr>
          <w:rFonts w:cs="Arial"/>
          <w:szCs w:val="22"/>
          <w:lang w:val="en-US" w:eastAsia="fr-FR"/>
        </w:rPr>
        <w:t xml:space="preserve"> </w:t>
      </w:r>
      <w:r w:rsidRPr="007C3787">
        <w:rPr>
          <w:rFonts w:cs="Arial"/>
          <w:szCs w:val="22"/>
          <w:lang w:val="en-US" w:eastAsia="fr-FR"/>
        </w:rPr>
        <w:t>new wireless services and guard bands. The 600 MHz spectrum that will be allocated and assigned for new wireless</w:t>
      </w:r>
      <w:r w:rsidR="006C3EB9" w:rsidRPr="007C3787">
        <w:rPr>
          <w:rFonts w:cs="Arial"/>
          <w:szCs w:val="22"/>
          <w:lang w:val="en-US" w:eastAsia="fr-FR"/>
        </w:rPr>
        <w:t xml:space="preserve"> </w:t>
      </w:r>
      <w:r w:rsidRPr="007C3787">
        <w:rPr>
          <w:rFonts w:cs="Arial"/>
          <w:szCs w:val="22"/>
          <w:lang w:val="en-US" w:eastAsia="fr-FR"/>
        </w:rPr>
        <w:t>services is referred to either as the “repurposed 600 MHz band” or “600 MHz service band” since the spectrum will</w:t>
      </w:r>
      <w:r w:rsidR="006C3EB9" w:rsidRPr="007C3787">
        <w:rPr>
          <w:rFonts w:cs="Arial"/>
          <w:szCs w:val="22"/>
          <w:lang w:val="en-US" w:eastAsia="fr-FR"/>
        </w:rPr>
        <w:t xml:space="preserve"> </w:t>
      </w:r>
      <w:r w:rsidRPr="007C3787">
        <w:rPr>
          <w:rFonts w:cs="Arial"/>
          <w:szCs w:val="22"/>
          <w:lang w:val="en-US" w:eastAsia="fr-FR"/>
        </w:rPr>
        <w:t>be used for the new 600 MHz service pursuant to Part 27 of the Commission’s rules. The term “600 MHz guard</w:t>
      </w:r>
      <w:r w:rsidR="006C3EB9" w:rsidRPr="007C3787">
        <w:rPr>
          <w:rFonts w:cs="Arial"/>
          <w:szCs w:val="22"/>
          <w:lang w:val="en-US" w:eastAsia="fr-FR"/>
        </w:rPr>
        <w:t xml:space="preserve"> </w:t>
      </w:r>
      <w:r w:rsidRPr="007C3787">
        <w:rPr>
          <w:rFonts w:cs="Arial"/>
          <w:szCs w:val="22"/>
          <w:lang w:val="en-US" w:eastAsia="fr-FR"/>
        </w:rPr>
        <w:t>band” refers to frequency bands that prevent interference between licensed services in the 600 MHz service band,</w:t>
      </w:r>
      <w:r w:rsidR="006C3EB9" w:rsidRPr="007C3787">
        <w:rPr>
          <w:rFonts w:cs="Arial"/>
          <w:szCs w:val="22"/>
          <w:lang w:val="en-US" w:eastAsia="fr-FR"/>
        </w:rPr>
        <w:t xml:space="preserve"> </w:t>
      </w:r>
      <w:r w:rsidRPr="007C3787">
        <w:rPr>
          <w:rFonts w:cs="Arial"/>
          <w:szCs w:val="22"/>
          <w:lang w:val="en-US" w:eastAsia="fr-FR"/>
        </w:rPr>
        <w:t>the TV bands or channel 37, and the term “600 MHz duplex gap” refers to the frequency band that separates the 600</w:t>
      </w:r>
      <w:r w:rsidR="006C3EB9" w:rsidRPr="007C3787">
        <w:rPr>
          <w:rFonts w:cs="Arial"/>
          <w:szCs w:val="22"/>
          <w:lang w:val="en-US" w:eastAsia="fr-FR"/>
        </w:rPr>
        <w:t xml:space="preserve"> </w:t>
      </w:r>
      <w:r w:rsidRPr="007C3787">
        <w:rPr>
          <w:rFonts w:cs="Arial"/>
          <w:szCs w:val="22"/>
          <w:lang w:val="en-US" w:eastAsia="fr-FR"/>
        </w:rPr>
        <w:t>MHz service uplink and downlink bands.</w:t>
      </w:r>
    </w:p>
    <w:p w:rsidR="006C3EB9" w:rsidRPr="007C3787" w:rsidRDefault="006C3EB9" w:rsidP="004020C5">
      <w:pPr>
        <w:spacing w:after="0"/>
        <w:jc w:val="left"/>
        <w:rPr>
          <w:rFonts w:cs="Arial"/>
          <w:szCs w:val="22"/>
          <w:lang w:val="en-US" w:eastAsia="fr-FR"/>
        </w:rPr>
      </w:pPr>
    </w:p>
    <w:p w:rsidR="004020C5" w:rsidRPr="007C3787" w:rsidRDefault="006C3EB9"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Devices with </w:t>
      </w:r>
      <w:r w:rsidR="004020C5" w:rsidRPr="007C3787">
        <w:rPr>
          <w:rFonts w:cs="Arial"/>
          <w:szCs w:val="22"/>
          <w:lang w:val="en-US" w:eastAsia="fr-FR"/>
        </w:rPr>
        <w:t>up to 10 W in areas with fewer than 50 percent occupied TV channels</w:t>
      </w:r>
      <w:r w:rsidRPr="007C3787">
        <w:rPr>
          <w:rFonts w:cs="Arial"/>
          <w:szCs w:val="22"/>
          <w:lang w:val="en-US" w:eastAsia="fr-FR"/>
        </w:rPr>
        <w:t xml:space="preserve"> </w:t>
      </w:r>
      <w:r w:rsidR="004020C5" w:rsidRPr="007C3787">
        <w:rPr>
          <w:rFonts w:cs="Arial"/>
          <w:szCs w:val="22"/>
          <w:lang w:val="en-US" w:eastAsia="fr-FR"/>
        </w:rPr>
        <w:t>on TV channels 3 and 4, where available</w:t>
      </w:r>
      <w:r w:rsidRPr="007C3787">
        <w:rPr>
          <w:rFonts w:cs="Arial"/>
          <w:szCs w:val="22"/>
          <w:lang w:val="en-US" w:eastAsia="fr-FR"/>
        </w:rPr>
        <w:t xml:space="preserve">, </w:t>
      </w:r>
      <w:r w:rsidR="004020C5" w:rsidRPr="007C3787">
        <w:rPr>
          <w:rFonts w:cs="Arial"/>
          <w:szCs w:val="22"/>
          <w:lang w:val="en-US" w:eastAsia="fr-FR"/>
        </w:rPr>
        <w:t xml:space="preserve">on </w:t>
      </w:r>
      <w:r w:rsidR="004020C5" w:rsidRPr="007C3787">
        <w:rPr>
          <w:rFonts w:cs="Arial"/>
          <w:szCs w:val="22"/>
          <w:u w:val="single"/>
          <w:lang w:val="en-US" w:eastAsia="fr-FR"/>
        </w:rPr>
        <w:t>two vacant channels above and below channel 37 now reserved for wireless</w:t>
      </w:r>
      <w:r w:rsidRPr="007C3787">
        <w:rPr>
          <w:rFonts w:cs="Arial"/>
          <w:szCs w:val="22"/>
          <w:u w:val="single"/>
          <w:lang w:val="en-US" w:eastAsia="fr-FR"/>
        </w:rPr>
        <w:t xml:space="preserve"> </w:t>
      </w:r>
      <w:r w:rsidR="004020C5" w:rsidRPr="007C3787">
        <w:rPr>
          <w:rFonts w:cs="Arial"/>
          <w:szCs w:val="22"/>
          <w:u w:val="single"/>
          <w:lang w:val="en-US" w:eastAsia="fr-FR"/>
        </w:rPr>
        <w:t>microphone use</w:t>
      </w:r>
      <w:r w:rsidRPr="007C3787">
        <w:rPr>
          <w:rFonts w:cs="Arial"/>
          <w:szCs w:val="22"/>
          <w:lang w:val="en-US" w:eastAsia="fr-FR"/>
        </w:rPr>
        <w:t xml:space="preserve">, </w:t>
      </w:r>
      <w:r w:rsidR="004020C5" w:rsidRPr="007C3787">
        <w:rPr>
          <w:rFonts w:cs="Arial"/>
          <w:szCs w:val="22"/>
          <w:lang w:val="en-US" w:eastAsia="fr-FR"/>
        </w:rPr>
        <w:t>Personal/portable white space devices to operate</w:t>
      </w:r>
      <w:r w:rsidRPr="007C3787">
        <w:rPr>
          <w:rFonts w:cs="Arial"/>
          <w:szCs w:val="22"/>
          <w:lang w:val="en-US" w:eastAsia="fr-FR"/>
        </w:rPr>
        <w:t xml:space="preserve"> </w:t>
      </w:r>
      <w:r w:rsidR="004020C5" w:rsidRPr="007C3787">
        <w:rPr>
          <w:rFonts w:cs="Arial"/>
          <w:szCs w:val="22"/>
          <w:lang w:val="en-US" w:eastAsia="fr-FR"/>
        </w:rPr>
        <w:t>§ closer to co- and adjacent-TV station contours</w:t>
      </w:r>
      <w:r w:rsidRPr="007C3787">
        <w:rPr>
          <w:rFonts w:cs="Arial"/>
          <w:szCs w:val="22"/>
          <w:lang w:val="en-US" w:eastAsia="fr-FR"/>
        </w:rPr>
        <w:t xml:space="preserve">, </w:t>
      </w:r>
      <w:r w:rsidR="004020C5" w:rsidRPr="007C3787">
        <w:rPr>
          <w:rFonts w:cs="Arial"/>
          <w:szCs w:val="22"/>
          <w:lang w:val="en-US" w:eastAsia="fr-FR"/>
        </w:rPr>
        <w:t xml:space="preserve">by using </w:t>
      </w:r>
      <w:r w:rsidR="004020C5" w:rsidRPr="007C3787">
        <w:rPr>
          <w:rFonts w:cs="Arial"/>
          <w:szCs w:val="22"/>
          <w:u w:val="single"/>
          <w:lang w:val="en-US" w:eastAsia="fr-FR"/>
        </w:rPr>
        <w:t>location technologies</w:t>
      </w:r>
      <w:r w:rsidR="004020C5" w:rsidRPr="007C3787">
        <w:rPr>
          <w:rFonts w:cs="Arial"/>
          <w:szCs w:val="22"/>
          <w:lang w:val="en-US" w:eastAsia="fr-FR"/>
        </w:rPr>
        <w:t xml:space="preserve"> </w:t>
      </w:r>
      <w:r w:rsidRPr="007C3787">
        <w:rPr>
          <w:rFonts w:cs="Arial"/>
          <w:szCs w:val="22"/>
          <w:lang w:val="en-US" w:eastAsia="fr-FR"/>
        </w:rPr>
        <w:t>(</w:t>
      </w:r>
      <w:r w:rsidRPr="007C3787">
        <w:rPr>
          <w:rFonts w:cs="Arial"/>
          <w:szCs w:val="22"/>
          <w:u w:val="single"/>
          <w:lang w:val="en-US" w:eastAsia="fr-FR"/>
        </w:rPr>
        <w:t>now mandatory technical implementation</w:t>
      </w:r>
      <w:r w:rsidRPr="007C3787">
        <w:rPr>
          <w:rFonts w:cs="Arial"/>
          <w:szCs w:val="22"/>
          <w:lang w:val="en-US" w:eastAsia="fr-FR"/>
        </w:rPr>
        <w:t xml:space="preserve">) </w:t>
      </w:r>
      <w:r w:rsidR="004020C5" w:rsidRPr="007C3787">
        <w:rPr>
          <w:rFonts w:cs="Arial"/>
          <w:szCs w:val="22"/>
          <w:lang w:val="en-US" w:eastAsia="fr-FR"/>
        </w:rPr>
        <w:t>with a lower degree of accuracy than ±50 meters</w:t>
      </w:r>
      <w:r w:rsidRPr="007C3787">
        <w:rPr>
          <w:rFonts w:cs="Arial"/>
          <w:szCs w:val="22"/>
          <w:lang w:val="en-US" w:eastAsia="fr-FR"/>
        </w:rPr>
        <w:t xml:space="preserve">, </w:t>
      </w:r>
      <w:r w:rsidR="004020C5" w:rsidRPr="007C3787">
        <w:rPr>
          <w:rFonts w:cs="Arial"/>
          <w:szCs w:val="22"/>
          <w:lang w:val="en-US" w:eastAsia="fr-FR"/>
        </w:rPr>
        <w:t>on channels 14-20, where available</w:t>
      </w:r>
      <w:r w:rsidRPr="007C3787">
        <w:rPr>
          <w:rFonts w:cs="Arial"/>
          <w:szCs w:val="22"/>
          <w:lang w:val="en-US" w:eastAsia="fr-FR"/>
        </w:rPr>
        <w:t xml:space="preserve"> </w:t>
      </w:r>
      <w:r w:rsidR="004020C5" w:rsidRPr="007C3787">
        <w:rPr>
          <w:rFonts w:cs="Arial"/>
          <w:szCs w:val="22"/>
          <w:lang w:val="en-US" w:eastAsia="fr-FR"/>
        </w:rPr>
        <w:t>on two vacant channels above and below channel 37 now reserved for wireless</w:t>
      </w:r>
      <w:r w:rsidRPr="007C3787">
        <w:rPr>
          <w:rFonts w:cs="Arial"/>
          <w:szCs w:val="22"/>
          <w:lang w:val="en-US" w:eastAsia="fr-FR"/>
        </w:rPr>
        <w:t xml:space="preserve"> </w:t>
      </w:r>
      <w:r w:rsidR="004020C5" w:rsidRPr="007C3787">
        <w:rPr>
          <w:rFonts w:cs="Arial"/>
          <w:szCs w:val="22"/>
          <w:lang w:val="en-US" w:eastAsia="fr-FR"/>
        </w:rPr>
        <w:t>microphone use</w:t>
      </w:r>
      <w:r w:rsidRPr="007C3787">
        <w:rPr>
          <w:rFonts w:cs="Arial"/>
          <w:szCs w:val="22"/>
          <w:lang w:val="en-US" w:eastAsia="fr-FR"/>
        </w:rPr>
        <w:t>;</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In the 600 MHz band, </w:t>
      </w:r>
      <w:r w:rsidR="006C3EB9" w:rsidRPr="007C3787">
        <w:rPr>
          <w:rFonts w:cs="Arial"/>
          <w:szCs w:val="22"/>
          <w:lang w:val="en-US" w:eastAsia="fr-FR"/>
        </w:rPr>
        <w:t xml:space="preserve">the FCC </w:t>
      </w:r>
      <w:r w:rsidRPr="007C3787">
        <w:rPr>
          <w:rFonts w:cs="Arial"/>
          <w:szCs w:val="22"/>
          <w:lang w:val="en-US" w:eastAsia="fr-FR"/>
        </w:rPr>
        <w:t>permit</w:t>
      </w:r>
      <w:r w:rsidR="006C3EB9" w:rsidRPr="007C3787">
        <w:rPr>
          <w:rFonts w:cs="Arial"/>
          <w:szCs w:val="22"/>
          <w:lang w:val="en-US" w:eastAsia="fr-FR"/>
        </w:rPr>
        <w:t>s</w:t>
      </w:r>
      <w:r w:rsidRPr="007C3787">
        <w:rPr>
          <w:rFonts w:cs="Arial"/>
          <w:szCs w:val="22"/>
          <w:lang w:val="en-US" w:eastAsia="fr-FR"/>
        </w:rPr>
        <w:t xml:space="preserve"> fixed and personal/portable white space devices to operate in</w:t>
      </w:r>
      <w:r w:rsidR="006C3EB9" w:rsidRPr="007C3787">
        <w:rPr>
          <w:rFonts w:cs="Arial"/>
          <w:szCs w:val="22"/>
          <w:lang w:val="en-US" w:eastAsia="fr-FR"/>
        </w:rPr>
        <w:t xml:space="preserve"> the d</w:t>
      </w:r>
      <w:r w:rsidRPr="007C3787">
        <w:rPr>
          <w:rFonts w:cs="Arial"/>
          <w:szCs w:val="22"/>
          <w:lang w:val="en-US" w:eastAsia="fr-FR"/>
        </w:rPr>
        <w:t>uplex gap (between wireless uplink/downlink bands)</w:t>
      </w:r>
      <w:r w:rsidR="006C3EB9" w:rsidRPr="007C3787">
        <w:rPr>
          <w:rFonts w:cs="Arial"/>
          <w:szCs w:val="22"/>
          <w:lang w:val="en-US" w:eastAsia="fr-FR"/>
        </w:rPr>
        <w:t xml:space="preserve"> </w:t>
      </w:r>
      <w:r w:rsidRPr="007C3787">
        <w:rPr>
          <w:rFonts w:cs="Arial"/>
          <w:szCs w:val="22"/>
          <w:lang w:val="en-US" w:eastAsia="fr-FR"/>
        </w:rPr>
        <w:t xml:space="preserve">in six megahertz adjacent to the wireless uplink band at 40 </w:t>
      </w:r>
      <w:proofErr w:type="spellStart"/>
      <w:r w:rsidRPr="007C3787">
        <w:rPr>
          <w:rFonts w:cs="Arial"/>
          <w:szCs w:val="22"/>
          <w:lang w:val="en-US" w:eastAsia="fr-FR"/>
        </w:rPr>
        <w:t>mW</w:t>
      </w:r>
      <w:proofErr w:type="spellEnd"/>
      <w:r w:rsidR="006C3EB9" w:rsidRPr="007C3787">
        <w:rPr>
          <w:rFonts w:cs="Arial"/>
          <w:szCs w:val="22"/>
          <w:lang w:val="en-US" w:eastAsia="fr-FR"/>
        </w:rPr>
        <w:t>, g</w:t>
      </w:r>
      <w:r w:rsidRPr="007C3787">
        <w:rPr>
          <w:rFonts w:cs="Arial"/>
          <w:szCs w:val="22"/>
          <w:lang w:val="en-US" w:eastAsia="fr-FR"/>
        </w:rPr>
        <w:t>uard bands (between TV and wireless downlink bands)</w:t>
      </w:r>
      <w:r w:rsidR="006C3EB9" w:rsidRPr="007C3787">
        <w:rPr>
          <w:rFonts w:cs="Arial"/>
          <w:szCs w:val="22"/>
          <w:lang w:val="en-US" w:eastAsia="fr-FR"/>
        </w:rPr>
        <w:t xml:space="preserve">, </w:t>
      </w:r>
      <w:r w:rsidRPr="007C3787">
        <w:rPr>
          <w:rFonts w:cs="Arial"/>
          <w:szCs w:val="22"/>
          <w:lang w:val="en-US" w:eastAsia="fr-FR"/>
        </w:rPr>
        <w:t xml:space="preserve">if the guard band is 9 MHz or 11 MHz, at 40 </w:t>
      </w:r>
      <w:proofErr w:type="spellStart"/>
      <w:r w:rsidRPr="007C3787">
        <w:rPr>
          <w:rFonts w:cs="Arial"/>
          <w:szCs w:val="22"/>
          <w:lang w:val="en-US" w:eastAsia="fr-FR"/>
        </w:rPr>
        <w:t>mW</w:t>
      </w:r>
      <w:proofErr w:type="spellEnd"/>
      <w:r w:rsidRPr="007C3787">
        <w:rPr>
          <w:rFonts w:cs="Arial"/>
          <w:szCs w:val="22"/>
          <w:lang w:val="en-US" w:eastAsia="fr-FR"/>
        </w:rPr>
        <w:t xml:space="preserve"> in six megahertz adjacent to</w:t>
      </w:r>
      <w:r w:rsidR="006C3EB9" w:rsidRPr="007C3787">
        <w:rPr>
          <w:rFonts w:cs="Arial"/>
          <w:szCs w:val="22"/>
          <w:lang w:val="en-US" w:eastAsia="fr-FR"/>
        </w:rPr>
        <w:t xml:space="preserve"> </w:t>
      </w:r>
      <w:r w:rsidRPr="007C3787">
        <w:rPr>
          <w:rFonts w:cs="Arial"/>
          <w:szCs w:val="22"/>
          <w:lang w:val="en-US" w:eastAsia="fr-FR"/>
        </w:rPr>
        <w:t>the TV band</w:t>
      </w:r>
      <w:r w:rsidR="006C3EB9" w:rsidRPr="007C3787">
        <w:rPr>
          <w:rFonts w:cs="Arial"/>
          <w:szCs w:val="22"/>
          <w:lang w:val="en-US" w:eastAsia="fr-FR"/>
        </w:rPr>
        <w:t xml:space="preserve">, </w:t>
      </w:r>
      <w:r w:rsidRPr="007C3787">
        <w:rPr>
          <w:rFonts w:cs="Arial"/>
          <w:szCs w:val="22"/>
          <w:lang w:val="en-US" w:eastAsia="fr-FR"/>
        </w:rPr>
        <w:t xml:space="preserve">if the guard band is 7 MHz, at 40 </w:t>
      </w:r>
      <w:proofErr w:type="spellStart"/>
      <w:r w:rsidRPr="007C3787">
        <w:rPr>
          <w:rFonts w:cs="Arial"/>
          <w:szCs w:val="22"/>
          <w:lang w:val="en-US" w:eastAsia="fr-FR"/>
        </w:rPr>
        <w:t>mW</w:t>
      </w:r>
      <w:proofErr w:type="spellEnd"/>
      <w:r w:rsidRPr="007C3787">
        <w:rPr>
          <w:rFonts w:cs="Arial"/>
          <w:szCs w:val="22"/>
          <w:lang w:val="en-US" w:eastAsia="fr-FR"/>
        </w:rPr>
        <w:t xml:space="preserve"> in the four megahertz adjacent to the TV</w:t>
      </w:r>
      <w:r w:rsidR="006C3EB9" w:rsidRPr="007C3787">
        <w:rPr>
          <w:rFonts w:cs="Arial"/>
          <w:szCs w:val="22"/>
          <w:lang w:val="en-US" w:eastAsia="fr-FR"/>
        </w:rPr>
        <w:t xml:space="preserve"> </w:t>
      </w:r>
      <w:r w:rsidRPr="007C3787">
        <w:rPr>
          <w:rFonts w:cs="Arial"/>
          <w:szCs w:val="22"/>
          <w:lang w:val="en-US" w:eastAsia="fr-FR"/>
        </w:rPr>
        <w:t>band</w:t>
      </w:r>
      <w:r w:rsidR="006C3EB9" w:rsidRPr="007C3787">
        <w:rPr>
          <w:rFonts w:cs="Arial"/>
          <w:szCs w:val="22"/>
          <w:lang w:val="en-US" w:eastAsia="fr-FR"/>
        </w:rPr>
        <w:t xml:space="preserve">, </w:t>
      </w:r>
      <w:r w:rsidRPr="007C3787">
        <w:rPr>
          <w:rFonts w:cs="Arial"/>
          <w:szCs w:val="22"/>
          <w:lang w:val="en-US" w:eastAsia="fr-FR"/>
        </w:rPr>
        <w:t>with at least three megahertz frequency separation from wireless downlink band</w:t>
      </w:r>
      <w:r w:rsidR="006C3EB9" w:rsidRPr="007C3787">
        <w:rPr>
          <w:rFonts w:cs="Arial"/>
          <w:szCs w:val="22"/>
          <w:lang w:val="en-US" w:eastAsia="fr-FR"/>
        </w:rPr>
        <w:t xml:space="preserve"> </w:t>
      </w:r>
      <w:r w:rsidRPr="007C3787">
        <w:rPr>
          <w:rFonts w:cs="Arial"/>
          <w:szCs w:val="22"/>
          <w:lang w:val="en-US" w:eastAsia="fr-FR"/>
        </w:rPr>
        <w:t>regardless of guard band size</w:t>
      </w:r>
      <w:r w:rsidR="006C3EB9" w:rsidRPr="007C3787">
        <w:rPr>
          <w:rFonts w:cs="Arial"/>
          <w:szCs w:val="22"/>
          <w:lang w:val="en-US" w:eastAsia="fr-FR"/>
        </w:rPr>
        <w:t>;</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600 MHz service band (allocated for new wireless services)</w:t>
      </w:r>
      <w:r w:rsidR="006C3EB9" w:rsidRPr="007C3787">
        <w:rPr>
          <w:rFonts w:cs="Arial"/>
          <w:szCs w:val="22"/>
          <w:lang w:val="en-US" w:eastAsia="fr-FR"/>
        </w:rPr>
        <w:t xml:space="preserve">: </w:t>
      </w:r>
      <w:r w:rsidRPr="007C3787">
        <w:rPr>
          <w:rFonts w:cs="Arial"/>
          <w:szCs w:val="22"/>
          <w:lang w:val="en-US" w:eastAsia="fr-FR"/>
        </w:rPr>
        <w:t>fixed white space devices operate up to 10 W and personal/portable devices up to</w:t>
      </w:r>
      <w:r w:rsidR="006C3EB9" w:rsidRPr="007C3787">
        <w:rPr>
          <w:rFonts w:cs="Arial"/>
          <w:szCs w:val="22"/>
          <w:lang w:val="en-US" w:eastAsia="fr-FR"/>
        </w:rPr>
        <w:t xml:space="preserve"> </w:t>
      </w:r>
      <w:r w:rsidRPr="007C3787">
        <w:rPr>
          <w:rFonts w:cs="Arial"/>
          <w:szCs w:val="22"/>
          <w:lang w:val="en-US" w:eastAsia="fr-FR"/>
        </w:rPr>
        <w:t xml:space="preserve">100 </w:t>
      </w:r>
      <w:proofErr w:type="spellStart"/>
      <w:r w:rsidRPr="007C3787">
        <w:rPr>
          <w:rFonts w:cs="Arial"/>
          <w:szCs w:val="22"/>
          <w:lang w:val="en-US" w:eastAsia="fr-FR"/>
        </w:rPr>
        <w:t>mW</w:t>
      </w:r>
      <w:proofErr w:type="spellEnd"/>
      <w:r w:rsidRPr="007C3787">
        <w:rPr>
          <w:rFonts w:cs="Arial"/>
          <w:szCs w:val="22"/>
          <w:lang w:val="en-US" w:eastAsia="fr-FR"/>
        </w:rPr>
        <w:t>, at specified distances outside the wireless licensee’s service areas</w:t>
      </w:r>
      <w:r w:rsidR="006C3EB9" w:rsidRPr="007C3787">
        <w:rPr>
          <w:rFonts w:cs="Arial"/>
          <w:szCs w:val="22"/>
          <w:lang w:val="en-US" w:eastAsia="fr-FR"/>
        </w:rPr>
        <w:t>;</w:t>
      </w:r>
    </w:p>
    <w:p w:rsidR="004020C5" w:rsidRPr="007C3787" w:rsidRDefault="006C3EB9"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P</w:t>
      </w:r>
      <w:r w:rsidR="004020C5" w:rsidRPr="007C3787">
        <w:rPr>
          <w:rFonts w:cs="Arial"/>
          <w:szCs w:val="22"/>
          <w:lang w:val="en-US" w:eastAsia="fr-FR"/>
        </w:rPr>
        <w:t>ermit white space devices to operate on channel 37:</w:t>
      </w:r>
      <w:r w:rsidRPr="007C3787">
        <w:rPr>
          <w:rFonts w:cs="Arial"/>
          <w:szCs w:val="22"/>
          <w:lang w:val="en-US" w:eastAsia="fr-FR"/>
        </w:rPr>
        <w:t xml:space="preserve"> d</w:t>
      </w:r>
      <w:r w:rsidR="004020C5" w:rsidRPr="007C3787">
        <w:rPr>
          <w:rFonts w:cs="Arial"/>
          <w:szCs w:val="22"/>
          <w:lang w:val="en-US" w:eastAsia="fr-FR"/>
        </w:rPr>
        <w:t>epending on whether TV or wireless downlinks are in adjacent channels, fixed devices</w:t>
      </w:r>
      <w:r w:rsidRPr="007C3787">
        <w:rPr>
          <w:rFonts w:cs="Arial"/>
          <w:szCs w:val="22"/>
          <w:lang w:val="en-US" w:eastAsia="fr-FR"/>
        </w:rPr>
        <w:t xml:space="preserve"> </w:t>
      </w:r>
      <w:r w:rsidR="004020C5" w:rsidRPr="007C3787">
        <w:rPr>
          <w:rFonts w:cs="Arial"/>
          <w:szCs w:val="22"/>
          <w:lang w:val="en-US" w:eastAsia="fr-FR"/>
        </w:rPr>
        <w:t xml:space="preserve">operate from 40 </w:t>
      </w:r>
      <w:proofErr w:type="spellStart"/>
      <w:r w:rsidR="004020C5" w:rsidRPr="007C3787">
        <w:rPr>
          <w:rFonts w:cs="Arial"/>
          <w:szCs w:val="22"/>
          <w:lang w:val="en-US" w:eastAsia="fr-FR"/>
        </w:rPr>
        <w:t>mW</w:t>
      </w:r>
      <w:proofErr w:type="spellEnd"/>
      <w:r w:rsidR="004020C5" w:rsidRPr="007C3787">
        <w:rPr>
          <w:rFonts w:cs="Arial"/>
          <w:szCs w:val="22"/>
          <w:lang w:val="en-US" w:eastAsia="fr-FR"/>
        </w:rPr>
        <w:t xml:space="preserve"> to 4W and personal/portable devices operate from 40 </w:t>
      </w:r>
      <w:proofErr w:type="spellStart"/>
      <w:r w:rsidR="004020C5" w:rsidRPr="007C3787">
        <w:rPr>
          <w:rFonts w:cs="Arial"/>
          <w:szCs w:val="22"/>
          <w:lang w:val="en-US" w:eastAsia="fr-FR"/>
        </w:rPr>
        <w:t>mW</w:t>
      </w:r>
      <w:proofErr w:type="spellEnd"/>
      <w:r w:rsidR="004020C5" w:rsidRPr="007C3787">
        <w:rPr>
          <w:rFonts w:cs="Arial"/>
          <w:szCs w:val="22"/>
          <w:lang w:val="en-US" w:eastAsia="fr-FR"/>
        </w:rPr>
        <w:t xml:space="preserve"> to 100</w:t>
      </w:r>
      <w:r w:rsidRPr="007C3787">
        <w:rPr>
          <w:rFonts w:cs="Arial"/>
          <w:szCs w:val="22"/>
          <w:lang w:val="en-US" w:eastAsia="fr-FR"/>
        </w:rPr>
        <w:t xml:space="preserve"> </w:t>
      </w:r>
      <w:proofErr w:type="spellStart"/>
      <w:r w:rsidR="004020C5" w:rsidRPr="007C3787">
        <w:rPr>
          <w:rFonts w:cs="Arial"/>
          <w:szCs w:val="22"/>
          <w:lang w:val="en-US" w:eastAsia="fr-FR"/>
        </w:rPr>
        <w:t>mW</w:t>
      </w:r>
      <w:proofErr w:type="spellEnd"/>
      <w:r w:rsidRPr="007C3787">
        <w:rPr>
          <w:rFonts w:cs="Arial"/>
          <w:szCs w:val="22"/>
          <w:lang w:val="en-US" w:eastAsia="fr-FR"/>
        </w:rPr>
        <w:t>, s</w:t>
      </w:r>
      <w:r w:rsidR="004020C5" w:rsidRPr="007C3787">
        <w:rPr>
          <w:rFonts w:cs="Arial"/>
          <w:szCs w:val="22"/>
          <w:lang w:val="en-US" w:eastAsia="fr-FR"/>
        </w:rPr>
        <w:t>ubject to frequency and distance separations from TV, wireless medical telemetry</w:t>
      </w:r>
      <w:r w:rsidRPr="007C3787">
        <w:rPr>
          <w:rFonts w:cs="Arial"/>
          <w:szCs w:val="22"/>
          <w:lang w:val="en-US" w:eastAsia="fr-FR"/>
        </w:rPr>
        <w:t xml:space="preserve"> </w:t>
      </w:r>
      <w:r w:rsidR="004020C5" w:rsidRPr="007C3787">
        <w:rPr>
          <w:rFonts w:cs="Arial"/>
          <w:szCs w:val="22"/>
          <w:lang w:val="en-US" w:eastAsia="fr-FR"/>
        </w:rPr>
        <w:t>service (WMTS) and radio astronomy service (RAS)</w:t>
      </w:r>
      <w:r w:rsidRPr="007C3787">
        <w:rPr>
          <w:rFonts w:cs="Arial"/>
          <w:szCs w:val="22"/>
          <w:lang w:val="en-US" w:eastAsia="fr-FR"/>
        </w:rPr>
        <w:t>;</w:t>
      </w:r>
    </w:p>
    <w:p w:rsidR="004020C5" w:rsidRPr="007C3787" w:rsidRDefault="006C3EB9"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C</w:t>
      </w:r>
      <w:r w:rsidR="004020C5" w:rsidRPr="007C3787">
        <w:rPr>
          <w:rFonts w:cs="Arial"/>
          <w:szCs w:val="22"/>
          <w:lang w:val="en-US" w:eastAsia="fr-FR"/>
        </w:rPr>
        <w:t>ontinue to accommodate unlicensed wireless microphone use</w:t>
      </w:r>
      <w:r w:rsidRPr="007C3787">
        <w:rPr>
          <w:rFonts w:cs="Arial"/>
          <w:szCs w:val="22"/>
          <w:lang w:val="en-US" w:eastAsia="fr-FR"/>
        </w:rPr>
        <w:t xml:space="preserve"> </w:t>
      </w:r>
      <w:r w:rsidR="004020C5" w:rsidRPr="007C3787">
        <w:rPr>
          <w:rFonts w:cs="Arial"/>
          <w:szCs w:val="22"/>
          <w:lang w:val="en-US" w:eastAsia="fr-FR"/>
        </w:rPr>
        <w:t>in the TV bands and the 600 MHz band, while at the same time protecting licensed users from harmful</w:t>
      </w:r>
      <w:r w:rsidRPr="007C3787">
        <w:rPr>
          <w:rFonts w:cs="Arial"/>
          <w:szCs w:val="22"/>
          <w:lang w:val="en-US" w:eastAsia="fr-FR"/>
        </w:rPr>
        <w:t xml:space="preserve"> </w:t>
      </w:r>
      <w:r w:rsidR="004020C5" w:rsidRPr="007C3787">
        <w:rPr>
          <w:rFonts w:cs="Arial"/>
          <w:szCs w:val="22"/>
          <w:lang w:val="en-US" w:eastAsia="fr-FR"/>
        </w:rPr>
        <w:t xml:space="preserve">interference. By codifying </w:t>
      </w:r>
      <w:r w:rsidR="004020C5" w:rsidRPr="007C3787">
        <w:rPr>
          <w:rFonts w:cs="Arial"/>
          <w:szCs w:val="22"/>
          <w:u w:val="single"/>
          <w:lang w:val="en-US" w:eastAsia="fr-FR"/>
        </w:rPr>
        <w:t>Part 15 rules for unlicensed wireless microphone use</w:t>
      </w:r>
      <w:r w:rsidR="004020C5" w:rsidRPr="007C3787">
        <w:rPr>
          <w:rFonts w:cs="Arial"/>
          <w:szCs w:val="22"/>
          <w:lang w:val="en-US" w:eastAsia="fr-FR"/>
        </w:rPr>
        <w:t xml:space="preserve">, </w:t>
      </w:r>
      <w:r w:rsidRPr="007C3787">
        <w:rPr>
          <w:rFonts w:cs="Arial"/>
          <w:szCs w:val="22"/>
          <w:lang w:val="en-US" w:eastAsia="fr-FR"/>
        </w:rPr>
        <w:t xml:space="preserve">the FCC </w:t>
      </w:r>
      <w:r w:rsidR="004020C5" w:rsidRPr="007C3787">
        <w:rPr>
          <w:rFonts w:cs="Arial"/>
          <w:szCs w:val="22"/>
          <w:lang w:val="en-US" w:eastAsia="fr-FR"/>
        </w:rPr>
        <w:t>bring</w:t>
      </w:r>
      <w:r w:rsidRPr="007C3787">
        <w:rPr>
          <w:rFonts w:cs="Arial"/>
          <w:szCs w:val="22"/>
          <w:lang w:val="en-US" w:eastAsia="fr-FR"/>
        </w:rPr>
        <w:t>s</w:t>
      </w:r>
      <w:r w:rsidR="004020C5" w:rsidRPr="007C3787">
        <w:rPr>
          <w:rFonts w:cs="Arial"/>
          <w:szCs w:val="22"/>
          <w:lang w:val="en-US" w:eastAsia="fr-FR"/>
        </w:rPr>
        <w:t xml:space="preserve"> these devices</w:t>
      </w:r>
      <w:r w:rsidRPr="007C3787">
        <w:rPr>
          <w:rFonts w:cs="Arial"/>
          <w:szCs w:val="22"/>
          <w:lang w:val="en-US" w:eastAsia="fr-FR"/>
        </w:rPr>
        <w:t xml:space="preserve"> </w:t>
      </w:r>
      <w:r w:rsidR="004020C5" w:rsidRPr="007C3787">
        <w:rPr>
          <w:rFonts w:cs="Arial"/>
          <w:szCs w:val="22"/>
          <w:lang w:val="en-US" w:eastAsia="fr-FR"/>
        </w:rPr>
        <w:t>under the traditional policy tenets for unlicensed devices, i.e., they are not entitled to interference</w:t>
      </w:r>
      <w:r w:rsidRPr="007C3787">
        <w:rPr>
          <w:rFonts w:cs="Arial"/>
          <w:szCs w:val="22"/>
          <w:lang w:val="en-US" w:eastAsia="fr-FR"/>
        </w:rPr>
        <w:t xml:space="preserve"> </w:t>
      </w:r>
      <w:r w:rsidR="004020C5" w:rsidRPr="007C3787">
        <w:rPr>
          <w:rFonts w:cs="Arial"/>
          <w:szCs w:val="22"/>
          <w:lang w:val="en-US" w:eastAsia="fr-FR"/>
        </w:rPr>
        <w:t xml:space="preserve">protection and they must not cause harmful interference to </w:t>
      </w:r>
      <w:proofErr w:type="spellStart"/>
      <w:r w:rsidR="004020C5" w:rsidRPr="007C3787">
        <w:rPr>
          <w:rFonts w:cs="Arial"/>
          <w:szCs w:val="22"/>
          <w:lang w:val="en-US" w:eastAsia="fr-FR"/>
        </w:rPr>
        <w:t>authori</w:t>
      </w:r>
      <w:r w:rsidRPr="007C3787">
        <w:rPr>
          <w:rFonts w:cs="Arial"/>
          <w:szCs w:val="22"/>
          <w:lang w:val="en-US" w:eastAsia="fr-FR"/>
        </w:rPr>
        <w:t>s</w:t>
      </w:r>
      <w:r w:rsidR="004020C5" w:rsidRPr="007C3787">
        <w:rPr>
          <w:rFonts w:cs="Arial"/>
          <w:szCs w:val="22"/>
          <w:lang w:val="en-US" w:eastAsia="fr-FR"/>
        </w:rPr>
        <w:t>ed</w:t>
      </w:r>
      <w:proofErr w:type="spellEnd"/>
      <w:r w:rsidR="004020C5" w:rsidRPr="007C3787">
        <w:rPr>
          <w:rFonts w:cs="Arial"/>
          <w:szCs w:val="22"/>
          <w:lang w:val="en-US" w:eastAsia="fr-FR"/>
        </w:rPr>
        <w:t xml:space="preserve"> services. </w:t>
      </w:r>
      <w:r w:rsidRPr="007C3787">
        <w:rPr>
          <w:rFonts w:cs="Arial"/>
          <w:szCs w:val="22"/>
          <w:lang w:val="en-US" w:eastAsia="fr-FR"/>
        </w:rPr>
        <w:t xml:space="preserve">This is </w:t>
      </w:r>
      <w:r w:rsidR="004020C5" w:rsidRPr="007C3787">
        <w:rPr>
          <w:rFonts w:cs="Arial"/>
          <w:szCs w:val="22"/>
          <w:lang w:val="en-US" w:eastAsia="fr-FR"/>
        </w:rPr>
        <w:t>accomplish</w:t>
      </w:r>
      <w:r w:rsidRPr="007C3787">
        <w:rPr>
          <w:rFonts w:cs="Arial"/>
          <w:szCs w:val="22"/>
          <w:lang w:val="en-US" w:eastAsia="fr-FR"/>
        </w:rPr>
        <w:t>ed</w:t>
      </w:r>
      <w:r w:rsidR="004020C5" w:rsidRPr="007C3787">
        <w:rPr>
          <w:rFonts w:cs="Arial"/>
          <w:szCs w:val="22"/>
          <w:lang w:val="en-US" w:eastAsia="fr-FR"/>
        </w:rPr>
        <w:t xml:space="preserve"> by limiting power and specifying frequency and distance separations as needed to protect</w:t>
      </w:r>
      <w:r w:rsidRPr="007C3787">
        <w:rPr>
          <w:rFonts w:cs="Arial"/>
          <w:szCs w:val="22"/>
          <w:lang w:val="en-US" w:eastAsia="fr-FR"/>
        </w:rPr>
        <w:t xml:space="preserve"> </w:t>
      </w:r>
      <w:proofErr w:type="spellStart"/>
      <w:r w:rsidR="004020C5" w:rsidRPr="007C3787">
        <w:rPr>
          <w:rFonts w:cs="Arial"/>
          <w:szCs w:val="22"/>
          <w:lang w:val="en-US" w:eastAsia="fr-FR"/>
        </w:rPr>
        <w:t>authori</w:t>
      </w:r>
      <w:r w:rsidRPr="007C3787">
        <w:rPr>
          <w:rFonts w:cs="Arial"/>
          <w:szCs w:val="22"/>
          <w:lang w:val="en-US" w:eastAsia="fr-FR"/>
        </w:rPr>
        <w:t>s</w:t>
      </w:r>
      <w:r w:rsidR="004020C5" w:rsidRPr="007C3787">
        <w:rPr>
          <w:rFonts w:cs="Arial"/>
          <w:szCs w:val="22"/>
          <w:lang w:val="en-US" w:eastAsia="fr-FR"/>
        </w:rPr>
        <w:t>ed</w:t>
      </w:r>
      <w:proofErr w:type="spellEnd"/>
      <w:r w:rsidR="004020C5" w:rsidRPr="007C3787">
        <w:rPr>
          <w:rFonts w:cs="Arial"/>
          <w:szCs w:val="22"/>
          <w:lang w:val="en-US" w:eastAsia="fr-FR"/>
        </w:rPr>
        <w:t xml:space="preserve"> services. Unlicensed wireless microphones will access the white space databases to identify</w:t>
      </w:r>
      <w:r w:rsidRPr="007C3787">
        <w:rPr>
          <w:rFonts w:cs="Arial"/>
          <w:szCs w:val="22"/>
          <w:lang w:val="en-US" w:eastAsia="fr-FR"/>
        </w:rPr>
        <w:t xml:space="preserve"> </w:t>
      </w:r>
      <w:r w:rsidR="004020C5" w:rsidRPr="007C3787">
        <w:rPr>
          <w:rFonts w:cs="Arial"/>
          <w:szCs w:val="22"/>
          <w:lang w:val="en-US" w:eastAsia="fr-FR"/>
        </w:rPr>
        <w:t>frequencies available for their use in the duplex gap, guard bands and 600 MHz service band, but they</w:t>
      </w:r>
      <w:r w:rsidRPr="007C3787">
        <w:rPr>
          <w:rFonts w:cs="Arial"/>
          <w:szCs w:val="22"/>
          <w:lang w:val="en-US" w:eastAsia="fr-FR"/>
        </w:rPr>
        <w:t xml:space="preserve"> </w:t>
      </w:r>
      <w:r w:rsidR="004020C5" w:rsidRPr="007C3787">
        <w:rPr>
          <w:rFonts w:cs="Arial"/>
          <w:szCs w:val="22"/>
          <w:lang w:val="en-US" w:eastAsia="fr-FR"/>
        </w:rPr>
        <w:t>will not be permitted to reserve channels for their use (i.e., to be protected from interference from white</w:t>
      </w:r>
      <w:r w:rsidRPr="007C3787">
        <w:rPr>
          <w:rFonts w:cs="Arial"/>
          <w:szCs w:val="22"/>
          <w:lang w:val="en-US" w:eastAsia="fr-FR"/>
        </w:rPr>
        <w:t xml:space="preserve"> </w:t>
      </w:r>
      <w:r w:rsidR="004020C5" w:rsidRPr="007C3787">
        <w:rPr>
          <w:rFonts w:cs="Arial"/>
          <w:szCs w:val="22"/>
          <w:lang w:val="en-US" w:eastAsia="fr-FR"/>
        </w:rPr>
        <w:t xml:space="preserve">space devices). </w:t>
      </w:r>
      <w:r w:rsidRPr="007C3787">
        <w:rPr>
          <w:rFonts w:cs="Arial"/>
          <w:szCs w:val="22"/>
          <w:lang w:val="en-US" w:eastAsia="fr-FR"/>
        </w:rPr>
        <w:t xml:space="preserve">The </w:t>
      </w:r>
      <w:r w:rsidR="004020C5" w:rsidRPr="007C3787">
        <w:rPr>
          <w:rFonts w:cs="Arial"/>
          <w:szCs w:val="22"/>
          <w:lang w:val="en-US" w:eastAsia="fr-FR"/>
        </w:rPr>
        <w:t>technical rules are similar to Part 74 rules for licensed wireless microphones, but</w:t>
      </w:r>
      <w:r w:rsidRPr="007C3787">
        <w:rPr>
          <w:rFonts w:cs="Arial"/>
          <w:szCs w:val="22"/>
          <w:lang w:val="en-US" w:eastAsia="fr-FR"/>
        </w:rPr>
        <w:t xml:space="preserve"> </w:t>
      </w:r>
      <w:r w:rsidR="004020C5" w:rsidRPr="007C3787">
        <w:rPr>
          <w:rFonts w:cs="Arial"/>
          <w:szCs w:val="22"/>
          <w:lang w:val="en-US" w:eastAsia="fr-FR"/>
        </w:rPr>
        <w:t xml:space="preserve">unlicensed wireless microphones limited to lower power (50 </w:t>
      </w:r>
      <w:proofErr w:type="spellStart"/>
      <w:r w:rsidR="004020C5" w:rsidRPr="007C3787">
        <w:rPr>
          <w:rFonts w:cs="Arial"/>
          <w:szCs w:val="22"/>
          <w:lang w:val="en-US" w:eastAsia="fr-FR"/>
        </w:rPr>
        <w:t>mW</w:t>
      </w:r>
      <w:proofErr w:type="spellEnd"/>
      <w:r w:rsidR="004020C5" w:rsidRPr="007C3787">
        <w:rPr>
          <w:rFonts w:cs="Arial"/>
          <w:szCs w:val="22"/>
          <w:lang w:val="en-US" w:eastAsia="fr-FR"/>
        </w:rPr>
        <w:t xml:space="preserve"> EIRP)</w:t>
      </w:r>
      <w:r w:rsidRPr="007C3787">
        <w:rPr>
          <w:rFonts w:cs="Arial"/>
          <w:szCs w:val="22"/>
          <w:lang w:val="en-US" w:eastAsia="fr-FR"/>
        </w:rPr>
        <w:t xml:space="preserve">, </w:t>
      </w:r>
      <w:r w:rsidR="004020C5" w:rsidRPr="007C3787">
        <w:rPr>
          <w:rFonts w:cs="Arial"/>
          <w:szCs w:val="22"/>
          <w:lang w:val="en-US" w:eastAsia="fr-FR"/>
        </w:rPr>
        <w:t>adopt tighter emission mask based on ETSI standard to improve spectrum sharing</w:t>
      </w:r>
      <w:r w:rsidRPr="007C3787">
        <w:rPr>
          <w:rFonts w:cs="Arial"/>
          <w:szCs w:val="22"/>
          <w:lang w:val="en-US" w:eastAsia="fr-FR"/>
        </w:rPr>
        <w:t xml:space="preserve">, </w:t>
      </w:r>
      <w:r w:rsidR="004020C5" w:rsidRPr="007C3787">
        <w:rPr>
          <w:rFonts w:cs="Arial"/>
          <w:szCs w:val="22"/>
          <w:lang w:val="en-US" w:eastAsia="fr-FR"/>
        </w:rPr>
        <w:t>no longer reserve two vacant channels above and below channel 37 for wireless</w:t>
      </w:r>
      <w:r w:rsidRPr="007C3787">
        <w:rPr>
          <w:rFonts w:cs="Arial"/>
          <w:szCs w:val="22"/>
          <w:lang w:val="en-US" w:eastAsia="fr-FR"/>
        </w:rPr>
        <w:t xml:space="preserve"> </w:t>
      </w:r>
      <w:r w:rsidR="004020C5" w:rsidRPr="007C3787">
        <w:rPr>
          <w:rFonts w:cs="Arial"/>
          <w:szCs w:val="22"/>
          <w:lang w:val="en-US" w:eastAsia="fr-FR"/>
        </w:rPr>
        <w:t>microphone use</w:t>
      </w:r>
      <w:r w:rsidRPr="007C3787">
        <w:rPr>
          <w:rFonts w:cs="Arial"/>
          <w:szCs w:val="22"/>
          <w:lang w:val="en-US" w:eastAsia="fr-FR"/>
        </w:rPr>
        <w:t xml:space="preserve">, </w:t>
      </w:r>
      <w:r w:rsidR="004020C5" w:rsidRPr="007C3787">
        <w:rPr>
          <w:rFonts w:cs="Arial"/>
          <w:szCs w:val="22"/>
          <w:lang w:val="en-US" w:eastAsia="fr-FR"/>
        </w:rPr>
        <w:t xml:space="preserve">eliminate Part 15 rule that permits unlicensed microphone </w:t>
      </w:r>
      <w:r w:rsidR="004020C5" w:rsidRPr="007C3787">
        <w:rPr>
          <w:rFonts w:cs="Arial"/>
          <w:szCs w:val="22"/>
          <w:lang w:val="en-US" w:eastAsia="fr-FR"/>
        </w:rPr>
        <w:lastRenderedPageBreak/>
        <w:t>users to register with the white</w:t>
      </w:r>
      <w:r w:rsidRPr="007C3787">
        <w:rPr>
          <w:rFonts w:cs="Arial"/>
          <w:szCs w:val="22"/>
          <w:lang w:val="en-US" w:eastAsia="fr-FR"/>
        </w:rPr>
        <w:t xml:space="preserve"> </w:t>
      </w:r>
      <w:r w:rsidR="004020C5" w:rsidRPr="007C3787">
        <w:rPr>
          <w:rFonts w:cs="Arial"/>
          <w:szCs w:val="22"/>
          <w:lang w:val="en-US" w:eastAsia="fr-FR"/>
        </w:rPr>
        <w:t>space databases to reserve vacant channels for their use</w:t>
      </w:r>
      <w:r w:rsidRPr="007C3787">
        <w:rPr>
          <w:rFonts w:cs="Arial"/>
          <w:szCs w:val="22"/>
          <w:lang w:val="en-US" w:eastAsia="fr-FR"/>
        </w:rPr>
        <w:t xml:space="preserve">. </w:t>
      </w:r>
      <w:r w:rsidR="004020C5" w:rsidRPr="007C3787">
        <w:rPr>
          <w:rFonts w:cs="Arial"/>
          <w:szCs w:val="22"/>
          <w:lang w:val="en-US" w:eastAsia="fr-FR"/>
        </w:rPr>
        <w:t xml:space="preserve">In the 600 MHz band, </w:t>
      </w:r>
      <w:r w:rsidRPr="007C3787">
        <w:rPr>
          <w:rFonts w:cs="Arial"/>
          <w:szCs w:val="22"/>
          <w:lang w:val="en-US" w:eastAsia="fr-FR"/>
        </w:rPr>
        <w:t xml:space="preserve">the FCC </w:t>
      </w:r>
      <w:r w:rsidR="004020C5" w:rsidRPr="007C3787">
        <w:rPr>
          <w:rFonts w:cs="Arial"/>
          <w:szCs w:val="22"/>
          <w:lang w:val="en-US" w:eastAsia="fr-FR"/>
        </w:rPr>
        <w:t>permit</w:t>
      </w:r>
      <w:r w:rsidRPr="007C3787">
        <w:rPr>
          <w:rFonts w:cs="Arial"/>
          <w:szCs w:val="22"/>
          <w:lang w:val="en-US" w:eastAsia="fr-FR"/>
        </w:rPr>
        <w:t>s</w:t>
      </w:r>
      <w:r w:rsidR="004020C5" w:rsidRPr="007C3787">
        <w:rPr>
          <w:rFonts w:cs="Arial"/>
          <w:szCs w:val="22"/>
          <w:lang w:val="en-US" w:eastAsia="fr-FR"/>
        </w:rPr>
        <w:t xml:space="preserve"> unlicensed wireless microphones to operate in</w:t>
      </w:r>
      <w:r w:rsidRPr="007C3787">
        <w:rPr>
          <w:rFonts w:cs="Arial"/>
          <w:szCs w:val="22"/>
          <w:lang w:val="en-US" w:eastAsia="fr-FR"/>
        </w:rPr>
        <w:t xml:space="preserve"> the d</w:t>
      </w:r>
      <w:r w:rsidR="004020C5" w:rsidRPr="007C3787">
        <w:rPr>
          <w:rFonts w:cs="Arial"/>
          <w:szCs w:val="22"/>
          <w:lang w:val="en-US" w:eastAsia="fr-FR"/>
        </w:rPr>
        <w:t>uplex gap (between wireless uplink/downlink bands)</w:t>
      </w:r>
    </w:p>
    <w:p w:rsidR="004020C5" w:rsidRPr="007C3787" w:rsidRDefault="009777C1"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Devices </w:t>
      </w:r>
      <w:r w:rsidR="004020C5" w:rsidRPr="007C3787">
        <w:rPr>
          <w:rFonts w:cs="Arial"/>
          <w:szCs w:val="22"/>
          <w:lang w:val="en-US" w:eastAsia="fr-FR"/>
        </w:rPr>
        <w:t xml:space="preserve">may operate up to 20 </w:t>
      </w:r>
      <w:proofErr w:type="spellStart"/>
      <w:r w:rsidR="004020C5" w:rsidRPr="007C3787">
        <w:rPr>
          <w:rFonts w:cs="Arial"/>
          <w:szCs w:val="22"/>
          <w:lang w:val="en-US" w:eastAsia="fr-FR"/>
        </w:rPr>
        <w:t>mW</w:t>
      </w:r>
      <w:proofErr w:type="spellEnd"/>
      <w:r w:rsidR="004020C5" w:rsidRPr="007C3787">
        <w:rPr>
          <w:rFonts w:cs="Arial"/>
          <w:szCs w:val="22"/>
          <w:lang w:val="en-US" w:eastAsia="fr-FR"/>
        </w:rPr>
        <w:t xml:space="preserve"> in six megahertz shared with unlicensed white space</w:t>
      </w:r>
      <w:r w:rsidRPr="007C3787">
        <w:rPr>
          <w:rFonts w:cs="Arial"/>
          <w:szCs w:val="22"/>
          <w:lang w:val="en-US" w:eastAsia="fr-FR"/>
        </w:rPr>
        <w:t xml:space="preserve"> </w:t>
      </w:r>
      <w:r w:rsidR="004020C5" w:rsidRPr="007C3787">
        <w:rPr>
          <w:rFonts w:cs="Arial"/>
          <w:szCs w:val="22"/>
          <w:lang w:val="en-US" w:eastAsia="fr-FR"/>
        </w:rPr>
        <w:t>devices, adjacent to the wireless uplink band</w:t>
      </w:r>
      <w:r w:rsidRPr="007C3787">
        <w:rPr>
          <w:rFonts w:cs="Arial"/>
          <w:szCs w:val="22"/>
          <w:lang w:val="en-US" w:eastAsia="fr-FR"/>
        </w:rPr>
        <w:t xml:space="preserve">, </w:t>
      </w:r>
      <w:r w:rsidR="004020C5" w:rsidRPr="007C3787">
        <w:rPr>
          <w:rFonts w:cs="Arial"/>
          <w:szCs w:val="22"/>
          <w:lang w:val="en-US" w:eastAsia="fr-FR"/>
        </w:rPr>
        <w:t>unlicensed wireless microphone users will need to access the white space</w:t>
      </w:r>
      <w:r w:rsidRPr="007C3787">
        <w:rPr>
          <w:rFonts w:cs="Arial"/>
          <w:szCs w:val="22"/>
          <w:lang w:val="en-US" w:eastAsia="fr-FR"/>
        </w:rPr>
        <w:t xml:space="preserve"> </w:t>
      </w:r>
      <w:r w:rsidR="004020C5" w:rsidRPr="007C3787">
        <w:rPr>
          <w:rFonts w:cs="Arial"/>
          <w:szCs w:val="22"/>
          <w:lang w:val="en-US" w:eastAsia="fr-FR"/>
        </w:rPr>
        <w:t>databases to identify frequencies available for their use</w:t>
      </w:r>
      <w:r w:rsidRPr="007C3787">
        <w:rPr>
          <w:rFonts w:cs="Arial"/>
          <w:szCs w:val="22"/>
          <w:lang w:val="en-US" w:eastAsia="fr-FR"/>
        </w:rPr>
        <w:t>, g</w:t>
      </w:r>
      <w:r w:rsidR="004020C5" w:rsidRPr="007C3787">
        <w:rPr>
          <w:rFonts w:cs="Arial"/>
          <w:szCs w:val="22"/>
          <w:lang w:val="en-US" w:eastAsia="fr-FR"/>
        </w:rPr>
        <w:t>uard bands (between TV and wireless downlink bands, adjacent to channel 37)</w:t>
      </w:r>
      <w:r w:rsidRPr="007C3787">
        <w:rPr>
          <w:rFonts w:cs="Arial"/>
          <w:szCs w:val="22"/>
          <w:lang w:val="en-US" w:eastAsia="fr-FR"/>
        </w:rPr>
        <w:t xml:space="preserve"> </w:t>
      </w:r>
      <w:r w:rsidR="004020C5" w:rsidRPr="007C3787">
        <w:rPr>
          <w:rFonts w:cs="Arial"/>
          <w:szCs w:val="22"/>
          <w:lang w:val="en-US" w:eastAsia="fr-FR"/>
        </w:rPr>
        <w:t xml:space="preserve">may operate up to 20 </w:t>
      </w:r>
      <w:proofErr w:type="spellStart"/>
      <w:r w:rsidR="004020C5" w:rsidRPr="007C3787">
        <w:rPr>
          <w:rFonts w:cs="Arial"/>
          <w:szCs w:val="22"/>
          <w:lang w:val="en-US" w:eastAsia="fr-FR"/>
        </w:rPr>
        <w:t>mW</w:t>
      </w:r>
      <w:proofErr w:type="spellEnd"/>
      <w:r w:rsidR="004020C5" w:rsidRPr="007C3787">
        <w:rPr>
          <w:rFonts w:cs="Arial"/>
          <w:szCs w:val="22"/>
          <w:lang w:val="en-US" w:eastAsia="fr-FR"/>
        </w:rPr>
        <w:t xml:space="preserve"> with one megahertz separation from wireless downlink</w:t>
      </w:r>
      <w:r w:rsidRPr="007C3787">
        <w:rPr>
          <w:rFonts w:cs="Arial"/>
          <w:szCs w:val="22"/>
          <w:lang w:val="en-US" w:eastAsia="fr-FR"/>
        </w:rPr>
        <w:t xml:space="preserve"> </w:t>
      </w:r>
      <w:r w:rsidR="004020C5" w:rsidRPr="007C3787">
        <w:rPr>
          <w:rFonts w:cs="Arial"/>
          <w:szCs w:val="22"/>
          <w:lang w:val="en-US" w:eastAsia="fr-FR"/>
        </w:rPr>
        <w:t>band</w:t>
      </w:r>
      <w:r w:rsidRPr="007C3787">
        <w:rPr>
          <w:rFonts w:cs="Arial"/>
          <w:szCs w:val="22"/>
          <w:lang w:val="en-US" w:eastAsia="fr-FR"/>
        </w:rPr>
        <w:t>;</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if the guard band is 9 MHz, unlicensed wireless microphones may use eight</w:t>
      </w:r>
      <w:r w:rsidR="009777C1" w:rsidRPr="007C3787">
        <w:rPr>
          <w:rFonts w:cs="Arial"/>
          <w:szCs w:val="22"/>
          <w:lang w:val="en-US" w:eastAsia="fr-FR"/>
        </w:rPr>
        <w:t xml:space="preserve"> </w:t>
      </w:r>
      <w:r w:rsidRPr="007C3787">
        <w:rPr>
          <w:rFonts w:cs="Arial"/>
          <w:szCs w:val="22"/>
          <w:lang w:val="en-US" w:eastAsia="fr-FR"/>
        </w:rPr>
        <w:t>megahertz, only six of which is shared with white space devices</w:t>
      </w:r>
      <w:r w:rsidR="009777C1" w:rsidRPr="007C3787">
        <w:rPr>
          <w:rFonts w:cs="Arial"/>
          <w:szCs w:val="22"/>
          <w:lang w:val="en-US" w:eastAsia="fr-FR"/>
        </w:rPr>
        <w:t>;</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if the guard band is 11 MHz, unlicensed wireless microphones may use 10</w:t>
      </w:r>
      <w:r w:rsidR="009777C1" w:rsidRPr="007C3787">
        <w:rPr>
          <w:rFonts w:cs="Arial"/>
          <w:szCs w:val="22"/>
          <w:lang w:val="en-US" w:eastAsia="fr-FR"/>
        </w:rPr>
        <w:t xml:space="preserve"> </w:t>
      </w:r>
      <w:r w:rsidRPr="007C3787">
        <w:rPr>
          <w:rFonts w:cs="Arial"/>
          <w:szCs w:val="22"/>
          <w:lang w:val="en-US" w:eastAsia="fr-FR"/>
        </w:rPr>
        <w:t>megahertz, only six of which is shared with white space devices</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if the guard band is 7 MHz, unlicensed wireless microphones may use six</w:t>
      </w:r>
      <w:r w:rsidR="009777C1" w:rsidRPr="007C3787">
        <w:rPr>
          <w:rFonts w:cs="Arial"/>
          <w:szCs w:val="22"/>
          <w:lang w:val="en-US" w:eastAsia="fr-FR"/>
        </w:rPr>
        <w:t xml:space="preserve"> </w:t>
      </w:r>
      <w:r w:rsidRPr="007C3787">
        <w:rPr>
          <w:rFonts w:cs="Arial"/>
          <w:szCs w:val="22"/>
          <w:lang w:val="en-US" w:eastAsia="fr-FR"/>
        </w:rPr>
        <w:t>megahertz, only four of which is shared with white space devices</w:t>
      </w:r>
      <w:r w:rsidR="009777C1" w:rsidRPr="007C3787">
        <w:rPr>
          <w:rFonts w:cs="Arial"/>
          <w:szCs w:val="22"/>
          <w:lang w:val="en-US" w:eastAsia="fr-FR"/>
        </w:rPr>
        <w:t>;</w:t>
      </w:r>
    </w:p>
    <w:p w:rsidR="004020C5" w:rsidRPr="007C3787" w:rsidRDefault="004020C5" w:rsidP="009777C1">
      <w:pPr>
        <w:pStyle w:val="ListParagraph"/>
        <w:numPr>
          <w:ilvl w:val="0"/>
          <w:numId w:val="7"/>
        </w:numPr>
        <w:spacing w:after="0"/>
        <w:jc w:val="left"/>
        <w:rPr>
          <w:rFonts w:cs="Arial"/>
          <w:szCs w:val="22"/>
          <w:lang w:val="en-US" w:eastAsia="fr-FR"/>
        </w:rPr>
      </w:pPr>
      <w:r w:rsidRPr="007C3787">
        <w:rPr>
          <w:rFonts w:cs="Arial"/>
          <w:szCs w:val="22"/>
          <w:lang w:val="en-US" w:eastAsia="fr-FR"/>
        </w:rPr>
        <w:t>may use two megahertz in 3 MHz guard bands above and below channel 37</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users will need to access the white space databases to identify frequencies</w:t>
      </w:r>
      <w:r w:rsidR="009777C1" w:rsidRPr="007C3787">
        <w:rPr>
          <w:rFonts w:cs="Arial"/>
          <w:szCs w:val="22"/>
          <w:lang w:val="en-US" w:eastAsia="fr-FR"/>
        </w:rPr>
        <w:t xml:space="preserve"> </w:t>
      </w:r>
      <w:r w:rsidRPr="007C3787">
        <w:rPr>
          <w:rFonts w:cs="Arial"/>
          <w:szCs w:val="22"/>
          <w:lang w:val="en-US" w:eastAsia="fr-FR"/>
        </w:rPr>
        <w:t>available for their use</w:t>
      </w:r>
      <w:r w:rsidR="009777C1" w:rsidRPr="007C3787">
        <w:rPr>
          <w:rFonts w:cs="Arial"/>
          <w:szCs w:val="22"/>
          <w:lang w:val="en-US" w:eastAsia="fr-FR"/>
        </w:rPr>
        <w:t xml:space="preserve"> </w:t>
      </w:r>
      <w:r w:rsidRPr="007C3787">
        <w:rPr>
          <w:rFonts w:cs="Arial"/>
          <w:szCs w:val="22"/>
          <w:lang w:val="en-US" w:eastAsia="fr-FR"/>
        </w:rPr>
        <w:t>o 600 MHz service band</w:t>
      </w:r>
    </w:p>
    <w:p w:rsidR="009777C1"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may operate at 50 </w:t>
      </w:r>
      <w:proofErr w:type="spellStart"/>
      <w:r w:rsidRPr="007C3787">
        <w:rPr>
          <w:rFonts w:cs="Arial"/>
          <w:szCs w:val="22"/>
          <w:lang w:val="en-US" w:eastAsia="fr-FR"/>
        </w:rPr>
        <w:t>mW</w:t>
      </w:r>
      <w:proofErr w:type="spellEnd"/>
      <w:r w:rsidRPr="007C3787">
        <w:rPr>
          <w:rFonts w:cs="Arial"/>
          <w:szCs w:val="22"/>
          <w:lang w:val="en-US" w:eastAsia="fr-FR"/>
        </w:rPr>
        <w:t xml:space="preserve"> during the post-auction transition period</w:t>
      </w:r>
      <w:r w:rsidR="009777C1" w:rsidRPr="007C3787">
        <w:rPr>
          <w:rFonts w:cs="Arial"/>
          <w:szCs w:val="22"/>
          <w:lang w:val="en-US" w:eastAsia="fr-FR"/>
        </w:rPr>
        <w:t xml:space="preserve"> </w:t>
      </w:r>
      <w:r w:rsidRPr="007C3787">
        <w:rPr>
          <w:rFonts w:cs="Arial"/>
          <w:szCs w:val="22"/>
          <w:lang w:val="en-US" w:eastAsia="fr-FR"/>
        </w:rPr>
        <w:t>at specified separation distances beyond wireless licensee’s service areas</w:t>
      </w:r>
      <w:r w:rsidR="009777C1" w:rsidRPr="007C3787">
        <w:rPr>
          <w:rFonts w:cs="Arial"/>
          <w:szCs w:val="22"/>
          <w:lang w:val="en-US" w:eastAsia="fr-FR"/>
        </w:rPr>
        <w:t xml:space="preserve">; </w:t>
      </w:r>
      <w:r w:rsidRPr="007C3787">
        <w:rPr>
          <w:rFonts w:cs="Arial"/>
          <w:szCs w:val="22"/>
          <w:lang w:val="en-US" w:eastAsia="fr-FR"/>
        </w:rPr>
        <w:t>users will need to access the white space databases to identify frequencies</w:t>
      </w:r>
      <w:r w:rsidR="009777C1" w:rsidRPr="007C3787">
        <w:rPr>
          <w:rFonts w:cs="Arial"/>
          <w:szCs w:val="22"/>
          <w:lang w:val="en-US" w:eastAsia="fr-FR"/>
        </w:rPr>
        <w:t xml:space="preserve"> </w:t>
      </w:r>
      <w:r w:rsidRPr="007C3787">
        <w:rPr>
          <w:rFonts w:cs="Arial"/>
          <w:szCs w:val="22"/>
          <w:lang w:val="en-US" w:eastAsia="fr-FR"/>
        </w:rPr>
        <w:t>available for their use</w:t>
      </w:r>
      <w:r w:rsidR="009777C1" w:rsidRPr="007C3787">
        <w:rPr>
          <w:rFonts w:cs="Arial"/>
          <w:szCs w:val="22"/>
          <w:lang w:val="en-US" w:eastAsia="fr-FR"/>
        </w:rPr>
        <w:t xml:space="preserve">. </w:t>
      </w:r>
    </w:p>
    <w:p w:rsidR="009777C1"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In addition to the rules accommodating unlicensed wireless microphones, this Report and</w:t>
      </w:r>
      <w:r w:rsidR="009777C1" w:rsidRPr="007C3787">
        <w:rPr>
          <w:rFonts w:cs="Arial"/>
          <w:szCs w:val="22"/>
          <w:lang w:val="en-US" w:eastAsia="fr-FR"/>
        </w:rPr>
        <w:t xml:space="preserve"> </w:t>
      </w:r>
      <w:r w:rsidRPr="007C3787">
        <w:rPr>
          <w:rFonts w:cs="Arial"/>
          <w:szCs w:val="22"/>
          <w:lang w:val="en-US" w:eastAsia="fr-FR"/>
        </w:rPr>
        <w:t>Order reserves 4 megahertz of spectrum in the duplex gap for licensed wireless microphones. This action</w:t>
      </w:r>
      <w:r w:rsidR="009777C1" w:rsidRPr="007C3787">
        <w:rPr>
          <w:rFonts w:cs="Arial"/>
          <w:szCs w:val="22"/>
          <w:lang w:val="en-US" w:eastAsia="fr-FR"/>
        </w:rPr>
        <w:t xml:space="preserve"> </w:t>
      </w:r>
      <w:r w:rsidRPr="007C3787">
        <w:rPr>
          <w:rFonts w:cs="Arial"/>
          <w:szCs w:val="22"/>
          <w:lang w:val="en-US" w:eastAsia="fr-FR"/>
        </w:rPr>
        <w:t>will provide licensed wireless microphones with spectrum where they can operate on an as-needed basis</w:t>
      </w:r>
      <w:r w:rsidR="009777C1" w:rsidRPr="007C3787">
        <w:rPr>
          <w:rFonts w:cs="Arial"/>
          <w:szCs w:val="22"/>
          <w:lang w:val="en-US" w:eastAsia="fr-FR"/>
        </w:rPr>
        <w:t xml:space="preserve"> </w:t>
      </w:r>
      <w:r w:rsidRPr="007C3787">
        <w:rPr>
          <w:rFonts w:cs="Arial"/>
          <w:szCs w:val="22"/>
          <w:lang w:val="en-US" w:eastAsia="fr-FR"/>
        </w:rPr>
        <w:t>that is not shared with white space devices. Operation will be limited to the same technical requirements</w:t>
      </w:r>
      <w:r w:rsidR="009777C1" w:rsidRPr="007C3787">
        <w:rPr>
          <w:rFonts w:cs="Arial"/>
          <w:szCs w:val="22"/>
          <w:lang w:val="en-US" w:eastAsia="fr-FR"/>
        </w:rPr>
        <w:t xml:space="preserve"> </w:t>
      </w:r>
      <w:r w:rsidRPr="007C3787">
        <w:rPr>
          <w:rFonts w:cs="Arial"/>
          <w:szCs w:val="22"/>
          <w:lang w:val="en-US" w:eastAsia="fr-FR"/>
        </w:rPr>
        <w:t xml:space="preserve">as unlicensed wireless microphones operating in the guard bands. </w:t>
      </w:r>
    </w:p>
    <w:p w:rsidR="004020C5" w:rsidRPr="007C3787" w:rsidRDefault="009777C1"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The FCC </w:t>
      </w:r>
      <w:r w:rsidR="004020C5" w:rsidRPr="007C3787">
        <w:rPr>
          <w:rFonts w:cs="Arial"/>
          <w:szCs w:val="22"/>
          <w:lang w:val="en-US" w:eastAsia="fr-FR"/>
        </w:rPr>
        <w:t xml:space="preserve">also </w:t>
      </w:r>
      <w:proofErr w:type="gramStart"/>
      <w:r w:rsidR="004020C5" w:rsidRPr="007C3787">
        <w:rPr>
          <w:rFonts w:cs="Arial"/>
          <w:szCs w:val="22"/>
          <w:lang w:val="en-US" w:eastAsia="fr-FR"/>
        </w:rPr>
        <w:t>adopt</w:t>
      </w:r>
      <w:proofErr w:type="gramEnd"/>
      <w:r w:rsidR="004020C5" w:rsidRPr="007C3787">
        <w:rPr>
          <w:rFonts w:cs="Arial"/>
          <w:szCs w:val="22"/>
          <w:lang w:val="en-US" w:eastAsia="fr-FR"/>
        </w:rPr>
        <w:t xml:space="preserve"> rules to permit, for a</w:t>
      </w:r>
      <w:r w:rsidRPr="007C3787">
        <w:rPr>
          <w:rFonts w:cs="Arial"/>
          <w:szCs w:val="22"/>
          <w:lang w:val="en-US" w:eastAsia="fr-FR"/>
        </w:rPr>
        <w:t xml:space="preserve"> </w:t>
      </w:r>
      <w:r w:rsidR="004020C5" w:rsidRPr="007C3787">
        <w:rPr>
          <w:rFonts w:cs="Arial"/>
          <w:szCs w:val="22"/>
          <w:lang w:val="en-US" w:eastAsia="fr-FR"/>
        </w:rPr>
        <w:t>limited time, operation of licensed wireless microphones in the new 600 MHz service band.</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In this Report and Order, </w:t>
      </w:r>
      <w:r w:rsidR="009777C1" w:rsidRPr="007C3787">
        <w:rPr>
          <w:rFonts w:cs="Arial"/>
          <w:szCs w:val="22"/>
          <w:lang w:val="en-US" w:eastAsia="fr-FR"/>
        </w:rPr>
        <w:t xml:space="preserve">the FCC </w:t>
      </w:r>
      <w:r w:rsidRPr="007C3787">
        <w:rPr>
          <w:rFonts w:cs="Arial"/>
          <w:szCs w:val="22"/>
          <w:lang w:val="en-US" w:eastAsia="fr-FR"/>
        </w:rPr>
        <w:t>also expand location and frequency information in the white</w:t>
      </w:r>
      <w:r w:rsidR="009777C1" w:rsidRPr="007C3787">
        <w:rPr>
          <w:rFonts w:cs="Arial"/>
          <w:szCs w:val="22"/>
          <w:lang w:val="en-US" w:eastAsia="fr-FR"/>
        </w:rPr>
        <w:t xml:space="preserve"> </w:t>
      </w:r>
      <w:r w:rsidRPr="007C3787">
        <w:rPr>
          <w:rFonts w:cs="Arial"/>
          <w:szCs w:val="22"/>
          <w:lang w:val="en-US" w:eastAsia="fr-FR"/>
        </w:rPr>
        <w:t>space databases, and make certain changes to database procedures</w:t>
      </w:r>
      <w:r w:rsidR="009777C1" w:rsidRPr="007C3787">
        <w:rPr>
          <w:rFonts w:cs="Arial"/>
          <w:szCs w:val="22"/>
          <w:lang w:val="en-US" w:eastAsia="fr-FR"/>
        </w:rPr>
        <w:t xml:space="preserve"> (note: to ensure and verify better location information, i.e. mandatory technical implementation feature)</w:t>
      </w:r>
      <w:r w:rsidRPr="007C3787">
        <w:rPr>
          <w:rFonts w:cs="Arial"/>
          <w:szCs w:val="22"/>
          <w:lang w:val="en-US" w:eastAsia="fr-FR"/>
        </w:rPr>
        <w:t>.</w:t>
      </w:r>
      <w:r w:rsidR="009777C1" w:rsidRPr="007C3787">
        <w:rPr>
          <w:rFonts w:cs="Arial"/>
          <w:szCs w:val="22"/>
          <w:lang w:val="en-US" w:eastAsia="fr-FR"/>
        </w:rPr>
        <w:t xml:space="preserve"> </w:t>
      </w:r>
      <w:r w:rsidRPr="007C3787">
        <w:rPr>
          <w:rFonts w:cs="Arial"/>
          <w:szCs w:val="22"/>
          <w:lang w:val="en-US" w:eastAsia="fr-FR"/>
        </w:rPr>
        <w:t>· 600 MHz service licensees will provide the white space database administrators with information</w:t>
      </w:r>
      <w:r w:rsidR="009777C1" w:rsidRPr="007C3787">
        <w:rPr>
          <w:rFonts w:cs="Arial"/>
          <w:szCs w:val="22"/>
          <w:lang w:val="en-US" w:eastAsia="fr-FR"/>
        </w:rPr>
        <w:t xml:space="preserve"> </w:t>
      </w:r>
      <w:r w:rsidRPr="007C3787">
        <w:rPr>
          <w:rFonts w:cs="Arial"/>
          <w:szCs w:val="22"/>
          <w:lang w:val="en-US" w:eastAsia="fr-FR"/>
        </w:rPr>
        <w:t>on where they have commenced operation so that the databases can calculate the separation</w:t>
      </w:r>
      <w:r w:rsidR="009777C1" w:rsidRPr="007C3787">
        <w:rPr>
          <w:rFonts w:cs="Arial"/>
          <w:szCs w:val="22"/>
          <w:lang w:val="en-US" w:eastAsia="fr-FR"/>
        </w:rPr>
        <w:t xml:space="preserve"> </w:t>
      </w:r>
      <w:r w:rsidRPr="007C3787">
        <w:rPr>
          <w:rFonts w:cs="Arial"/>
          <w:szCs w:val="22"/>
          <w:lang w:val="en-US" w:eastAsia="fr-FR"/>
        </w:rPr>
        <w:t>distances beyond the perimeter of those areas to permit operation of unlicensed white space</w:t>
      </w:r>
      <w:r w:rsidR="009777C1" w:rsidRPr="007C3787">
        <w:rPr>
          <w:rFonts w:cs="Arial"/>
          <w:szCs w:val="22"/>
          <w:lang w:val="en-US" w:eastAsia="fr-FR"/>
        </w:rPr>
        <w:t xml:space="preserve"> </w:t>
      </w:r>
      <w:r w:rsidRPr="007C3787">
        <w:rPr>
          <w:rFonts w:cs="Arial"/>
          <w:szCs w:val="22"/>
          <w:lang w:val="en-US" w:eastAsia="fr-FR"/>
        </w:rPr>
        <w:t>devices and unlicensed wireless microphones.</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Health care facilities that operate wireless medical telemetry networks on channel 37 will provide</w:t>
      </w:r>
      <w:r w:rsidR="009777C1" w:rsidRPr="007C3787">
        <w:rPr>
          <w:rFonts w:cs="Arial"/>
          <w:szCs w:val="22"/>
          <w:lang w:val="en-US" w:eastAsia="fr-FR"/>
        </w:rPr>
        <w:t xml:space="preserve"> </w:t>
      </w:r>
      <w:r w:rsidRPr="007C3787">
        <w:rPr>
          <w:rFonts w:cs="Arial"/>
          <w:szCs w:val="22"/>
          <w:lang w:val="en-US" w:eastAsia="fr-FR"/>
        </w:rPr>
        <w:t>the white space database administrators with their location information so that the databases can</w:t>
      </w:r>
      <w:r w:rsidR="009777C1" w:rsidRPr="007C3787">
        <w:rPr>
          <w:rFonts w:cs="Arial"/>
          <w:szCs w:val="22"/>
          <w:lang w:val="en-US" w:eastAsia="fr-FR"/>
        </w:rPr>
        <w:t xml:space="preserve"> </w:t>
      </w:r>
      <w:r w:rsidRPr="007C3787">
        <w:rPr>
          <w:rFonts w:cs="Arial"/>
          <w:szCs w:val="22"/>
          <w:lang w:val="en-US" w:eastAsia="fr-FR"/>
        </w:rPr>
        <w:t>calculate the separation distances beyond the perimeter of those areas to permit operation of</w:t>
      </w:r>
      <w:r w:rsidR="009777C1" w:rsidRPr="007C3787">
        <w:rPr>
          <w:rFonts w:cs="Arial"/>
          <w:szCs w:val="22"/>
          <w:lang w:val="en-US" w:eastAsia="fr-FR"/>
        </w:rPr>
        <w:t xml:space="preserve"> </w:t>
      </w:r>
      <w:r w:rsidRPr="007C3787">
        <w:rPr>
          <w:rFonts w:cs="Arial"/>
          <w:szCs w:val="22"/>
          <w:lang w:val="en-US" w:eastAsia="fr-FR"/>
        </w:rPr>
        <w:t>unlicensed white space devices.</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White space database administrators will update their systems to include the exclusion areas adopt</w:t>
      </w:r>
      <w:r w:rsidR="009777C1" w:rsidRPr="007C3787">
        <w:rPr>
          <w:rFonts w:cs="Arial"/>
          <w:szCs w:val="22"/>
          <w:lang w:val="en-US" w:eastAsia="fr-FR"/>
        </w:rPr>
        <w:t>ed</w:t>
      </w:r>
      <w:r w:rsidRPr="007C3787">
        <w:rPr>
          <w:rFonts w:cs="Arial"/>
          <w:szCs w:val="22"/>
          <w:lang w:val="en-US" w:eastAsia="fr-FR"/>
        </w:rPr>
        <w:t xml:space="preserve"> to protect radio astronomy sites operating on channel 37 and to include the TV channel on</w:t>
      </w:r>
      <w:r w:rsidR="009777C1" w:rsidRPr="007C3787">
        <w:rPr>
          <w:rFonts w:cs="Arial"/>
          <w:szCs w:val="22"/>
          <w:lang w:val="en-US" w:eastAsia="fr-FR"/>
        </w:rPr>
        <w:t xml:space="preserve"> </w:t>
      </w:r>
      <w:r w:rsidRPr="007C3787">
        <w:rPr>
          <w:rFonts w:cs="Arial"/>
          <w:szCs w:val="22"/>
          <w:lang w:val="en-US" w:eastAsia="fr-FR"/>
        </w:rPr>
        <w:t>which private land mobile base stations operate.</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Fixed white space device operators must register with the white space databases if they operate in</w:t>
      </w:r>
      <w:r w:rsidR="009777C1" w:rsidRPr="007C3787">
        <w:rPr>
          <w:rFonts w:cs="Arial"/>
          <w:szCs w:val="22"/>
          <w:lang w:val="en-US" w:eastAsia="fr-FR"/>
        </w:rPr>
        <w:t xml:space="preserve"> </w:t>
      </w:r>
      <w:r w:rsidRPr="007C3787">
        <w:rPr>
          <w:rFonts w:cs="Arial"/>
          <w:szCs w:val="22"/>
          <w:lang w:val="en-US" w:eastAsia="fr-FR"/>
        </w:rPr>
        <w:t>the 600 MHz guard bands, duplex gap, 600 MHz service band, or channel 37.</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Unlicensed wireless microphone users must register with the white space databases if they</w:t>
      </w:r>
      <w:r w:rsidR="009777C1" w:rsidRPr="007C3787">
        <w:rPr>
          <w:rFonts w:cs="Arial"/>
          <w:szCs w:val="22"/>
          <w:lang w:val="en-US" w:eastAsia="fr-FR"/>
        </w:rPr>
        <w:t xml:space="preserve"> </w:t>
      </w:r>
      <w:r w:rsidRPr="007C3787">
        <w:rPr>
          <w:rFonts w:cs="Arial"/>
          <w:szCs w:val="22"/>
          <w:lang w:val="en-US" w:eastAsia="fr-FR"/>
        </w:rPr>
        <w:t>operate in the 600 MHz guard bands, duplex gap, or 600 MHz service band.</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White space database administrators will “push” information about changes in channel</w:t>
      </w:r>
      <w:r w:rsidR="009777C1" w:rsidRPr="007C3787">
        <w:rPr>
          <w:rFonts w:cs="Arial"/>
          <w:szCs w:val="22"/>
          <w:lang w:val="en-US" w:eastAsia="fr-FR"/>
        </w:rPr>
        <w:t xml:space="preserve"> </w:t>
      </w:r>
      <w:r w:rsidRPr="007C3787">
        <w:rPr>
          <w:rFonts w:cs="Arial"/>
          <w:szCs w:val="22"/>
          <w:lang w:val="en-US" w:eastAsia="fr-FR"/>
        </w:rPr>
        <w:t>availability to white space devices operating in the area where licensed wireless microphones</w:t>
      </w:r>
      <w:r w:rsidR="009777C1" w:rsidRPr="007C3787">
        <w:rPr>
          <w:rFonts w:cs="Arial"/>
          <w:szCs w:val="22"/>
          <w:lang w:val="en-US" w:eastAsia="fr-FR"/>
        </w:rPr>
        <w:t xml:space="preserve"> </w:t>
      </w:r>
      <w:r w:rsidRPr="007C3787">
        <w:rPr>
          <w:rFonts w:cs="Arial"/>
          <w:szCs w:val="22"/>
          <w:lang w:val="en-US" w:eastAsia="fr-FR"/>
        </w:rPr>
        <w:t>reserve channels so that these channels can be reserved quickly.</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 xml:space="preserve">Finally, </w:t>
      </w:r>
      <w:r w:rsidR="009777C1" w:rsidRPr="007C3787">
        <w:rPr>
          <w:rFonts w:cs="Arial"/>
          <w:szCs w:val="22"/>
          <w:lang w:val="en-US" w:eastAsia="fr-FR"/>
        </w:rPr>
        <w:t xml:space="preserve">the FCC </w:t>
      </w:r>
      <w:r w:rsidRPr="007C3787">
        <w:rPr>
          <w:rFonts w:cs="Arial"/>
          <w:szCs w:val="22"/>
          <w:lang w:val="en-US" w:eastAsia="fr-FR"/>
        </w:rPr>
        <w:t>adopt</w:t>
      </w:r>
      <w:r w:rsidR="009777C1" w:rsidRPr="007C3787">
        <w:rPr>
          <w:rFonts w:cs="Arial"/>
          <w:szCs w:val="22"/>
          <w:lang w:val="en-US" w:eastAsia="fr-FR"/>
        </w:rPr>
        <w:t>s</w:t>
      </w:r>
      <w:r w:rsidRPr="007C3787">
        <w:rPr>
          <w:rFonts w:cs="Arial"/>
          <w:szCs w:val="22"/>
          <w:lang w:val="en-US" w:eastAsia="fr-FR"/>
        </w:rPr>
        <w:t xml:space="preserve"> transition periods for the certification, manufacturing and marketing of</w:t>
      </w:r>
      <w:r w:rsidR="009777C1" w:rsidRPr="007C3787">
        <w:rPr>
          <w:rFonts w:cs="Arial"/>
          <w:szCs w:val="22"/>
          <w:lang w:val="en-US" w:eastAsia="fr-FR"/>
        </w:rPr>
        <w:t xml:space="preserve"> </w:t>
      </w:r>
      <w:r w:rsidRPr="007C3787">
        <w:rPr>
          <w:rFonts w:cs="Arial"/>
          <w:szCs w:val="22"/>
          <w:lang w:val="en-US" w:eastAsia="fr-FR"/>
        </w:rPr>
        <w:t>white space devices and unlicensed wireless microphones to comply with the requirements adopt</w:t>
      </w:r>
      <w:r w:rsidR="00810EA4">
        <w:rPr>
          <w:rFonts w:cs="Arial"/>
          <w:szCs w:val="22"/>
          <w:lang w:val="en-US" w:eastAsia="fr-FR"/>
        </w:rPr>
        <w:t>ed</w:t>
      </w:r>
      <w:r w:rsidRPr="007C3787">
        <w:rPr>
          <w:rFonts w:cs="Arial"/>
          <w:szCs w:val="22"/>
          <w:lang w:val="en-US" w:eastAsia="fr-FR"/>
        </w:rPr>
        <w:t xml:space="preserve"> in</w:t>
      </w:r>
      <w:r w:rsidR="009777C1" w:rsidRPr="007C3787">
        <w:rPr>
          <w:rFonts w:cs="Arial"/>
          <w:szCs w:val="22"/>
          <w:lang w:val="en-US" w:eastAsia="fr-FR"/>
        </w:rPr>
        <w:t xml:space="preserve"> </w:t>
      </w:r>
      <w:r w:rsidRPr="007C3787">
        <w:rPr>
          <w:rFonts w:cs="Arial"/>
          <w:szCs w:val="22"/>
          <w:lang w:val="en-US" w:eastAsia="fr-FR"/>
        </w:rPr>
        <w:t>this Report and Order.</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White space devices: New certification applications filed six months after the effective date of the</w:t>
      </w:r>
      <w:r w:rsidR="009777C1" w:rsidRPr="007C3787">
        <w:rPr>
          <w:rFonts w:cs="Arial"/>
          <w:szCs w:val="22"/>
          <w:lang w:val="en-US" w:eastAsia="fr-FR"/>
        </w:rPr>
        <w:t xml:space="preserve"> </w:t>
      </w:r>
      <w:r w:rsidRPr="007C3787">
        <w:rPr>
          <w:rFonts w:cs="Arial"/>
          <w:szCs w:val="22"/>
          <w:lang w:val="en-US" w:eastAsia="fr-FR"/>
        </w:rPr>
        <w:t>“push” notification rule shall comply with the rule. All white space devices imported and</w:t>
      </w:r>
      <w:r w:rsidR="009777C1" w:rsidRPr="007C3787">
        <w:rPr>
          <w:rFonts w:cs="Arial"/>
          <w:szCs w:val="22"/>
          <w:lang w:val="en-US" w:eastAsia="fr-FR"/>
        </w:rPr>
        <w:t xml:space="preserve"> </w:t>
      </w:r>
      <w:r w:rsidRPr="007C3787">
        <w:rPr>
          <w:rFonts w:cs="Arial"/>
          <w:szCs w:val="22"/>
          <w:lang w:val="en-US" w:eastAsia="fr-FR"/>
        </w:rPr>
        <w:t>marketed within the United States must comply with the “push” notification requirement within</w:t>
      </w:r>
      <w:r w:rsidR="009777C1" w:rsidRPr="007C3787">
        <w:rPr>
          <w:rFonts w:cs="Arial"/>
          <w:szCs w:val="22"/>
          <w:lang w:val="en-US" w:eastAsia="fr-FR"/>
        </w:rPr>
        <w:t xml:space="preserve"> </w:t>
      </w:r>
      <w:r w:rsidRPr="007C3787">
        <w:rPr>
          <w:rFonts w:cs="Arial"/>
          <w:szCs w:val="22"/>
          <w:lang w:val="en-US" w:eastAsia="fr-FR"/>
        </w:rPr>
        <w:t xml:space="preserve">nine months after the effective date of the rule, and devices that do </w:t>
      </w:r>
      <w:r w:rsidRPr="007C3787">
        <w:rPr>
          <w:rFonts w:cs="Arial"/>
          <w:szCs w:val="22"/>
          <w:lang w:val="en-US" w:eastAsia="fr-FR"/>
        </w:rPr>
        <w:lastRenderedPageBreak/>
        <w:t>not comply with the “push”</w:t>
      </w:r>
      <w:r w:rsidR="009777C1" w:rsidRPr="007C3787">
        <w:rPr>
          <w:rFonts w:cs="Arial"/>
          <w:szCs w:val="22"/>
          <w:lang w:val="en-US" w:eastAsia="fr-FR"/>
        </w:rPr>
        <w:t xml:space="preserve"> </w:t>
      </w:r>
      <w:r w:rsidRPr="007C3787">
        <w:rPr>
          <w:rFonts w:cs="Arial"/>
          <w:szCs w:val="22"/>
          <w:lang w:val="en-US" w:eastAsia="fr-FR"/>
        </w:rPr>
        <w:t>requirement shall cease operating within one year of the effective date of the rule.</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Unlicensed wireless microphones:</w:t>
      </w:r>
      <w:r w:rsidR="009777C1" w:rsidRPr="007C3787">
        <w:rPr>
          <w:rFonts w:cs="Arial"/>
          <w:szCs w:val="22"/>
          <w:lang w:val="en-US" w:eastAsia="fr-FR"/>
        </w:rPr>
        <w:t xml:space="preserve"> w</w:t>
      </w:r>
      <w:r w:rsidRPr="007C3787">
        <w:rPr>
          <w:rFonts w:cs="Arial"/>
          <w:szCs w:val="22"/>
          <w:lang w:val="en-US" w:eastAsia="fr-FR"/>
        </w:rPr>
        <w:t>ireless microphone certified under Part 74 rules may continue to be used in the TV</w:t>
      </w:r>
      <w:r w:rsidR="009777C1" w:rsidRPr="007C3787">
        <w:rPr>
          <w:rFonts w:cs="Arial"/>
          <w:szCs w:val="22"/>
          <w:lang w:val="en-US" w:eastAsia="fr-FR"/>
        </w:rPr>
        <w:t xml:space="preserve"> </w:t>
      </w:r>
      <w:r w:rsidRPr="007C3787">
        <w:rPr>
          <w:rFonts w:cs="Arial"/>
          <w:szCs w:val="22"/>
          <w:lang w:val="en-US" w:eastAsia="fr-FR"/>
        </w:rPr>
        <w:t>bands under the waivers already in place and in the 600 MHz service band until they</w:t>
      </w:r>
      <w:r w:rsidR="009777C1" w:rsidRPr="007C3787">
        <w:rPr>
          <w:rFonts w:cs="Arial"/>
          <w:szCs w:val="22"/>
          <w:lang w:val="en-US" w:eastAsia="fr-FR"/>
        </w:rPr>
        <w:t xml:space="preserve"> </w:t>
      </w:r>
      <w:r w:rsidRPr="007C3787">
        <w:rPr>
          <w:rFonts w:cs="Arial"/>
          <w:szCs w:val="22"/>
          <w:lang w:val="en-US" w:eastAsia="fr-FR"/>
        </w:rPr>
        <w:t>must cease those operations no later than 39 months after release of the Channel</w:t>
      </w:r>
      <w:r w:rsidR="009777C1" w:rsidRPr="007C3787">
        <w:rPr>
          <w:rFonts w:cs="Arial"/>
          <w:szCs w:val="22"/>
          <w:lang w:val="en-US" w:eastAsia="fr-FR"/>
        </w:rPr>
        <w:t xml:space="preserve"> </w:t>
      </w:r>
      <w:r w:rsidRPr="007C3787">
        <w:rPr>
          <w:rFonts w:cs="Arial"/>
          <w:szCs w:val="22"/>
          <w:lang w:val="en-US" w:eastAsia="fr-FR"/>
        </w:rPr>
        <w:t>Reassignment</w:t>
      </w:r>
      <w:r w:rsidR="009777C1" w:rsidRPr="007C3787">
        <w:rPr>
          <w:rFonts w:cs="Arial"/>
          <w:szCs w:val="22"/>
          <w:lang w:val="en-US" w:eastAsia="fr-FR"/>
        </w:rPr>
        <w:t xml:space="preserve">. </w:t>
      </w:r>
      <w:r w:rsidRPr="007C3787">
        <w:rPr>
          <w:rFonts w:cs="Arial"/>
          <w:szCs w:val="22"/>
          <w:lang w:val="en-US" w:eastAsia="fr-FR"/>
        </w:rPr>
        <w:t>Responsible parties may file applications to certify wireless microphones under new Part</w:t>
      </w:r>
      <w:r w:rsidR="009777C1" w:rsidRPr="007C3787">
        <w:rPr>
          <w:rFonts w:cs="Arial"/>
          <w:szCs w:val="22"/>
          <w:lang w:val="en-US" w:eastAsia="fr-FR"/>
        </w:rPr>
        <w:t xml:space="preserve"> </w:t>
      </w:r>
      <w:r w:rsidRPr="007C3787">
        <w:rPr>
          <w:rFonts w:cs="Arial"/>
          <w:szCs w:val="22"/>
          <w:lang w:val="en-US" w:eastAsia="fr-FR"/>
        </w:rPr>
        <w:t>15 rules as soon as those rules are effective, and new applications to certify wireless</w:t>
      </w:r>
      <w:r w:rsidR="009777C1" w:rsidRPr="007C3787">
        <w:rPr>
          <w:rFonts w:cs="Arial"/>
          <w:szCs w:val="22"/>
          <w:lang w:val="en-US" w:eastAsia="fr-FR"/>
        </w:rPr>
        <w:t xml:space="preserve"> </w:t>
      </w:r>
      <w:r w:rsidRPr="007C3787">
        <w:rPr>
          <w:rFonts w:cs="Arial"/>
          <w:szCs w:val="22"/>
          <w:lang w:val="en-US" w:eastAsia="fr-FR"/>
        </w:rPr>
        <w:t>microphones are required to comply with the new Part 15 rules nine months after the</w:t>
      </w:r>
      <w:r w:rsidR="009777C1" w:rsidRPr="007C3787">
        <w:rPr>
          <w:rFonts w:cs="Arial"/>
          <w:szCs w:val="22"/>
          <w:lang w:val="en-US" w:eastAsia="fr-FR"/>
        </w:rPr>
        <w:t xml:space="preserve"> </w:t>
      </w:r>
      <w:r w:rsidRPr="007C3787">
        <w:rPr>
          <w:rFonts w:cs="Arial"/>
          <w:szCs w:val="22"/>
          <w:lang w:val="en-US" w:eastAsia="fr-FR"/>
        </w:rPr>
        <w:t>release of the Channel Reassignment or no later than 24 months after the effective</w:t>
      </w:r>
      <w:r w:rsidR="009777C1" w:rsidRPr="007C3787">
        <w:rPr>
          <w:rFonts w:cs="Arial"/>
          <w:szCs w:val="22"/>
          <w:lang w:val="en-US" w:eastAsia="fr-FR"/>
        </w:rPr>
        <w:t xml:space="preserve"> </w:t>
      </w:r>
      <w:r w:rsidRPr="007C3787">
        <w:rPr>
          <w:rFonts w:cs="Arial"/>
          <w:szCs w:val="22"/>
          <w:lang w:val="en-US" w:eastAsia="fr-FR"/>
        </w:rPr>
        <w:t>date of the new rules, whichever occurs first.</w:t>
      </w:r>
    </w:p>
    <w:p w:rsidR="004020C5" w:rsidRPr="007C3787" w:rsidRDefault="004020C5" w:rsidP="004020C5">
      <w:pPr>
        <w:pStyle w:val="ListParagraph"/>
        <w:numPr>
          <w:ilvl w:val="0"/>
          <w:numId w:val="7"/>
        </w:numPr>
        <w:spacing w:after="0"/>
        <w:jc w:val="left"/>
        <w:rPr>
          <w:rFonts w:cs="Arial"/>
          <w:szCs w:val="22"/>
          <w:lang w:val="en-US" w:eastAsia="fr-FR"/>
        </w:rPr>
      </w:pPr>
      <w:r w:rsidRPr="007C3787">
        <w:rPr>
          <w:rFonts w:cs="Arial"/>
          <w:szCs w:val="22"/>
          <w:lang w:val="en-US" w:eastAsia="fr-FR"/>
        </w:rPr>
        <w:t>Manufacturing and marketing of all wireless microphones that would not comply</w:t>
      </w:r>
      <w:r w:rsidR="009777C1" w:rsidRPr="007C3787">
        <w:rPr>
          <w:rFonts w:cs="Arial"/>
          <w:szCs w:val="22"/>
          <w:lang w:val="en-US" w:eastAsia="fr-FR"/>
        </w:rPr>
        <w:t xml:space="preserve"> </w:t>
      </w:r>
      <w:r w:rsidRPr="007C3787">
        <w:rPr>
          <w:rFonts w:cs="Arial"/>
          <w:szCs w:val="22"/>
          <w:lang w:val="en-US" w:eastAsia="fr-FR"/>
        </w:rPr>
        <w:t>with the 600 MHz Band Plan and rules must cease 18 months after release of the</w:t>
      </w:r>
      <w:r w:rsidR="009777C1" w:rsidRPr="007C3787">
        <w:rPr>
          <w:rFonts w:cs="Arial"/>
          <w:szCs w:val="22"/>
          <w:lang w:val="en-US" w:eastAsia="fr-FR"/>
        </w:rPr>
        <w:t xml:space="preserve"> </w:t>
      </w:r>
      <w:r w:rsidRPr="007C3787">
        <w:rPr>
          <w:rFonts w:cs="Arial"/>
          <w:szCs w:val="22"/>
          <w:lang w:val="en-US" w:eastAsia="fr-FR"/>
        </w:rPr>
        <w:t>Channel Reassignment</w:t>
      </w:r>
      <w:r w:rsidR="009777C1" w:rsidRPr="007C3787">
        <w:rPr>
          <w:rFonts w:cs="Arial"/>
          <w:szCs w:val="22"/>
          <w:lang w:val="en-US" w:eastAsia="fr-FR"/>
        </w:rPr>
        <w:t xml:space="preserve">. </w:t>
      </w:r>
    </w:p>
    <w:p w:rsidR="004020C5" w:rsidRPr="007C3787" w:rsidRDefault="004020C5" w:rsidP="00107369">
      <w:pPr>
        <w:spacing w:after="0"/>
        <w:jc w:val="left"/>
        <w:rPr>
          <w:rFonts w:cs="Arial"/>
          <w:szCs w:val="22"/>
          <w:lang w:val="en-US" w:eastAsia="fr-FR"/>
        </w:rPr>
      </w:pPr>
    </w:p>
    <w:p w:rsidR="00107369" w:rsidRPr="00107369" w:rsidRDefault="007C3787" w:rsidP="00107369">
      <w:pPr>
        <w:spacing w:after="0"/>
        <w:jc w:val="left"/>
        <w:rPr>
          <w:rFonts w:ascii="Times New Roman" w:hAnsi="Times New Roman"/>
          <w:sz w:val="24"/>
          <w:szCs w:val="22"/>
          <w:lang w:val="en-US" w:eastAsia="fr-FR"/>
        </w:rPr>
      </w:pPr>
      <w:r>
        <w:rPr>
          <w:rFonts w:ascii="Times New Roman" w:hAnsi="Times New Roman"/>
          <w:b/>
          <w:sz w:val="24"/>
          <w:szCs w:val="22"/>
          <w:lang w:val="en-US" w:eastAsia="fr-FR"/>
        </w:rPr>
        <w:t>Canada (</w:t>
      </w:r>
      <w:r w:rsidRPr="007C3787">
        <w:rPr>
          <w:rFonts w:ascii="Times New Roman" w:hAnsi="Times New Roman"/>
          <w:b/>
          <w:sz w:val="24"/>
          <w:szCs w:val="22"/>
          <w:lang w:val="en-US" w:eastAsia="fr-FR"/>
        </w:rPr>
        <w:t>Innovation, Science and Economic Development</w:t>
      </w:r>
      <w:r>
        <w:rPr>
          <w:rFonts w:ascii="Times New Roman" w:hAnsi="Times New Roman"/>
          <w:b/>
          <w:sz w:val="24"/>
          <w:szCs w:val="22"/>
          <w:lang w:val="en-US" w:eastAsia="fr-FR"/>
        </w:rPr>
        <w:t>, former Industry)</w:t>
      </w:r>
      <w:r w:rsidR="00107369" w:rsidRPr="00107369">
        <w:rPr>
          <w:rFonts w:ascii="Times New Roman" w:hAnsi="Times New Roman"/>
          <w:sz w:val="24"/>
          <w:szCs w:val="22"/>
          <w:lang w:val="en-US" w:eastAsia="fr-FR"/>
        </w:rPr>
        <w:t xml:space="preserve"> </w:t>
      </w:r>
      <w:r>
        <w:rPr>
          <w:rFonts w:ascii="Times New Roman" w:hAnsi="Times New Roman"/>
          <w:sz w:val="24"/>
          <w:szCs w:val="22"/>
          <w:lang w:val="en-US" w:eastAsia="fr-FR"/>
        </w:rPr>
        <w:t xml:space="preserve">also </w:t>
      </w:r>
      <w:r w:rsidR="00107369" w:rsidRPr="00107369">
        <w:rPr>
          <w:rFonts w:ascii="Times New Roman" w:hAnsi="Times New Roman"/>
          <w:sz w:val="24"/>
          <w:szCs w:val="22"/>
          <w:lang w:val="en-US" w:eastAsia="fr-FR"/>
        </w:rPr>
        <w:t xml:space="preserve">completed their specifications and rulings in the course of 2015 </w:t>
      </w:r>
      <w:proofErr w:type="spellStart"/>
      <w:r w:rsidR="00107369" w:rsidRPr="00107369">
        <w:rPr>
          <w:rFonts w:ascii="Times New Roman" w:hAnsi="Times New Roman"/>
          <w:sz w:val="24"/>
          <w:szCs w:val="22"/>
          <w:lang w:val="en-US" w:eastAsia="fr-FR"/>
        </w:rPr>
        <w:t>finalising</w:t>
      </w:r>
      <w:proofErr w:type="spellEnd"/>
      <w:r w:rsidR="00107369" w:rsidRPr="00107369">
        <w:rPr>
          <w:rFonts w:ascii="Times New Roman" w:hAnsi="Times New Roman"/>
          <w:sz w:val="24"/>
          <w:szCs w:val="22"/>
          <w:lang w:val="en-US" w:eastAsia="fr-FR"/>
        </w:rPr>
        <w:t xml:space="preserve"> RSS-210, RSS-222, and DBS-01.</w:t>
      </w:r>
    </w:p>
    <w:p w:rsidR="005A6382" w:rsidRDefault="005A6382" w:rsidP="006F6EC3">
      <w:pPr>
        <w:rPr>
          <w:lang w:val="en-US"/>
        </w:rPr>
      </w:pPr>
    </w:p>
    <w:p w:rsidR="006B670C" w:rsidRPr="006B670C" w:rsidRDefault="006B670C" w:rsidP="006F6EC3">
      <w:pPr>
        <w:rPr>
          <w:lang w:val="da-DK"/>
        </w:rPr>
      </w:pPr>
      <w:r w:rsidRPr="006B670C">
        <w:rPr>
          <w:lang w:val="da-DK"/>
        </w:rPr>
        <w:t>(relevant for SRD/MG, FM51)</w:t>
      </w:r>
    </w:p>
    <w:p w:rsidR="005A6382" w:rsidRPr="007C3787" w:rsidRDefault="007C3787" w:rsidP="007C3787">
      <w:pPr>
        <w:pStyle w:val="ListParagraph"/>
        <w:numPr>
          <w:ilvl w:val="0"/>
          <w:numId w:val="3"/>
        </w:numPr>
        <w:spacing w:after="0"/>
        <w:rPr>
          <w:b/>
          <w:sz w:val="28"/>
          <w:szCs w:val="28"/>
        </w:rPr>
      </w:pPr>
      <w:r w:rsidRPr="007C3787">
        <w:rPr>
          <w:b/>
          <w:sz w:val="28"/>
          <w:szCs w:val="28"/>
        </w:rPr>
        <w:t>Canada released new information on the Amateur Radio Service</w:t>
      </w:r>
    </w:p>
    <w:p w:rsidR="004020C5" w:rsidRDefault="007C3787" w:rsidP="006F6EC3">
      <w:r>
        <w:t>Canada released new i</w:t>
      </w:r>
      <w:r w:rsidRPr="007C3787">
        <w:t>nformation on the Amateur Radio Service</w:t>
      </w:r>
      <w:r>
        <w:t xml:space="preserve">, the so-called RIC-3. It references the </w:t>
      </w:r>
      <w:r w:rsidRPr="007C3787">
        <w:t>Recommendation T/R 61-01</w:t>
      </w:r>
      <w:r>
        <w:t xml:space="preserve"> in a way as proposed by the WGFM RAFG and not distinguishing anymore amongst CEPT members or including specific footnotes on technical details.</w:t>
      </w:r>
    </w:p>
    <w:bookmarkStart w:id="2" w:name="_MON_1517220315"/>
    <w:bookmarkEnd w:id="2"/>
    <w:p w:rsidR="004020C5" w:rsidRDefault="004020C5" w:rsidP="006F6EC3">
      <w:r>
        <w:object w:dxaOrig="1531" w:dyaOrig="1002">
          <v:shape id="_x0000_i1026" type="#_x0000_t75" style="width:76.75pt;height:50.25pt" o:ole="">
            <v:imagedata r:id="rId37" o:title=""/>
          </v:shape>
          <o:OLEObject Type="Embed" ProgID="Word.Document.12" ShapeID="_x0000_i1026" DrawAspect="Icon" ObjectID="_1517909452" r:id="rId38">
            <o:FieldCodes>\s</o:FieldCodes>
          </o:OLEObject>
        </w:object>
      </w:r>
    </w:p>
    <w:p w:rsidR="007C3787" w:rsidRDefault="007C3787" w:rsidP="006F6EC3">
      <w:r w:rsidRPr="007C3787">
        <w:t>New draft amended T/R 61-01 (incl</w:t>
      </w:r>
      <w:r>
        <w:t>udes</w:t>
      </w:r>
      <w:r w:rsidRPr="007C3787">
        <w:t xml:space="preserve"> Canada solution)</w:t>
      </w:r>
      <w:r>
        <w:t xml:space="preserve">, is in public consultation. Hence, </w:t>
      </w:r>
      <w:r w:rsidRPr="007C3787">
        <w:t xml:space="preserve">the issue of </w:t>
      </w:r>
      <w:r w:rsidR="003A112C">
        <w:t xml:space="preserve">mutual recognition of amateur licenses/ </w:t>
      </w:r>
      <w:r w:rsidRPr="007C3787">
        <w:t xml:space="preserve">equivalence with Canada </w:t>
      </w:r>
      <w:r>
        <w:t xml:space="preserve">is considered to </w:t>
      </w:r>
      <w:r w:rsidRPr="007C3787">
        <w:t xml:space="preserve">be solved </w:t>
      </w:r>
      <w:r>
        <w:t xml:space="preserve">on both sides. </w:t>
      </w:r>
    </w:p>
    <w:p w:rsidR="00ED2F9B" w:rsidRDefault="00ED2F9B" w:rsidP="006F6EC3">
      <w:r>
        <w:t>(</w:t>
      </w:r>
      <w:proofErr w:type="gramStart"/>
      <w:r>
        <w:t>relevant</w:t>
      </w:r>
      <w:proofErr w:type="gramEnd"/>
      <w:r>
        <w:t xml:space="preserve"> for WGFM RAFG)</w:t>
      </w:r>
    </w:p>
    <w:p w:rsidR="006F6EC3" w:rsidRDefault="006F6EC3" w:rsidP="009A0B66">
      <w:pPr>
        <w:spacing w:after="0"/>
        <w:rPr>
          <w:b/>
          <w:sz w:val="28"/>
          <w:szCs w:val="28"/>
          <w:lang w:val="en-US"/>
        </w:rPr>
      </w:pPr>
    </w:p>
    <w:p w:rsidR="007237B5" w:rsidRPr="003A112C" w:rsidRDefault="007237B5" w:rsidP="003A112C">
      <w:pPr>
        <w:pStyle w:val="ListParagraph"/>
        <w:numPr>
          <w:ilvl w:val="0"/>
          <w:numId w:val="3"/>
        </w:numPr>
        <w:spacing w:after="0"/>
        <w:rPr>
          <w:b/>
          <w:sz w:val="28"/>
          <w:szCs w:val="28"/>
        </w:rPr>
      </w:pPr>
      <w:r w:rsidRPr="003A112C">
        <w:rPr>
          <w:b/>
          <w:sz w:val="28"/>
          <w:szCs w:val="28"/>
        </w:rPr>
        <w:t>FCC Promotes Higher Frequency Spectrum for Future Wireless Technology</w:t>
      </w:r>
    </w:p>
    <w:p w:rsidR="006F0E43" w:rsidRDefault="006F0E43" w:rsidP="007237B5">
      <w:pPr>
        <w:spacing w:after="0"/>
        <w:rPr>
          <w:b/>
          <w:sz w:val="28"/>
          <w:szCs w:val="28"/>
          <w:lang w:val="en-US"/>
        </w:rPr>
      </w:pPr>
    </w:p>
    <w:p w:rsidR="007237B5" w:rsidRPr="006F0E43" w:rsidRDefault="007237B5" w:rsidP="006F0E43">
      <w:r w:rsidRPr="006F0E43">
        <w:t>FCC proposes new rules to make spectrum bands above 24 GHz availabl</w:t>
      </w:r>
      <w:r w:rsidR="006F0E43">
        <w:t xml:space="preserve">e for mobile and other services. </w:t>
      </w:r>
      <w:r w:rsidRPr="006F0E43">
        <w:t>Document Type: Notice of Proposed Rulemaking</w:t>
      </w:r>
      <w:r w:rsidR="006F0E43">
        <w:t xml:space="preserve">, </w:t>
      </w:r>
      <w:r w:rsidRPr="006F0E43">
        <w:t>23 October 2015, FCC-15-138</w:t>
      </w:r>
    </w:p>
    <w:p w:rsidR="007237B5" w:rsidRPr="006F0E43" w:rsidRDefault="00643CD3" w:rsidP="006F0E43">
      <w:hyperlink r:id="rId39" w:history="1">
        <w:r w:rsidR="006F0E43" w:rsidRPr="00217A3F">
          <w:rPr>
            <w:rStyle w:val="Hyperlink"/>
          </w:rPr>
          <w:t>https://www.fcc.gov/document/fcc-promotes-higher-frequency-spectrum-future-wireless-technology-0</w:t>
        </w:r>
      </w:hyperlink>
      <w:r w:rsidR="006F0E43">
        <w:t xml:space="preserve"> </w:t>
      </w:r>
    </w:p>
    <w:p w:rsidR="007237B5" w:rsidRDefault="007237B5" w:rsidP="007237B5">
      <w:pPr>
        <w:spacing w:after="0"/>
        <w:rPr>
          <w:b/>
          <w:sz w:val="28"/>
          <w:szCs w:val="28"/>
          <w:lang w:val="en-US"/>
        </w:rPr>
      </w:pPr>
    </w:p>
    <w:p w:rsidR="007237B5" w:rsidRPr="006F0E43" w:rsidRDefault="007237B5" w:rsidP="006F0E43">
      <w:r w:rsidRPr="006F0E43">
        <w:t xml:space="preserve">In this Notice of Proposed Rulemaking, </w:t>
      </w:r>
      <w:r w:rsidR="006F0E43">
        <w:t>the FCC</w:t>
      </w:r>
      <w:r w:rsidRPr="006F0E43">
        <w:t xml:space="preserve"> continue</w:t>
      </w:r>
      <w:r w:rsidR="006F0E43">
        <w:t xml:space="preserve">s an </w:t>
      </w:r>
      <w:r w:rsidRPr="006F0E43">
        <w:t xml:space="preserve">examination of higher frequency bands for mobile and other uses. In that regard, </w:t>
      </w:r>
      <w:r w:rsidR="006F0E43">
        <w:t xml:space="preserve">the FCC </w:t>
      </w:r>
      <w:r w:rsidRPr="006F0E43">
        <w:t>identif</w:t>
      </w:r>
      <w:r w:rsidR="006F0E43">
        <w:t>ies</w:t>
      </w:r>
      <w:r w:rsidRPr="006F0E43">
        <w:t xml:space="preserve"> specific spectrum bands </w:t>
      </w:r>
      <w:r w:rsidRPr="006F0E43">
        <w:rPr>
          <w:b/>
        </w:rPr>
        <w:t>above 24 GHz</w:t>
      </w:r>
      <w:r w:rsidRPr="006F0E43">
        <w:t xml:space="preserve"> that appear to be suitable for mobile service, and seek</w:t>
      </w:r>
      <w:r w:rsidR="006F0E43">
        <w:t>s</w:t>
      </w:r>
      <w:r w:rsidRPr="006F0E43">
        <w:t xml:space="preserve"> comment</w:t>
      </w:r>
      <w:r w:rsidR="006F0E43">
        <w:t>s</w:t>
      </w:r>
      <w:r w:rsidRPr="006F0E43">
        <w:t xml:space="preserve"> on proposed service rules that would authori</w:t>
      </w:r>
      <w:r w:rsidR="006F0E43">
        <w:t>s</w:t>
      </w:r>
      <w:r w:rsidRPr="006F0E43">
        <w:t xml:space="preserve">e mobile and other operations in those bands. This development of service rules for mobile use of the </w:t>
      </w:r>
      <w:proofErr w:type="spellStart"/>
      <w:r w:rsidRPr="006F0E43">
        <w:t>millimeter</w:t>
      </w:r>
      <w:proofErr w:type="spellEnd"/>
      <w:r w:rsidRPr="006F0E43">
        <w:t xml:space="preserve"> wave (</w:t>
      </w:r>
      <w:proofErr w:type="spellStart"/>
      <w:r w:rsidRPr="006F0E43">
        <w:t>mmW</w:t>
      </w:r>
      <w:proofErr w:type="spellEnd"/>
      <w:r w:rsidRPr="006F0E43">
        <w:t>) bands occurs in the context of efforts to develop a regulatory framework that will help facilitate so-called Fifth Generation (5G) mobile services.</w:t>
      </w:r>
    </w:p>
    <w:p w:rsidR="006F0E43" w:rsidRDefault="007237B5" w:rsidP="006F0E43">
      <w:pPr>
        <w:spacing w:after="0"/>
      </w:pPr>
      <w:r w:rsidRPr="006F0E43">
        <w:t xml:space="preserve">In developing service rules for the </w:t>
      </w:r>
      <w:proofErr w:type="spellStart"/>
      <w:r w:rsidRPr="006F0E43">
        <w:t>mmW</w:t>
      </w:r>
      <w:proofErr w:type="spellEnd"/>
      <w:r w:rsidRPr="006F0E43">
        <w:t xml:space="preserve"> bands, </w:t>
      </w:r>
      <w:r w:rsidR="006F0E43" w:rsidRPr="006F0E43">
        <w:t xml:space="preserve">the FCC </w:t>
      </w:r>
      <w:r w:rsidRPr="006F0E43">
        <w:t>aim</w:t>
      </w:r>
      <w:r w:rsidR="006F0E43" w:rsidRPr="006F0E43">
        <w:t>s</w:t>
      </w:r>
      <w:r w:rsidRPr="006F0E43">
        <w:t xml:space="preserve"> to facilitate access to spectrum, develop a flexible spectrum policy, and encourage wireless innovation.  In order to ensure wide </w:t>
      </w:r>
      <w:r w:rsidRPr="006F0E43">
        <w:lastRenderedPageBreak/>
        <w:t xml:space="preserve">access to spectrum, </w:t>
      </w:r>
      <w:r w:rsidR="006F0E43" w:rsidRPr="006F0E43">
        <w:t xml:space="preserve">the FCC </w:t>
      </w:r>
      <w:r w:rsidRPr="006F0E43">
        <w:t>propose</w:t>
      </w:r>
      <w:r w:rsidR="006F0E43" w:rsidRPr="006F0E43">
        <w:t>s</w:t>
      </w:r>
      <w:r w:rsidRPr="006F0E43">
        <w:t xml:space="preserve"> to use a variety of licensing mechanisms, including geographic area licenses, unlicensed operation under Part 15 rules, and authori</w:t>
      </w:r>
      <w:r w:rsidR="006F0E43" w:rsidRPr="006F0E43">
        <w:t>s</w:t>
      </w:r>
      <w:r w:rsidRPr="006F0E43">
        <w:t xml:space="preserve">ing indoor operating rights to property owners.  In developing technical rules, </w:t>
      </w:r>
      <w:r w:rsidR="006F0E43" w:rsidRPr="006F0E43">
        <w:t xml:space="preserve">the </w:t>
      </w:r>
      <w:r w:rsidRPr="006F0E43">
        <w:t xml:space="preserve">goal is to develop flexible rules that will accommodate a wide variety of current and future technologies.  Flexibility will also encourage innovation in the development of advanced wireless services using the </w:t>
      </w:r>
      <w:proofErr w:type="spellStart"/>
      <w:r w:rsidRPr="006F0E43">
        <w:t>mmW</w:t>
      </w:r>
      <w:proofErr w:type="spellEnd"/>
      <w:r w:rsidRPr="006F0E43">
        <w:t xml:space="preserve"> bands.</w:t>
      </w:r>
    </w:p>
    <w:p w:rsidR="006F0E43" w:rsidRPr="00ED2F9B" w:rsidRDefault="006F0E43" w:rsidP="006F0E43">
      <w:pPr>
        <w:spacing w:after="0"/>
      </w:pPr>
      <w:r w:rsidRPr="00ED2F9B">
        <w:t>B</w:t>
      </w:r>
      <w:r w:rsidR="007237B5" w:rsidRPr="00ED2F9B">
        <w:t>ands Proposed for Mobile Use</w:t>
      </w:r>
      <w:r w:rsidRPr="00ED2F9B">
        <w:t>:</w:t>
      </w:r>
    </w:p>
    <w:p w:rsidR="006F0E43" w:rsidRDefault="006F0E43" w:rsidP="006F0E43">
      <w:pPr>
        <w:spacing w:after="0"/>
        <w:rPr>
          <w:rFonts w:ascii="Times New Roman" w:hAnsi="Times New Roman"/>
          <w:noProof/>
          <w:kern w:val="28"/>
          <w:lang w:val="en-US" w:eastAsia="en-US"/>
        </w:rPr>
      </w:pPr>
    </w:p>
    <w:p w:rsidR="007237B5" w:rsidRPr="006F0E43" w:rsidRDefault="007237B5" w:rsidP="006F0E43">
      <w:pPr>
        <w:widowControl w:val="0"/>
        <w:numPr>
          <w:ilvl w:val="0"/>
          <w:numId w:val="11"/>
        </w:numPr>
        <w:snapToGrid w:val="0"/>
        <w:ind w:left="1440" w:hanging="720"/>
        <w:contextualSpacing/>
        <w:jc w:val="left"/>
        <w:rPr>
          <w:rFonts w:cs="Arial"/>
          <w:kern w:val="28"/>
          <w:lang w:val="en-US" w:eastAsia="en-US"/>
        </w:rPr>
      </w:pPr>
      <w:r w:rsidRPr="006F0E43">
        <w:rPr>
          <w:rFonts w:cs="Arial"/>
          <w:kern w:val="28"/>
          <w:u w:val="single"/>
          <w:lang w:val="en-US" w:eastAsia="en-US"/>
        </w:rPr>
        <w:t xml:space="preserve">28 GHz and 39 GHz bands:  </w:t>
      </w:r>
      <w:r w:rsidRPr="006F0E43">
        <w:rPr>
          <w:rFonts w:cs="Arial"/>
          <w:kern w:val="28"/>
          <w:lang w:val="en-US" w:eastAsia="en-US"/>
        </w:rPr>
        <w:t>propos</w:t>
      </w:r>
      <w:r w:rsidR="006F0E43">
        <w:rPr>
          <w:rFonts w:cs="Arial"/>
          <w:kern w:val="28"/>
          <w:lang w:val="en-US" w:eastAsia="en-US"/>
        </w:rPr>
        <w:t>al</w:t>
      </w:r>
      <w:r w:rsidRPr="006F0E43">
        <w:rPr>
          <w:rFonts w:cs="Arial"/>
          <w:kern w:val="28"/>
          <w:lang w:val="en-US" w:eastAsia="en-US"/>
        </w:rPr>
        <w:t xml:space="preserve"> to </w:t>
      </w:r>
      <w:proofErr w:type="spellStart"/>
      <w:r w:rsidRPr="006F0E43">
        <w:rPr>
          <w:rFonts w:cs="Arial"/>
          <w:kern w:val="28"/>
          <w:lang w:val="en-US" w:eastAsia="en-US"/>
        </w:rPr>
        <w:t>authori</w:t>
      </w:r>
      <w:r w:rsidR="006F0E43">
        <w:rPr>
          <w:rFonts w:cs="Arial"/>
          <w:kern w:val="28"/>
          <w:lang w:val="en-US" w:eastAsia="en-US"/>
        </w:rPr>
        <w:t>s</w:t>
      </w:r>
      <w:r w:rsidRPr="006F0E43">
        <w:rPr>
          <w:rFonts w:cs="Arial"/>
          <w:kern w:val="28"/>
          <w:lang w:val="en-US" w:eastAsia="en-US"/>
        </w:rPr>
        <w:t>e</w:t>
      </w:r>
      <w:proofErr w:type="spellEnd"/>
      <w:r w:rsidRPr="006F0E43">
        <w:rPr>
          <w:rFonts w:cs="Arial"/>
          <w:kern w:val="28"/>
          <w:lang w:val="en-US" w:eastAsia="en-US"/>
        </w:rPr>
        <w:t xml:space="preserve"> mobile operations in the 27.5-28.35 GHz band (28 GHz band) and the 38.6-40 GHz band (39 GHz band) with county-sized geographic </w:t>
      </w:r>
      <w:r w:rsidRPr="006F0E43">
        <w:rPr>
          <w:rFonts w:cs="Arial"/>
          <w:b/>
          <w:kern w:val="28"/>
          <w:lang w:val="en-US" w:eastAsia="en-US"/>
        </w:rPr>
        <w:t>area licenses</w:t>
      </w:r>
      <w:r w:rsidRPr="006F0E43">
        <w:rPr>
          <w:rFonts w:cs="Arial"/>
          <w:kern w:val="28"/>
          <w:lang w:val="en-US" w:eastAsia="en-US"/>
        </w:rPr>
        <w:t xml:space="preserve">. These bands could be suitable for deployment of high-capacity, high-throughput small cells as part of mobile broadband deployments. At the same time, </w:t>
      </w:r>
      <w:r w:rsidR="006F0E43">
        <w:rPr>
          <w:rFonts w:cs="Arial"/>
          <w:kern w:val="28"/>
          <w:lang w:val="en-US" w:eastAsia="en-US"/>
        </w:rPr>
        <w:t>the FCC</w:t>
      </w:r>
      <w:r w:rsidR="00ED2F9B">
        <w:rPr>
          <w:rFonts w:cs="Arial"/>
          <w:kern w:val="28"/>
          <w:lang w:val="en-US" w:eastAsia="en-US"/>
        </w:rPr>
        <w:t xml:space="preserve"> </w:t>
      </w:r>
      <w:r w:rsidRPr="006F0E43">
        <w:rPr>
          <w:rFonts w:cs="Arial"/>
          <w:kern w:val="28"/>
          <w:lang w:val="en-US" w:eastAsia="en-US"/>
        </w:rPr>
        <w:t>propose</w:t>
      </w:r>
      <w:r w:rsidR="006F0E43">
        <w:rPr>
          <w:rFonts w:cs="Arial"/>
          <w:kern w:val="28"/>
          <w:lang w:val="en-US" w:eastAsia="en-US"/>
        </w:rPr>
        <w:t>s</w:t>
      </w:r>
      <w:r w:rsidRPr="006F0E43">
        <w:rPr>
          <w:rFonts w:cs="Arial"/>
          <w:kern w:val="28"/>
          <w:lang w:val="en-US" w:eastAsia="en-US"/>
        </w:rPr>
        <w:t xml:space="preserve"> rules that would provide licensees with the flexibility to conduct fixed and/or mobile operations</w:t>
      </w:r>
      <w:r w:rsidR="006F0E43">
        <w:rPr>
          <w:rFonts w:cs="Arial"/>
          <w:kern w:val="28"/>
          <w:lang w:val="en-US" w:eastAsia="en-US"/>
        </w:rPr>
        <w:t>;</w:t>
      </w:r>
    </w:p>
    <w:p w:rsidR="007237B5" w:rsidRPr="006F0E43" w:rsidRDefault="007237B5" w:rsidP="007237B5">
      <w:pPr>
        <w:widowControl w:val="0"/>
        <w:numPr>
          <w:ilvl w:val="0"/>
          <w:numId w:val="11"/>
        </w:numPr>
        <w:snapToGrid w:val="0"/>
        <w:ind w:left="1440" w:hanging="720"/>
        <w:contextualSpacing/>
        <w:jc w:val="left"/>
        <w:rPr>
          <w:rFonts w:cs="Arial"/>
          <w:kern w:val="28"/>
          <w:lang w:val="en-US" w:eastAsia="en-US"/>
        </w:rPr>
      </w:pPr>
      <w:r w:rsidRPr="006F0E43">
        <w:rPr>
          <w:rFonts w:cs="Arial"/>
          <w:kern w:val="28"/>
          <w:u w:val="single"/>
          <w:lang w:val="en-US" w:eastAsia="en-US"/>
        </w:rPr>
        <w:t xml:space="preserve">64-71 GHz band:  </w:t>
      </w:r>
      <w:r w:rsidR="006F0E43" w:rsidRPr="006F0E43">
        <w:rPr>
          <w:rFonts w:cs="Arial"/>
          <w:kern w:val="28"/>
          <w:lang w:val="en-US" w:eastAsia="en-US"/>
        </w:rPr>
        <w:t xml:space="preserve">proposal </w:t>
      </w:r>
      <w:r w:rsidRPr="006F0E43">
        <w:rPr>
          <w:rFonts w:cs="Arial"/>
          <w:kern w:val="28"/>
          <w:lang w:val="en-US" w:eastAsia="en-US"/>
        </w:rPr>
        <w:t xml:space="preserve">to </w:t>
      </w:r>
      <w:proofErr w:type="spellStart"/>
      <w:r w:rsidRPr="006F0E43">
        <w:rPr>
          <w:rFonts w:cs="Arial"/>
          <w:kern w:val="28"/>
          <w:lang w:val="en-US" w:eastAsia="en-US"/>
        </w:rPr>
        <w:t>authori</w:t>
      </w:r>
      <w:r w:rsidR="006F0E43" w:rsidRPr="006F0E43">
        <w:rPr>
          <w:rFonts w:cs="Arial"/>
          <w:kern w:val="28"/>
          <w:lang w:val="en-US" w:eastAsia="en-US"/>
        </w:rPr>
        <w:t>s</w:t>
      </w:r>
      <w:r w:rsidRPr="006F0E43">
        <w:rPr>
          <w:rFonts w:cs="Arial"/>
          <w:kern w:val="28"/>
          <w:lang w:val="en-US" w:eastAsia="en-US"/>
        </w:rPr>
        <w:t>e</w:t>
      </w:r>
      <w:proofErr w:type="spellEnd"/>
      <w:r w:rsidRPr="006F0E43">
        <w:rPr>
          <w:rFonts w:cs="Arial"/>
          <w:kern w:val="28"/>
          <w:lang w:val="en-US" w:eastAsia="en-US"/>
        </w:rPr>
        <w:t xml:space="preserve"> operations in the 64-71 GHz band </w:t>
      </w:r>
      <w:r w:rsidR="006F0E43">
        <w:rPr>
          <w:rFonts w:cs="Arial"/>
          <w:kern w:val="28"/>
          <w:lang w:val="en-US" w:eastAsia="en-US"/>
        </w:rPr>
        <w:t>(</w:t>
      </w:r>
      <w:r w:rsidR="006F0E43" w:rsidRPr="006F0E43">
        <w:rPr>
          <w:rFonts w:cs="Arial"/>
          <w:b/>
          <w:kern w:val="28"/>
          <w:lang w:val="en-US" w:eastAsia="en-US"/>
        </w:rPr>
        <w:t>extension above 64 GHz</w:t>
      </w:r>
      <w:r w:rsidR="006F0E43">
        <w:rPr>
          <w:rFonts w:cs="Arial"/>
          <w:kern w:val="28"/>
          <w:lang w:val="en-US" w:eastAsia="en-US"/>
        </w:rPr>
        <w:t xml:space="preserve">) </w:t>
      </w:r>
      <w:r w:rsidRPr="006F0E43">
        <w:rPr>
          <w:rFonts w:cs="Arial"/>
          <w:kern w:val="28"/>
          <w:lang w:val="en-US" w:eastAsia="en-US"/>
        </w:rPr>
        <w:t>under Part 15 of our rules based on the rules recently adopted for the adjacent 57-64 GHz band. This action will provide more spectrum for unlicensed uses such as Wi-Fi-like “</w:t>
      </w:r>
      <w:proofErr w:type="spellStart"/>
      <w:r w:rsidRPr="006F0E43">
        <w:rPr>
          <w:rFonts w:cs="Arial"/>
          <w:kern w:val="28"/>
          <w:lang w:val="en-US" w:eastAsia="en-US"/>
        </w:rPr>
        <w:t>WiGig</w:t>
      </w:r>
      <w:proofErr w:type="spellEnd"/>
      <w:r w:rsidRPr="006F0E43">
        <w:rPr>
          <w:rFonts w:cs="Arial"/>
          <w:kern w:val="28"/>
          <w:lang w:val="en-US" w:eastAsia="en-US"/>
        </w:rPr>
        <w:t>” operations</w:t>
      </w:r>
      <w:r w:rsidR="006F0E43">
        <w:rPr>
          <w:rFonts w:cs="Arial"/>
          <w:kern w:val="28"/>
          <w:lang w:val="en-US" w:eastAsia="en-US"/>
        </w:rPr>
        <w:t>;</w:t>
      </w:r>
    </w:p>
    <w:p w:rsidR="007237B5" w:rsidRPr="006F0E43" w:rsidRDefault="007237B5" w:rsidP="007237B5">
      <w:pPr>
        <w:widowControl w:val="0"/>
        <w:numPr>
          <w:ilvl w:val="0"/>
          <w:numId w:val="11"/>
        </w:numPr>
        <w:snapToGrid w:val="0"/>
        <w:ind w:left="1440" w:hanging="720"/>
        <w:contextualSpacing/>
        <w:jc w:val="left"/>
        <w:rPr>
          <w:rFonts w:cs="Arial"/>
          <w:kern w:val="28"/>
          <w:lang w:val="en-US" w:eastAsia="en-US"/>
        </w:rPr>
      </w:pPr>
      <w:r w:rsidRPr="006F0E43">
        <w:rPr>
          <w:rFonts w:cs="Arial"/>
          <w:kern w:val="28"/>
          <w:u w:val="single"/>
          <w:lang w:val="en-US" w:eastAsia="en-US"/>
        </w:rPr>
        <w:t>37 GHz band:</w:t>
      </w:r>
      <w:r w:rsidRPr="006F0E43">
        <w:rPr>
          <w:rFonts w:cs="Arial"/>
          <w:kern w:val="28"/>
          <w:lang w:val="en-US" w:eastAsia="en-US"/>
        </w:rPr>
        <w:t xml:space="preserve">  In the 37-38.6 GHz band (37 GHz band), propos</w:t>
      </w:r>
      <w:r w:rsidR="006F0E43">
        <w:rPr>
          <w:rFonts w:cs="Arial"/>
          <w:kern w:val="28"/>
          <w:lang w:val="en-US" w:eastAsia="en-US"/>
        </w:rPr>
        <w:t xml:space="preserve">al for </w:t>
      </w:r>
      <w:r w:rsidRPr="006F0E43">
        <w:rPr>
          <w:rFonts w:cs="Arial"/>
          <w:kern w:val="28"/>
          <w:lang w:val="en-US" w:eastAsia="en-US"/>
        </w:rPr>
        <w:t>a hybrid licensing scheme that would grant operating rights by rule to property owners, while establishing geographic area licenses based on counties for outdoor use.  This licensing mechanism would facilitate the deployment of advanced enterprise and industrial applications not suited to unlicensed spectrum or public network services, while also providing additional spectrum for more traditional cellular deployments</w:t>
      </w:r>
      <w:r w:rsidR="00ED2F9B">
        <w:rPr>
          <w:rFonts w:cs="Arial"/>
          <w:kern w:val="28"/>
          <w:lang w:val="en-US" w:eastAsia="en-US"/>
        </w:rPr>
        <w:t>;</w:t>
      </w:r>
    </w:p>
    <w:p w:rsidR="007237B5" w:rsidRPr="006F0E43" w:rsidRDefault="007237B5" w:rsidP="007237B5">
      <w:pPr>
        <w:widowControl w:val="0"/>
        <w:numPr>
          <w:ilvl w:val="0"/>
          <w:numId w:val="11"/>
        </w:numPr>
        <w:snapToGrid w:val="0"/>
        <w:ind w:left="1440" w:hanging="720"/>
        <w:contextualSpacing/>
        <w:jc w:val="left"/>
        <w:rPr>
          <w:rFonts w:cs="Arial"/>
          <w:kern w:val="28"/>
          <w:lang w:val="en-US" w:eastAsia="en-US"/>
        </w:rPr>
      </w:pPr>
      <w:r w:rsidRPr="006F0E43">
        <w:rPr>
          <w:rFonts w:cs="Arial"/>
          <w:kern w:val="28"/>
          <w:u w:val="single"/>
          <w:lang w:val="en-US" w:eastAsia="en-US"/>
        </w:rPr>
        <w:t>Other Rules</w:t>
      </w:r>
    </w:p>
    <w:p w:rsidR="007237B5" w:rsidRPr="006F0E43" w:rsidRDefault="006F0E43" w:rsidP="007237B5">
      <w:pPr>
        <w:widowControl w:val="0"/>
        <w:numPr>
          <w:ilvl w:val="0"/>
          <w:numId w:val="12"/>
        </w:numPr>
        <w:snapToGrid w:val="0"/>
        <w:ind w:left="1440"/>
        <w:contextualSpacing/>
        <w:jc w:val="left"/>
        <w:rPr>
          <w:rFonts w:cs="Arial"/>
          <w:kern w:val="28"/>
          <w:lang w:val="en-US" w:eastAsia="en-US"/>
        </w:rPr>
      </w:pPr>
      <w:r>
        <w:rPr>
          <w:rFonts w:cs="Arial"/>
          <w:kern w:val="28"/>
          <w:lang w:val="en-US" w:eastAsia="en-US"/>
        </w:rPr>
        <w:t>P</w:t>
      </w:r>
      <w:r w:rsidR="007237B5" w:rsidRPr="006F0E43">
        <w:rPr>
          <w:rFonts w:cs="Arial"/>
          <w:kern w:val="28"/>
          <w:lang w:val="en-US" w:eastAsia="en-US"/>
        </w:rPr>
        <w:t>ropos</w:t>
      </w:r>
      <w:r>
        <w:rPr>
          <w:rFonts w:cs="Arial"/>
          <w:kern w:val="28"/>
          <w:lang w:val="en-US" w:eastAsia="en-US"/>
        </w:rPr>
        <w:t>al</w:t>
      </w:r>
      <w:r w:rsidR="007237B5" w:rsidRPr="006F0E43">
        <w:rPr>
          <w:rFonts w:cs="Arial"/>
          <w:kern w:val="28"/>
          <w:lang w:val="en-US" w:eastAsia="en-US"/>
        </w:rPr>
        <w:t xml:space="preserve"> to grant mobile operating rights to existing fixed Local Multipoint Distribution Service (LMDS) and 39 GHz band licensees, and seek comment on </w:t>
      </w:r>
      <w:proofErr w:type="spellStart"/>
      <w:r w:rsidR="007237B5" w:rsidRPr="006F0E43">
        <w:rPr>
          <w:rFonts w:cs="Arial"/>
          <w:kern w:val="28"/>
          <w:lang w:val="en-US" w:eastAsia="en-US"/>
        </w:rPr>
        <w:t>utili</w:t>
      </w:r>
      <w:r>
        <w:rPr>
          <w:rFonts w:cs="Arial"/>
          <w:kern w:val="28"/>
          <w:lang w:val="en-US" w:eastAsia="en-US"/>
        </w:rPr>
        <w:t>s</w:t>
      </w:r>
      <w:r w:rsidR="007237B5" w:rsidRPr="006F0E43">
        <w:rPr>
          <w:rFonts w:cs="Arial"/>
          <w:kern w:val="28"/>
          <w:lang w:val="en-US" w:eastAsia="en-US"/>
        </w:rPr>
        <w:t>ing</w:t>
      </w:r>
      <w:proofErr w:type="spellEnd"/>
      <w:r w:rsidR="007237B5" w:rsidRPr="006F0E43">
        <w:rPr>
          <w:rFonts w:cs="Arial"/>
          <w:kern w:val="28"/>
          <w:lang w:val="en-US" w:eastAsia="en-US"/>
        </w:rPr>
        <w:t xml:space="preserve"> an overlay auction as an alternative</w:t>
      </w:r>
      <w:r w:rsidR="00ED2F9B">
        <w:rPr>
          <w:rFonts w:cs="Arial"/>
          <w:kern w:val="28"/>
          <w:lang w:val="en-US" w:eastAsia="en-US"/>
        </w:rPr>
        <w:t>;</w:t>
      </w:r>
    </w:p>
    <w:p w:rsidR="007237B5" w:rsidRPr="006F0E43" w:rsidRDefault="006F0E43" w:rsidP="007237B5">
      <w:pPr>
        <w:numPr>
          <w:ilvl w:val="0"/>
          <w:numId w:val="12"/>
        </w:numPr>
        <w:snapToGrid w:val="0"/>
        <w:ind w:left="1440"/>
        <w:contextualSpacing/>
        <w:jc w:val="left"/>
        <w:rPr>
          <w:rFonts w:cs="Arial"/>
          <w:kern w:val="28"/>
          <w:lang w:val="en-US" w:eastAsia="en-US"/>
        </w:rPr>
      </w:pPr>
      <w:r>
        <w:rPr>
          <w:rFonts w:cs="Arial"/>
          <w:kern w:val="28"/>
          <w:lang w:val="en-US" w:eastAsia="en-US"/>
        </w:rPr>
        <w:t>Proposal</w:t>
      </w:r>
      <w:r w:rsidR="007237B5" w:rsidRPr="006F0E43">
        <w:rPr>
          <w:rFonts w:cs="Arial"/>
          <w:kern w:val="28"/>
          <w:lang w:val="en-US" w:eastAsia="en-US"/>
        </w:rPr>
        <w:t xml:space="preserve"> to consider market-based rules that could facilitate greater satellite use of the 28 GHz, 37 GHz, and 39 GHz bands without unduly limiting terrestrial use of those bands</w:t>
      </w:r>
      <w:r w:rsidR="00ED2F9B">
        <w:rPr>
          <w:rFonts w:cs="Arial"/>
          <w:kern w:val="28"/>
          <w:lang w:val="en-US" w:eastAsia="en-US"/>
        </w:rPr>
        <w:t>;</w:t>
      </w:r>
    </w:p>
    <w:p w:rsidR="007237B5" w:rsidRPr="006F0E43" w:rsidRDefault="006F0E43" w:rsidP="007237B5">
      <w:pPr>
        <w:widowControl w:val="0"/>
        <w:numPr>
          <w:ilvl w:val="0"/>
          <w:numId w:val="12"/>
        </w:numPr>
        <w:snapToGrid w:val="0"/>
        <w:ind w:left="1440"/>
        <w:contextualSpacing/>
        <w:jc w:val="left"/>
        <w:rPr>
          <w:rFonts w:cs="Arial"/>
          <w:kern w:val="28"/>
          <w:lang w:val="en-US" w:eastAsia="en-US"/>
        </w:rPr>
      </w:pPr>
      <w:r>
        <w:rPr>
          <w:rFonts w:cs="Arial"/>
          <w:kern w:val="28"/>
          <w:lang w:val="en-US" w:eastAsia="en-US"/>
        </w:rPr>
        <w:t xml:space="preserve">The FCC </w:t>
      </w:r>
      <w:r w:rsidR="007237B5" w:rsidRPr="006F0E43">
        <w:rPr>
          <w:rFonts w:cs="Arial"/>
          <w:kern w:val="28"/>
          <w:lang w:val="en-US" w:eastAsia="en-US"/>
        </w:rPr>
        <w:t>seek</w:t>
      </w:r>
      <w:r>
        <w:rPr>
          <w:rFonts w:cs="Arial"/>
          <w:kern w:val="28"/>
          <w:lang w:val="en-US" w:eastAsia="en-US"/>
        </w:rPr>
        <w:t>s</w:t>
      </w:r>
      <w:r w:rsidR="007237B5" w:rsidRPr="006F0E43">
        <w:rPr>
          <w:rFonts w:cs="Arial"/>
          <w:kern w:val="28"/>
          <w:lang w:val="en-US" w:eastAsia="en-US"/>
        </w:rPr>
        <w:t xml:space="preserve"> comment</w:t>
      </w:r>
      <w:r>
        <w:rPr>
          <w:rFonts w:cs="Arial"/>
          <w:kern w:val="28"/>
          <w:lang w:val="en-US" w:eastAsia="en-US"/>
        </w:rPr>
        <w:t>s</w:t>
      </w:r>
      <w:r w:rsidR="007237B5" w:rsidRPr="006F0E43">
        <w:rPr>
          <w:rFonts w:cs="Arial"/>
          <w:kern w:val="28"/>
          <w:lang w:val="en-US" w:eastAsia="en-US"/>
        </w:rPr>
        <w:t xml:space="preserve"> on potential licensing approaches for the 28 GHz, 37 GHz, and 39 GHz bands.  In particular</w:t>
      </w:r>
      <w:r>
        <w:rPr>
          <w:rFonts w:cs="Arial"/>
          <w:kern w:val="28"/>
          <w:lang w:val="en-US" w:eastAsia="en-US"/>
        </w:rPr>
        <w:t>,</w:t>
      </w:r>
      <w:r w:rsidR="007237B5" w:rsidRPr="006F0E43">
        <w:rPr>
          <w:rFonts w:cs="Arial"/>
          <w:kern w:val="28"/>
          <w:lang w:val="en-US" w:eastAsia="en-US"/>
        </w:rPr>
        <w:t xml:space="preserve"> comment</w:t>
      </w:r>
      <w:r>
        <w:rPr>
          <w:rFonts w:cs="Arial"/>
          <w:kern w:val="28"/>
          <w:lang w:val="en-US" w:eastAsia="en-US"/>
        </w:rPr>
        <w:t>s</w:t>
      </w:r>
      <w:r w:rsidR="007237B5" w:rsidRPr="006F0E43">
        <w:rPr>
          <w:rFonts w:cs="Arial"/>
          <w:kern w:val="28"/>
          <w:lang w:val="en-US" w:eastAsia="en-US"/>
        </w:rPr>
        <w:t xml:space="preserve"> on revising the performance requirements applicable to those bands</w:t>
      </w:r>
      <w:r w:rsidR="00ED2F9B">
        <w:rPr>
          <w:rFonts w:cs="Arial"/>
          <w:kern w:val="28"/>
          <w:lang w:val="en-US" w:eastAsia="en-US"/>
        </w:rPr>
        <w:t>;</w:t>
      </w:r>
    </w:p>
    <w:p w:rsidR="007237B5" w:rsidRPr="006F0E43" w:rsidRDefault="006F0E43" w:rsidP="007237B5">
      <w:pPr>
        <w:widowControl w:val="0"/>
        <w:numPr>
          <w:ilvl w:val="0"/>
          <w:numId w:val="12"/>
        </w:numPr>
        <w:snapToGrid w:val="0"/>
        <w:ind w:left="1440"/>
        <w:contextualSpacing/>
        <w:jc w:val="left"/>
        <w:rPr>
          <w:rFonts w:cs="Arial"/>
          <w:kern w:val="28"/>
          <w:lang w:val="en-US" w:eastAsia="en-US"/>
        </w:rPr>
      </w:pPr>
      <w:r>
        <w:rPr>
          <w:rFonts w:cs="Arial"/>
          <w:kern w:val="28"/>
          <w:lang w:val="en-US" w:eastAsia="en-US"/>
        </w:rPr>
        <w:t xml:space="preserve">The FCC </w:t>
      </w:r>
      <w:r w:rsidR="007237B5" w:rsidRPr="006F0E43">
        <w:rPr>
          <w:rFonts w:cs="Arial"/>
          <w:kern w:val="28"/>
          <w:lang w:val="en-US" w:eastAsia="en-US"/>
        </w:rPr>
        <w:t>seek</w:t>
      </w:r>
      <w:r>
        <w:rPr>
          <w:rFonts w:cs="Arial"/>
          <w:kern w:val="28"/>
          <w:lang w:val="en-US" w:eastAsia="en-US"/>
        </w:rPr>
        <w:t>s</w:t>
      </w:r>
      <w:r w:rsidR="007237B5" w:rsidRPr="006F0E43">
        <w:rPr>
          <w:rFonts w:cs="Arial"/>
          <w:kern w:val="28"/>
          <w:lang w:val="en-US" w:eastAsia="en-US"/>
        </w:rPr>
        <w:t xml:space="preserve"> comment</w:t>
      </w:r>
      <w:r>
        <w:rPr>
          <w:rFonts w:cs="Arial"/>
          <w:kern w:val="28"/>
          <w:lang w:val="en-US" w:eastAsia="en-US"/>
        </w:rPr>
        <w:t>s</w:t>
      </w:r>
      <w:r w:rsidR="007237B5" w:rsidRPr="006F0E43">
        <w:rPr>
          <w:rFonts w:cs="Arial"/>
          <w:kern w:val="28"/>
          <w:lang w:val="en-US" w:eastAsia="en-US"/>
        </w:rPr>
        <w:t xml:space="preserve"> on technical rules needed to facilitate licensed operation and mitigation methods to ensure protection of incumbent operations in the 28 GHz, 37 GHz, and 39 GHz bands</w:t>
      </w:r>
      <w:r w:rsidR="00ED2F9B">
        <w:rPr>
          <w:rFonts w:cs="Arial"/>
          <w:kern w:val="28"/>
          <w:lang w:val="en-US" w:eastAsia="en-US"/>
        </w:rPr>
        <w:t>;</w:t>
      </w:r>
    </w:p>
    <w:p w:rsidR="007237B5" w:rsidRPr="006F0E43" w:rsidRDefault="006F0E43" w:rsidP="007237B5">
      <w:pPr>
        <w:widowControl w:val="0"/>
        <w:numPr>
          <w:ilvl w:val="0"/>
          <w:numId w:val="12"/>
        </w:numPr>
        <w:snapToGrid w:val="0"/>
        <w:ind w:left="1440"/>
        <w:contextualSpacing/>
        <w:jc w:val="left"/>
        <w:rPr>
          <w:rFonts w:cs="Arial"/>
          <w:kern w:val="28"/>
          <w:lang w:val="en-US" w:eastAsia="en-US"/>
        </w:rPr>
      </w:pPr>
      <w:r>
        <w:rPr>
          <w:rFonts w:cs="Arial"/>
          <w:kern w:val="28"/>
          <w:lang w:val="en-US" w:eastAsia="en-US"/>
        </w:rPr>
        <w:t xml:space="preserve">The FCC </w:t>
      </w:r>
      <w:r w:rsidR="007237B5" w:rsidRPr="006F0E43">
        <w:rPr>
          <w:rFonts w:cs="Arial"/>
          <w:kern w:val="28"/>
          <w:lang w:val="en-US" w:eastAsia="en-US"/>
        </w:rPr>
        <w:t>require</w:t>
      </w:r>
      <w:r>
        <w:rPr>
          <w:rFonts w:cs="Arial"/>
          <w:kern w:val="28"/>
          <w:lang w:val="en-US" w:eastAsia="en-US"/>
        </w:rPr>
        <w:t>s</w:t>
      </w:r>
      <w:r w:rsidR="007237B5" w:rsidRPr="006F0E43">
        <w:rPr>
          <w:rFonts w:cs="Arial"/>
          <w:kern w:val="28"/>
          <w:lang w:val="en-US" w:eastAsia="en-US"/>
        </w:rPr>
        <w:t xml:space="preserve"> mobile licensees to protect incumbent Federal operations, consistent with the Federal allocations in these bands.  </w:t>
      </w:r>
      <w:r>
        <w:rPr>
          <w:rFonts w:cs="Arial"/>
          <w:kern w:val="28"/>
          <w:lang w:val="en-US" w:eastAsia="en-US"/>
        </w:rPr>
        <w:t xml:space="preserve">A </w:t>
      </w:r>
      <w:r w:rsidR="007237B5" w:rsidRPr="006F0E43">
        <w:rPr>
          <w:rFonts w:cs="Arial"/>
          <w:kern w:val="28"/>
          <w:lang w:val="en-US" w:eastAsia="en-US"/>
        </w:rPr>
        <w:t>detailed analysis on ensuring compatibility between Federal uses and new mobile use of these bands</w:t>
      </w:r>
      <w:r>
        <w:rPr>
          <w:rFonts w:cs="Arial"/>
          <w:kern w:val="28"/>
          <w:lang w:val="en-US" w:eastAsia="en-US"/>
        </w:rPr>
        <w:t xml:space="preserve"> will be conducted</w:t>
      </w:r>
      <w:r w:rsidR="007237B5" w:rsidRPr="006F0E43">
        <w:rPr>
          <w:rFonts w:cs="Arial"/>
          <w:kern w:val="28"/>
          <w:lang w:val="en-US" w:eastAsia="en-US"/>
        </w:rPr>
        <w:t>, including on any rules that would be necessary to facilitate coexistence with Federal systems</w:t>
      </w:r>
      <w:r w:rsidR="00ED2F9B">
        <w:rPr>
          <w:rFonts w:cs="Arial"/>
          <w:kern w:val="28"/>
          <w:lang w:val="en-US" w:eastAsia="en-US"/>
        </w:rPr>
        <w:t>;</w:t>
      </w:r>
      <w:r w:rsidR="007237B5" w:rsidRPr="006F0E43">
        <w:rPr>
          <w:rFonts w:cs="Arial"/>
          <w:kern w:val="28"/>
          <w:lang w:val="en-US" w:eastAsia="en-US"/>
        </w:rPr>
        <w:t xml:space="preserve"> </w:t>
      </w:r>
    </w:p>
    <w:p w:rsidR="007237B5" w:rsidRPr="006F0E43" w:rsidRDefault="00ED2F9B" w:rsidP="007237B5">
      <w:pPr>
        <w:widowControl w:val="0"/>
        <w:numPr>
          <w:ilvl w:val="0"/>
          <w:numId w:val="12"/>
        </w:numPr>
        <w:snapToGrid w:val="0"/>
        <w:ind w:left="1440"/>
        <w:contextualSpacing/>
        <w:jc w:val="left"/>
        <w:rPr>
          <w:rFonts w:cs="Arial"/>
          <w:kern w:val="28"/>
          <w:lang w:val="en-US" w:eastAsia="en-US"/>
        </w:rPr>
      </w:pPr>
      <w:r>
        <w:rPr>
          <w:rFonts w:cs="Arial"/>
          <w:kern w:val="28"/>
          <w:lang w:val="en-US" w:eastAsia="en-US"/>
        </w:rPr>
        <w:t xml:space="preserve">The FCC </w:t>
      </w:r>
      <w:r w:rsidR="007237B5" w:rsidRPr="006F0E43">
        <w:rPr>
          <w:rFonts w:cs="Arial"/>
          <w:kern w:val="28"/>
          <w:lang w:val="en-US" w:eastAsia="en-US"/>
        </w:rPr>
        <w:t>seek</w:t>
      </w:r>
      <w:r>
        <w:rPr>
          <w:rFonts w:cs="Arial"/>
          <w:kern w:val="28"/>
          <w:lang w:val="en-US" w:eastAsia="en-US"/>
        </w:rPr>
        <w:t>s</w:t>
      </w:r>
      <w:r w:rsidR="007237B5" w:rsidRPr="006F0E43">
        <w:rPr>
          <w:rFonts w:cs="Arial"/>
          <w:kern w:val="28"/>
          <w:lang w:val="en-US" w:eastAsia="en-US"/>
        </w:rPr>
        <w:t xml:space="preserve"> comment on how to ensure that effective security features are built into key design principles for communications devices and networks that will use these bands.</w:t>
      </w:r>
    </w:p>
    <w:p w:rsidR="007237B5" w:rsidRDefault="007237B5" w:rsidP="007237B5">
      <w:pPr>
        <w:spacing w:after="0"/>
        <w:rPr>
          <w:rFonts w:cs="Arial"/>
          <w:b/>
          <w:sz w:val="28"/>
          <w:szCs w:val="28"/>
          <w:lang w:val="en-US"/>
        </w:rPr>
      </w:pPr>
    </w:p>
    <w:p w:rsidR="006F1968" w:rsidRDefault="00ED2F9B" w:rsidP="007237B5">
      <w:pPr>
        <w:spacing w:after="0"/>
        <w:rPr>
          <w:rStyle w:val="Hyperlink"/>
          <w:b/>
          <w:szCs w:val="22"/>
          <w:lang w:val="en-US"/>
        </w:rPr>
      </w:pPr>
      <w:r w:rsidRPr="00ED2F9B">
        <w:t>More details under:</w:t>
      </w:r>
      <w:r>
        <w:rPr>
          <w:rFonts w:cs="Arial"/>
          <w:b/>
          <w:sz w:val="28"/>
          <w:szCs w:val="28"/>
          <w:lang w:val="en-US"/>
        </w:rPr>
        <w:t xml:space="preserve"> </w:t>
      </w:r>
      <w:hyperlink r:id="rId40" w:anchor="!documentDetail;D=FCC-2016-0007-0001" w:history="1">
        <w:r w:rsidRPr="00ED2F9B">
          <w:rPr>
            <w:rStyle w:val="Hyperlink"/>
            <w:b/>
            <w:szCs w:val="22"/>
            <w:lang w:val="en-US"/>
          </w:rPr>
          <w:t>Link</w:t>
        </w:r>
      </w:hyperlink>
    </w:p>
    <w:p w:rsidR="006B670C" w:rsidRDefault="006B670C" w:rsidP="007237B5">
      <w:pPr>
        <w:spacing w:after="0"/>
      </w:pPr>
    </w:p>
    <w:p w:rsidR="006B670C" w:rsidRPr="006B670C" w:rsidRDefault="006B670C" w:rsidP="007237B5">
      <w:pPr>
        <w:spacing w:after="0"/>
      </w:pPr>
      <w:r w:rsidRPr="006B670C">
        <w:t>(</w:t>
      </w:r>
      <w:proofErr w:type="gramStart"/>
      <w:r w:rsidRPr="006B670C">
        <w:t>to</w:t>
      </w:r>
      <w:proofErr w:type="gramEnd"/>
      <w:r w:rsidRPr="006B670C">
        <w:t xml:space="preserve"> be noted by PT1, FM54, SRD/MG, SE19)</w:t>
      </w:r>
    </w:p>
    <w:p w:rsidR="00ED2F9B" w:rsidRDefault="00ED2F9B" w:rsidP="007237B5">
      <w:pPr>
        <w:spacing w:after="0"/>
        <w:rPr>
          <w:b/>
          <w:sz w:val="28"/>
          <w:szCs w:val="28"/>
          <w:lang w:val="en-US"/>
        </w:rPr>
      </w:pPr>
    </w:p>
    <w:p w:rsidR="00ED2F9B" w:rsidRPr="00ED2F9B" w:rsidRDefault="006F1968" w:rsidP="00ED2F9B">
      <w:pPr>
        <w:pStyle w:val="ListParagraph"/>
        <w:numPr>
          <w:ilvl w:val="0"/>
          <w:numId w:val="3"/>
        </w:numPr>
        <w:spacing w:after="0"/>
        <w:rPr>
          <w:b/>
          <w:sz w:val="28"/>
          <w:szCs w:val="28"/>
        </w:rPr>
      </w:pPr>
      <w:r w:rsidRPr="00ED2F9B">
        <w:rPr>
          <w:b/>
          <w:sz w:val="28"/>
          <w:szCs w:val="28"/>
        </w:rPr>
        <w:t>FCC Proposes Reform of Radiofrequency Equipment Authori</w:t>
      </w:r>
      <w:r w:rsidR="00ED2F9B">
        <w:rPr>
          <w:b/>
          <w:sz w:val="28"/>
          <w:szCs w:val="28"/>
        </w:rPr>
        <w:t>s</w:t>
      </w:r>
      <w:r w:rsidRPr="00ED2F9B">
        <w:rPr>
          <w:b/>
          <w:sz w:val="28"/>
          <w:szCs w:val="28"/>
        </w:rPr>
        <w:t>ation Rules</w:t>
      </w:r>
    </w:p>
    <w:p w:rsidR="00ED2F9B" w:rsidRDefault="00ED2F9B" w:rsidP="007237B5">
      <w:pPr>
        <w:spacing w:after="0"/>
        <w:rPr>
          <w:b/>
          <w:sz w:val="28"/>
          <w:szCs w:val="28"/>
          <w:lang w:val="en-US"/>
        </w:rPr>
      </w:pPr>
    </w:p>
    <w:p w:rsidR="00ED2F9B" w:rsidRDefault="00ED2F9B" w:rsidP="007237B5">
      <w:pPr>
        <w:spacing w:after="0"/>
      </w:pPr>
      <w:r w:rsidRPr="00ED2F9B">
        <w:t xml:space="preserve">On 1 </w:t>
      </w:r>
      <w:r w:rsidR="006F1968" w:rsidRPr="00ED2F9B">
        <w:t>September 2015</w:t>
      </w:r>
      <w:r w:rsidRPr="00ED2F9B">
        <w:t xml:space="preserve">, </w:t>
      </w:r>
      <w:r w:rsidR="006F1968" w:rsidRPr="00ED2F9B">
        <w:t xml:space="preserve">the FCC </w:t>
      </w:r>
      <w:r w:rsidRPr="00ED2F9B">
        <w:t xml:space="preserve">has </w:t>
      </w:r>
      <w:r w:rsidR="006F1968" w:rsidRPr="00ED2F9B">
        <w:t>propose</w:t>
      </w:r>
      <w:r w:rsidRPr="00ED2F9B">
        <w:t>d</w:t>
      </w:r>
      <w:r w:rsidR="006F1968" w:rsidRPr="00ED2F9B">
        <w:t xml:space="preserve"> </w:t>
      </w:r>
      <w:r>
        <w:t xml:space="preserve">(NPRM) </w:t>
      </w:r>
      <w:r w:rsidR="006F1968" w:rsidRPr="00ED2F9B">
        <w:t>to upgrade its equipment authori</w:t>
      </w:r>
      <w:r>
        <w:t>s</w:t>
      </w:r>
      <w:r w:rsidR="006F1968" w:rsidRPr="00ED2F9B">
        <w:t>ation program</w:t>
      </w:r>
      <w:r>
        <w:t>.</w:t>
      </w:r>
    </w:p>
    <w:p w:rsidR="00ED2F9B" w:rsidRPr="00ED2F9B" w:rsidRDefault="00ED2F9B" w:rsidP="007237B5">
      <w:pPr>
        <w:spacing w:after="0"/>
        <w:rPr>
          <w:szCs w:val="22"/>
        </w:rPr>
      </w:pPr>
    </w:p>
    <w:p w:rsidR="006F1968" w:rsidRDefault="00643CD3" w:rsidP="007237B5">
      <w:pPr>
        <w:spacing w:after="0"/>
        <w:rPr>
          <w:b/>
          <w:sz w:val="28"/>
          <w:szCs w:val="28"/>
          <w:lang w:val="en-US"/>
        </w:rPr>
      </w:pPr>
      <w:hyperlink r:id="rId41" w:anchor="sthash.baN8ypOs.dpuf" w:history="1">
        <w:r w:rsidR="00ED2F9B" w:rsidRPr="00ED2F9B">
          <w:rPr>
            <w:rStyle w:val="Hyperlink"/>
            <w:b/>
            <w:szCs w:val="22"/>
            <w:lang w:val="en-US"/>
          </w:rPr>
          <w:t>See explanations</w:t>
        </w:r>
      </w:hyperlink>
    </w:p>
    <w:p w:rsidR="006F1968" w:rsidRDefault="006F1968" w:rsidP="007237B5">
      <w:pPr>
        <w:spacing w:after="0"/>
        <w:rPr>
          <w:b/>
          <w:sz w:val="28"/>
          <w:szCs w:val="28"/>
          <w:lang w:val="en-US"/>
        </w:rPr>
      </w:pPr>
    </w:p>
    <w:p w:rsidR="006F1968" w:rsidRPr="00ED2F9B" w:rsidRDefault="00643CD3" w:rsidP="007237B5">
      <w:pPr>
        <w:spacing w:after="0"/>
        <w:rPr>
          <w:b/>
          <w:szCs w:val="22"/>
          <w:lang w:val="en-US"/>
        </w:rPr>
      </w:pPr>
      <w:hyperlink r:id="rId42" w:history="1">
        <w:r w:rsidR="00ED2F9B" w:rsidRPr="00ED2F9B">
          <w:rPr>
            <w:rStyle w:val="Hyperlink"/>
            <w:b/>
            <w:szCs w:val="22"/>
            <w:lang w:val="en-US"/>
          </w:rPr>
          <w:t>Link FCC 15-92A1</w:t>
        </w:r>
      </w:hyperlink>
      <w:r w:rsidR="006F1968" w:rsidRPr="00ED2F9B">
        <w:rPr>
          <w:b/>
          <w:szCs w:val="22"/>
          <w:lang w:val="en-US"/>
        </w:rPr>
        <w:t xml:space="preserve"> </w:t>
      </w:r>
    </w:p>
    <w:p w:rsidR="006F1968" w:rsidRPr="00ED2F9B" w:rsidRDefault="006F1968" w:rsidP="007237B5">
      <w:pPr>
        <w:spacing w:after="0"/>
        <w:rPr>
          <w:b/>
          <w:szCs w:val="22"/>
          <w:lang w:val="en-US"/>
        </w:rPr>
      </w:pPr>
    </w:p>
    <w:p w:rsidR="006F1968" w:rsidRPr="00ED2F9B" w:rsidRDefault="006F1968" w:rsidP="006F1968">
      <w:pPr>
        <w:spacing w:after="0"/>
        <w:rPr>
          <w:szCs w:val="22"/>
          <w:lang w:val="en-US"/>
        </w:rPr>
      </w:pPr>
      <w:r w:rsidRPr="00ED2F9B">
        <w:rPr>
          <w:szCs w:val="22"/>
          <w:lang w:val="en-US"/>
        </w:rPr>
        <w:t>The NPRM includes several key proposals:</w:t>
      </w:r>
    </w:p>
    <w:p w:rsidR="006F1968" w:rsidRPr="00ED2F9B" w:rsidRDefault="006F1968" w:rsidP="00ED2F9B">
      <w:pPr>
        <w:pStyle w:val="ListParagraph"/>
        <w:numPr>
          <w:ilvl w:val="0"/>
          <w:numId w:val="7"/>
        </w:numPr>
        <w:spacing w:after="0"/>
        <w:rPr>
          <w:szCs w:val="22"/>
          <w:lang w:val="en-US"/>
        </w:rPr>
      </w:pPr>
      <w:r w:rsidRPr="00ED2F9B">
        <w:rPr>
          <w:szCs w:val="22"/>
          <w:lang w:val="en-US"/>
        </w:rPr>
        <w:t xml:space="preserve">Unify the </w:t>
      </w:r>
      <w:r w:rsidRPr="00ED2F9B">
        <w:rPr>
          <w:b/>
          <w:szCs w:val="22"/>
          <w:lang w:val="en-US"/>
        </w:rPr>
        <w:t>self-approval procedures</w:t>
      </w:r>
      <w:r w:rsidRPr="00ED2F9B">
        <w:rPr>
          <w:szCs w:val="22"/>
          <w:lang w:val="en-US"/>
        </w:rPr>
        <w:t>. The Declaration of Conformity (“</w:t>
      </w:r>
      <w:proofErr w:type="spellStart"/>
      <w:r w:rsidRPr="00ED2F9B">
        <w:rPr>
          <w:szCs w:val="22"/>
          <w:lang w:val="en-US"/>
        </w:rPr>
        <w:t>DoC</w:t>
      </w:r>
      <w:proofErr w:type="spellEnd"/>
      <w:r w:rsidRPr="00ED2F9B">
        <w:rPr>
          <w:szCs w:val="22"/>
          <w:lang w:val="en-US"/>
        </w:rPr>
        <w:t xml:space="preserve">”) and verification procedures are currently independent requirements for </w:t>
      </w:r>
      <w:proofErr w:type="spellStart"/>
      <w:r w:rsidRPr="00ED2F9B">
        <w:rPr>
          <w:szCs w:val="22"/>
          <w:lang w:val="en-US"/>
        </w:rPr>
        <w:t>authori</w:t>
      </w:r>
      <w:r w:rsidR="00ED2F9B">
        <w:rPr>
          <w:szCs w:val="22"/>
          <w:lang w:val="en-US"/>
        </w:rPr>
        <w:t>s</w:t>
      </w:r>
      <w:r w:rsidRPr="00ED2F9B">
        <w:rPr>
          <w:szCs w:val="22"/>
          <w:lang w:val="en-US"/>
        </w:rPr>
        <w:t>ation</w:t>
      </w:r>
      <w:proofErr w:type="spellEnd"/>
      <w:r w:rsidRPr="00ED2F9B">
        <w:rPr>
          <w:szCs w:val="22"/>
          <w:lang w:val="en-US"/>
        </w:rPr>
        <w:t>.  The NPRM proposes to combine them into one self-approval program for all equipment currently subject to one of those two procedures. The proposed new process, tentatively called a Suppliers Declaration of Conformity (“</w:t>
      </w:r>
      <w:proofErr w:type="spellStart"/>
      <w:r w:rsidRPr="00ED2F9B">
        <w:rPr>
          <w:szCs w:val="22"/>
          <w:lang w:val="en-US"/>
        </w:rPr>
        <w:t>SDoC</w:t>
      </w:r>
      <w:proofErr w:type="spellEnd"/>
      <w:r w:rsidRPr="00ED2F9B">
        <w:rPr>
          <w:szCs w:val="22"/>
          <w:lang w:val="en-US"/>
        </w:rPr>
        <w:t xml:space="preserve">”), would </w:t>
      </w:r>
      <w:r w:rsidRPr="00ED2F9B">
        <w:rPr>
          <w:szCs w:val="22"/>
          <w:u w:val="single"/>
          <w:lang w:val="en-US"/>
        </w:rPr>
        <w:t>eliminate the current obligation to use accredited laboratories</w:t>
      </w:r>
      <w:r w:rsidRPr="00ED2F9B">
        <w:rPr>
          <w:szCs w:val="22"/>
          <w:lang w:val="en-US"/>
        </w:rPr>
        <w:t xml:space="preserve"> but would clarify that all devices currently subject to the </w:t>
      </w:r>
      <w:proofErr w:type="spellStart"/>
      <w:r w:rsidRPr="00ED2F9B">
        <w:rPr>
          <w:szCs w:val="22"/>
          <w:lang w:val="en-US"/>
        </w:rPr>
        <w:t>DoC</w:t>
      </w:r>
      <w:proofErr w:type="spellEnd"/>
      <w:r w:rsidRPr="00ED2F9B">
        <w:rPr>
          <w:szCs w:val="22"/>
          <w:lang w:val="en-US"/>
        </w:rPr>
        <w:t xml:space="preserve"> or verification procedures must be tested. The proposed process would incorporate some but not all elements of the </w:t>
      </w:r>
      <w:proofErr w:type="spellStart"/>
      <w:r w:rsidRPr="00ED2F9B">
        <w:rPr>
          <w:szCs w:val="22"/>
          <w:lang w:val="en-US"/>
        </w:rPr>
        <w:t>SDoC</w:t>
      </w:r>
      <w:proofErr w:type="spellEnd"/>
      <w:r w:rsidRPr="00ED2F9B">
        <w:rPr>
          <w:szCs w:val="22"/>
          <w:lang w:val="en-US"/>
        </w:rPr>
        <w:t xml:space="preserve"> processes used for Telephone Network Terminal Equipment under Part 68.</w:t>
      </w:r>
    </w:p>
    <w:p w:rsidR="006F1968" w:rsidRPr="00ED2F9B" w:rsidRDefault="006F1968" w:rsidP="00ED2F9B">
      <w:pPr>
        <w:pStyle w:val="ListParagraph"/>
        <w:numPr>
          <w:ilvl w:val="0"/>
          <w:numId w:val="7"/>
        </w:numPr>
        <w:spacing w:after="0"/>
        <w:rPr>
          <w:szCs w:val="22"/>
          <w:lang w:val="en-US"/>
        </w:rPr>
      </w:pPr>
      <w:r w:rsidRPr="00ED2F9B">
        <w:rPr>
          <w:szCs w:val="22"/>
          <w:lang w:val="en-US"/>
        </w:rPr>
        <w:t xml:space="preserve">Update Certification Procedures. The Commission proposes updates to the certification requirements to respond to the trend of </w:t>
      </w:r>
      <w:proofErr w:type="spellStart"/>
      <w:r w:rsidRPr="00ED2F9B">
        <w:rPr>
          <w:szCs w:val="22"/>
          <w:lang w:val="en-US"/>
        </w:rPr>
        <w:t>authori</w:t>
      </w:r>
      <w:r w:rsidR="00ED2F9B">
        <w:rPr>
          <w:szCs w:val="22"/>
          <w:lang w:val="en-US"/>
        </w:rPr>
        <w:t>s</w:t>
      </w:r>
      <w:r w:rsidRPr="00ED2F9B">
        <w:rPr>
          <w:szCs w:val="22"/>
          <w:lang w:val="en-US"/>
        </w:rPr>
        <w:t>ing</w:t>
      </w:r>
      <w:proofErr w:type="spellEnd"/>
      <w:r w:rsidRPr="00ED2F9B">
        <w:rPr>
          <w:szCs w:val="22"/>
          <w:lang w:val="en-US"/>
        </w:rPr>
        <w:t xml:space="preserve"> components, including modular </w:t>
      </w:r>
      <w:proofErr w:type="gramStart"/>
      <w:r w:rsidRPr="00ED2F9B">
        <w:rPr>
          <w:szCs w:val="22"/>
          <w:lang w:val="en-US"/>
        </w:rPr>
        <w:t>transmitters, that</w:t>
      </w:r>
      <w:proofErr w:type="gramEnd"/>
      <w:r w:rsidRPr="00ED2F9B">
        <w:rPr>
          <w:szCs w:val="22"/>
          <w:lang w:val="en-US"/>
        </w:rPr>
        <w:t xml:space="preserve"> will be used as part of more complex designs or in third-party host devices.  The proposals focus on the parties responsible for submitting applications.  The Commission proposes to amend the basic certification rules to </w:t>
      </w:r>
      <w:proofErr w:type="gramStart"/>
      <w:r w:rsidRPr="00ED2F9B">
        <w:rPr>
          <w:szCs w:val="22"/>
          <w:lang w:val="en-US"/>
        </w:rPr>
        <w:t>allows</w:t>
      </w:r>
      <w:proofErr w:type="gramEnd"/>
      <w:r w:rsidRPr="00ED2F9B">
        <w:rPr>
          <w:szCs w:val="22"/>
          <w:lang w:val="en-US"/>
        </w:rPr>
        <w:t xml:space="preserve"> for the certification of a group of related devices under a single FCC ID.  Additionally, the Commission proposes to relocate the rules for modular transmitters from Part 15 to Part 2 in light of the increasing use of modular transmitters in RF devices intended for operation within licensed radio services. The NPRM also </w:t>
      </w:r>
      <w:r w:rsidRPr="00ED2F9B">
        <w:rPr>
          <w:b/>
          <w:szCs w:val="22"/>
          <w:lang w:val="en-US"/>
        </w:rPr>
        <w:t>proposed changes to the software defined radio (“SDR”)</w:t>
      </w:r>
      <w:r w:rsidRPr="00ED2F9B">
        <w:rPr>
          <w:szCs w:val="22"/>
          <w:lang w:val="en-US"/>
        </w:rPr>
        <w:t xml:space="preserve"> rules to increase flexibility in certifying devices where the RF elements are controlled by software.</w:t>
      </w:r>
    </w:p>
    <w:p w:rsidR="006F1968" w:rsidRPr="00ED2F9B" w:rsidRDefault="006F1968" w:rsidP="00ED2F9B">
      <w:pPr>
        <w:pStyle w:val="ListParagraph"/>
        <w:numPr>
          <w:ilvl w:val="0"/>
          <w:numId w:val="7"/>
        </w:numPr>
        <w:spacing w:after="0"/>
        <w:rPr>
          <w:szCs w:val="22"/>
          <w:lang w:val="en-US"/>
        </w:rPr>
      </w:pPr>
      <w:r w:rsidRPr="00ED2F9B">
        <w:rPr>
          <w:szCs w:val="22"/>
          <w:lang w:val="en-US"/>
        </w:rPr>
        <w:t xml:space="preserve">Updated Certification Modification Process. The NPRM proposes to eliminate the current “electrically identical” framework for determining whether a device requires a new certification.  Instead, there would be </w:t>
      </w:r>
      <w:r w:rsidRPr="00ED2F9B">
        <w:rPr>
          <w:b/>
          <w:szCs w:val="22"/>
          <w:lang w:val="en-US"/>
        </w:rPr>
        <w:t>two categories of changes, those that require a new FCC ID and those that do not</w:t>
      </w:r>
      <w:r w:rsidRPr="00ED2F9B">
        <w:rPr>
          <w:szCs w:val="22"/>
          <w:lang w:val="en-US"/>
        </w:rPr>
        <w:t>. The proposed rule changes would require an evaluation of the modifications, and potentially testing, to determine the change category.  Changes that do not substantially alter the overall function of the device will not require a new FCC ID, but in some cases may still require a new application for certification. Where a new FCC ID is required, due to substantial changes to design or layout, or replacement of components, a new certification would be a prerequisite.</w:t>
      </w:r>
    </w:p>
    <w:p w:rsidR="006F1968" w:rsidRPr="00ED2F9B" w:rsidRDefault="006F1968" w:rsidP="00ED2F9B">
      <w:pPr>
        <w:pStyle w:val="ListParagraph"/>
        <w:numPr>
          <w:ilvl w:val="0"/>
          <w:numId w:val="7"/>
        </w:numPr>
        <w:spacing w:after="0"/>
        <w:rPr>
          <w:szCs w:val="22"/>
          <w:lang w:val="en-US"/>
        </w:rPr>
      </w:pPr>
      <w:r w:rsidRPr="00ED2F9B">
        <w:rPr>
          <w:szCs w:val="22"/>
          <w:lang w:val="en-US"/>
        </w:rPr>
        <w:t>Clarification of Responsible Party. The NPRM proposes to clarify who the responsible party is for obtaining certification in a number of scenarios, including when end products incorporate modular transmitters, third parties modify equipment, parties intend to market repaired or refurbished devices, and importers bring products into the U.S.</w:t>
      </w:r>
    </w:p>
    <w:p w:rsidR="006F1968" w:rsidRPr="006B670C" w:rsidRDefault="006F1968" w:rsidP="006B670C">
      <w:pPr>
        <w:pStyle w:val="ListParagraph"/>
        <w:numPr>
          <w:ilvl w:val="0"/>
          <w:numId w:val="7"/>
        </w:numPr>
        <w:spacing w:after="0"/>
        <w:rPr>
          <w:szCs w:val="22"/>
          <w:lang w:val="en-US"/>
        </w:rPr>
      </w:pPr>
      <w:r w:rsidRPr="006B670C">
        <w:rPr>
          <w:szCs w:val="22"/>
          <w:lang w:val="en-US"/>
        </w:rPr>
        <w:t>Streamlined Certification Application Requirements. The NPRM seeks comment on reducing the information that must be provided when applying for certification.  The FCC proposes to reduce duplicative information requirements as well as only require applicants to submit specific information based on the type of device to be certified.  The NPRM proposes to codify existing short-term confidentiality practices for certain types of information allowing for a standard 45 day period upon request and seeks comment on extending that period to 180 days.  Further, long-term confidentiality would be provided automatically for certain information categories (such as exhibits of schematics or operational descriptions) in all certification applications.</w:t>
      </w:r>
    </w:p>
    <w:p w:rsidR="006F1968" w:rsidRPr="006B670C" w:rsidRDefault="006F1968" w:rsidP="006B670C">
      <w:pPr>
        <w:pStyle w:val="ListParagraph"/>
        <w:numPr>
          <w:ilvl w:val="0"/>
          <w:numId w:val="7"/>
        </w:numPr>
        <w:spacing w:after="0"/>
        <w:rPr>
          <w:szCs w:val="22"/>
          <w:lang w:val="en-US"/>
        </w:rPr>
      </w:pPr>
      <w:r w:rsidRPr="006B670C">
        <w:rPr>
          <w:szCs w:val="22"/>
          <w:lang w:val="en-US"/>
        </w:rPr>
        <w:t xml:space="preserve">The </w:t>
      </w:r>
      <w:r w:rsidRPr="006B670C">
        <w:rPr>
          <w:b/>
          <w:szCs w:val="22"/>
          <w:lang w:val="en-US"/>
        </w:rPr>
        <w:t>E-LABEL ACT</w:t>
      </w:r>
      <w:r w:rsidRPr="006B670C">
        <w:rPr>
          <w:szCs w:val="22"/>
          <w:lang w:val="en-US"/>
        </w:rPr>
        <w:t>. The NPRM also seeks comment on a series of updates to the equipment labeling obligations to recognize and codify the requirements of the E-LABEL Act.  For example, the proposed rules will generally allow an RF device with an integrated electronic display to electronically display the labels required by the FCC rules.  However, even where devices have integrated displays, parties would still be required to place warning statements or other information on device packaging, within user manuals, or at the point of sale as otherwise required under FCC regulations.</w:t>
      </w:r>
    </w:p>
    <w:p w:rsidR="006F1968" w:rsidRPr="006B670C" w:rsidRDefault="006F1968" w:rsidP="006B670C">
      <w:pPr>
        <w:pStyle w:val="ListParagraph"/>
        <w:numPr>
          <w:ilvl w:val="0"/>
          <w:numId w:val="7"/>
        </w:numPr>
        <w:spacing w:after="0"/>
        <w:rPr>
          <w:szCs w:val="22"/>
          <w:lang w:val="en-US"/>
        </w:rPr>
      </w:pPr>
      <w:r w:rsidRPr="006B670C">
        <w:rPr>
          <w:szCs w:val="22"/>
          <w:lang w:val="en-US"/>
        </w:rPr>
        <w:t xml:space="preserve">Importation Requirements. The NPRM questions the usefulness of the information provided on the current FCC Form 740 declaration for imported devices, particularly </w:t>
      </w:r>
      <w:r w:rsidRPr="006B670C">
        <w:rPr>
          <w:szCs w:val="22"/>
          <w:lang w:val="en-US"/>
        </w:rPr>
        <w:lastRenderedPageBreak/>
        <w:t>since much of the information is already collected by the U.S. Customs and Border Patrol and may also be available on the internet.  The FCC seeks comment on the continued use of collecting Form 740 information.  The NPRM also proposes changes, among other things, to the number of imported devices permitted for demonstrations at trade shows and in other instances prior to satisfaction of the relevant equipment authorization procedure.</w:t>
      </w:r>
    </w:p>
    <w:p w:rsidR="006F1968" w:rsidRPr="00ED2F9B" w:rsidRDefault="006F1968" w:rsidP="006F1968">
      <w:pPr>
        <w:spacing w:after="0"/>
        <w:rPr>
          <w:szCs w:val="22"/>
          <w:lang w:val="en-US"/>
        </w:rPr>
      </w:pPr>
    </w:p>
    <w:p w:rsidR="006F1968" w:rsidRPr="00ED2F9B" w:rsidRDefault="006F1968" w:rsidP="006F1968">
      <w:pPr>
        <w:spacing w:after="0"/>
        <w:rPr>
          <w:szCs w:val="22"/>
          <w:lang w:val="en-US"/>
        </w:rPr>
      </w:pPr>
      <w:r w:rsidRPr="00ED2F9B">
        <w:rPr>
          <w:szCs w:val="22"/>
          <w:lang w:val="en-US"/>
        </w:rPr>
        <w:t>The proposed new rules and procedures have the potential to impact how RF devices are designed and/or manufactured and could have an immediate impact on devices that are currently in testing or that will be coming to market in the near term.  To alleviate these concerns, the NPRM seeks comment on a transition period. The Commission anticipates that the proposed rules, if adopted, would be effective immediately but that responsible parties would be permitted to elect to continue to use the existing procedures for up to one year after the effective date of the rules.</w:t>
      </w:r>
    </w:p>
    <w:p w:rsidR="006F1968" w:rsidRDefault="006F1968" w:rsidP="007237B5">
      <w:pPr>
        <w:spacing w:after="0"/>
        <w:rPr>
          <w:b/>
          <w:sz w:val="28"/>
          <w:szCs w:val="28"/>
          <w:lang w:val="en-US"/>
        </w:rPr>
      </w:pPr>
    </w:p>
    <w:p w:rsidR="006B670C" w:rsidRPr="006B670C" w:rsidRDefault="006B670C" w:rsidP="006B670C">
      <w:pPr>
        <w:pStyle w:val="ListParagraph"/>
        <w:numPr>
          <w:ilvl w:val="0"/>
          <w:numId w:val="3"/>
        </w:numPr>
        <w:spacing w:after="0"/>
        <w:rPr>
          <w:b/>
          <w:sz w:val="28"/>
          <w:szCs w:val="28"/>
        </w:rPr>
      </w:pPr>
      <w:r w:rsidRPr="006B670C">
        <w:rPr>
          <w:b/>
          <w:sz w:val="28"/>
          <w:szCs w:val="28"/>
        </w:rPr>
        <w:t>60 GHz applications under general authori</w:t>
      </w:r>
      <w:r w:rsidR="00584AA1">
        <w:rPr>
          <w:b/>
          <w:sz w:val="28"/>
          <w:szCs w:val="28"/>
        </w:rPr>
        <w:t>s</w:t>
      </w:r>
      <w:r w:rsidRPr="006B670C">
        <w:rPr>
          <w:b/>
          <w:sz w:val="28"/>
          <w:szCs w:val="28"/>
        </w:rPr>
        <w:t>ation – worldwide overview</w:t>
      </w:r>
    </w:p>
    <w:p w:rsidR="00C34699" w:rsidRDefault="00C34699" w:rsidP="00CF4246">
      <w:pPr>
        <w:rPr>
          <w:lang w:val="en-US"/>
        </w:rPr>
      </w:pPr>
    </w:p>
    <w:p w:rsidR="00720AC5" w:rsidRDefault="00720AC5" w:rsidP="00CF4246">
      <w:pPr>
        <w:rPr>
          <w:lang w:val="en-US"/>
        </w:rPr>
      </w:pPr>
      <w:r>
        <w:rPr>
          <w:lang w:val="en-US"/>
        </w:rPr>
        <w:t>As requested by the SRD/MG</w:t>
      </w:r>
      <w:r w:rsidR="00EA4A1D">
        <w:rPr>
          <w:lang w:val="en-US"/>
        </w:rPr>
        <w:t xml:space="preserve"> (may also be of interest for SE19)</w:t>
      </w:r>
      <w:r>
        <w:rPr>
          <w:lang w:val="en-US"/>
        </w:rPr>
        <w:t xml:space="preserve">. The following overview is provided for 60 GHz applications under general </w:t>
      </w:r>
      <w:proofErr w:type="spellStart"/>
      <w:r>
        <w:rPr>
          <w:lang w:val="en-US"/>
        </w:rPr>
        <w:t>authorisations</w:t>
      </w:r>
      <w:proofErr w:type="spellEnd"/>
      <w:r>
        <w:rPr>
          <w:lang w:val="en-US"/>
        </w:rPr>
        <w:t xml:space="preserve">. Note also under 5) in this bulletin the considerations in the USA to extent spectrum for unlicensed applications above 64 GHz. Due to regulations for applications under general authorization in nearly all major trading nations, 60 GHz applications represent a major opportunity for worldwide </w:t>
      </w:r>
      <w:proofErr w:type="spellStart"/>
      <w:r>
        <w:rPr>
          <w:lang w:val="en-US"/>
        </w:rPr>
        <w:t>harmonisation</w:t>
      </w:r>
      <w:proofErr w:type="spellEnd"/>
      <w:r>
        <w:rPr>
          <w:lang w:val="en-US"/>
        </w:rPr>
        <w:t xml:space="preserve"> of such devices.</w:t>
      </w:r>
    </w:p>
    <w:p w:rsidR="00720AC5" w:rsidRDefault="00720AC5" w:rsidP="00CF4246">
      <w:pPr>
        <w:rPr>
          <w:lang w:val="en-US"/>
        </w:rPr>
      </w:pPr>
    </w:p>
    <w:p w:rsidR="00720AC5" w:rsidRDefault="00720AC5" w:rsidP="00CF4246">
      <w:pPr>
        <w:rPr>
          <w:lang w:val="en-US"/>
        </w:rPr>
      </w:pPr>
      <w:r>
        <w:rPr>
          <w:lang w:val="en-US"/>
        </w:rPr>
        <w:t xml:space="preserve">Note the request to </w:t>
      </w:r>
      <w:r w:rsidRPr="00720AC5">
        <w:rPr>
          <w:lang w:val="en-US"/>
        </w:rPr>
        <w:t xml:space="preserve">ETSI </w:t>
      </w:r>
      <w:r>
        <w:rPr>
          <w:lang w:val="en-US"/>
        </w:rPr>
        <w:t xml:space="preserve">(from WGFM/SRD/MG) </w:t>
      </w:r>
      <w:r w:rsidRPr="00720AC5">
        <w:rPr>
          <w:lang w:val="en-US"/>
        </w:rPr>
        <w:t xml:space="preserve">to collect information regarding the request to relax the regulation for </w:t>
      </w:r>
      <w:proofErr w:type="spellStart"/>
      <w:r w:rsidRPr="00720AC5">
        <w:rPr>
          <w:lang w:val="en-US"/>
        </w:rPr>
        <w:t>WideBand</w:t>
      </w:r>
      <w:proofErr w:type="spellEnd"/>
      <w:r w:rsidRPr="00720AC5">
        <w:rPr>
          <w:lang w:val="en-US"/>
        </w:rPr>
        <w:t xml:space="preserve"> Data Systems in 57-66 GHz, based on a request received from Intel.</w:t>
      </w:r>
      <w:r>
        <w:rPr>
          <w:lang w:val="en-US"/>
        </w:rPr>
        <w:t xml:space="preserve"> I</w:t>
      </w:r>
      <w:r w:rsidRPr="00720AC5">
        <w:rPr>
          <w:lang w:val="en-US"/>
        </w:rPr>
        <w:t xml:space="preserve">nterested CEPT administrations </w:t>
      </w:r>
      <w:r w:rsidR="00584AA1">
        <w:rPr>
          <w:lang w:val="en-US"/>
        </w:rPr>
        <w:t xml:space="preserve">(e.g. those not having Fixed Services in the band) </w:t>
      </w:r>
      <w:r w:rsidRPr="00720AC5">
        <w:rPr>
          <w:lang w:val="en-US"/>
        </w:rPr>
        <w:t xml:space="preserve">and stakeholders </w:t>
      </w:r>
      <w:r w:rsidR="00584AA1">
        <w:rPr>
          <w:lang w:val="en-US"/>
        </w:rPr>
        <w:t xml:space="preserve">have been </w:t>
      </w:r>
      <w:r w:rsidRPr="00720AC5">
        <w:rPr>
          <w:lang w:val="en-US"/>
        </w:rPr>
        <w:t>invited to provide contributions to SRD/MG to further evaluate the interest in this request.</w:t>
      </w:r>
    </w:p>
    <w:p w:rsidR="00720AC5" w:rsidRDefault="00720AC5" w:rsidP="00CF4246">
      <w:pPr>
        <w:rPr>
          <w:lang w:val="en-US"/>
        </w:rPr>
      </w:pPr>
    </w:p>
    <w:p w:rsidR="006B670C" w:rsidRPr="00720AC5" w:rsidRDefault="006B670C" w:rsidP="00CF4246">
      <w:pPr>
        <w:rPr>
          <w:u w:val="single"/>
          <w:lang w:val="en-US"/>
        </w:rPr>
      </w:pPr>
      <w:r w:rsidRPr="00720AC5">
        <w:rPr>
          <w:u w:val="single"/>
          <w:lang w:val="en-US"/>
        </w:rPr>
        <w:t>USA and Canada:</w:t>
      </w:r>
    </w:p>
    <w:p w:rsidR="00BE0770" w:rsidRPr="00BE0770" w:rsidRDefault="00BE0770" w:rsidP="00BE0770">
      <w:pPr>
        <w:rPr>
          <w:lang w:val="en-US"/>
        </w:rPr>
      </w:pPr>
      <w:r w:rsidRPr="00BE0770">
        <w:rPr>
          <w:lang w:val="en-US"/>
        </w:rPr>
        <w:t>In 2001, the United States Federal Communication Commissions</w:t>
      </w:r>
      <w:r w:rsidR="006B670C">
        <w:rPr>
          <w:lang w:val="en-US"/>
        </w:rPr>
        <w:t xml:space="preserve"> </w:t>
      </w:r>
      <w:r w:rsidRPr="00BE0770">
        <w:rPr>
          <w:lang w:val="en-US"/>
        </w:rPr>
        <w:t>(FCC) allocated 7 GHz in the 54–66 GHz band for unlicensed</w:t>
      </w:r>
      <w:r w:rsidR="006B670C">
        <w:rPr>
          <w:lang w:val="en-US"/>
        </w:rPr>
        <w:t xml:space="preserve"> </w:t>
      </w:r>
      <w:r w:rsidRPr="00BE0770">
        <w:rPr>
          <w:lang w:val="en-US"/>
        </w:rPr>
        <w:t>use. In terms of the power limits, FCC rules allow</w:t>
      </w:r>
      <w:r w:rsidR="006B670C">
        <w:rPr>
          <w:lang w:val="en-US"/>
        </w:rPr>
        <w:t xml:space="preserve"> </w:t>
      </w:r>
      <w:r w:rsidRPr="00BE0770">
        <w:rPr>
          <w:lang w:val="en-US"/>
        </w:rPr>
        <w:t xml:space="preserve">emission with average power density </w:t>
      </w:r>
      <w:proofErr w:type="gramStart"/>
      <w:r w:rsidRPr="00BE0770">
        <w:rPr>
          <w:lang w:val="en-US"/>
        </w:rPr>
        <w:t xml:space="preserve">of 9 </w:t>
      </w:r>
      <w:r w:rsidRPr="00BE0770">
        <w:rPr>
          <w:lang w:val="da-DK"/>
        </w:rPr>
        <w:t>μ</w:t>
      </w:r>
      <w:r w:rsidRPr="00BE0770">
        <w:rPr>
          <w:lang w:val="en-US"/>
        </w:rPr>
        <w:t>W/cm2 at 3 meters</w:t>
      </w:r>
      <w:proofErr w:type="gramEnd"/>
      <w:r w:rsidR="006B670C">
        <w:rPr>
          <w:lang w:val="en-US"/>
        </w:rPr>
        <w:t xml:space="preserve"> </w:t>
      </w:r>
      <w:r w:rsidRPr="00BE0770">
        <w:rPr>
          <w:lang w:val="en-US"/>
        </w:rPr>
        <w:t xml:space="preserve">and maximum power density of 18 </w:t>
      </w:r>
      <w:r w:rsidRPr="00BE0770">
        <w:rPr>
          <w:lang w:val="da-DK"/>
        </w:rPr>
        <w:t>μ</w:t>
      </w:r>
      <w:r w:rsidRPr="00BE0770">
        <w:rPr>
          <w:lang w:val="en-US"/>
        </w:rPr>
        <w:t>W/cm2 at 3 meters,</w:t>
      </w:r>
      <w:r w:rsidR="006B670C">
        <w:rPr>
          <w:lang w:val="en-US"/>
        </w:rPr>
        <w:t xml:space="preserve"> </w:t>
      </w:r>
      <w:r w:rsidRPr="00BE0770">
        <w:rPr>
          <w:lang w:val="en-US"/>
        </w:rPr>
        <w:t>from the radiating source. These figures translate to average</w:t>
      </w:r>
      <w:r w:rsidR="006B670C">
        <w:rPr>
          <w:lang w:val="en-US"/>
        </w:rPr>
        <w:t xml:space="preserve"> </w:t>
      </w:r>
      <w:r w:rsidRPr="00BE0770">
        <w:rPr>
          <w:lang w:val="en-US"/>
        </w:rPr>
        <w:t>equivalent isotropic radiated power (EIRP) and maximum</w:t>
      </w:r>
      <w:r w:rsidR="006B670C">
        <w:rPr>
          <w:lang w:val="en-US"/>
        </w:rPr>
        <w:t xml:space="preserve"> </w:t>
      </w:r>
      <w:r w:rsidRPr="00BE0770">
        <w:rPr>
          <w:lang w:val="en-US"/>
        </w:rPr>
        <w:t xml:space="preserve">EIRP of 40 </w:t>
      </w:r>
      <w:proofErr w:type="spellStart"/>
      <w:r w:rsidRPr="00BE0770">
        <w:rPr>
          <w:lang w:val="en-US"/>
        </w:rPr>
        <w:t>dBm</w:t>
      </w:r>
      <w:proofErr w:type="spellEnd"/>
      <w:r w:rsidRPr="00BE0770">
        <w:rPr>
          <w:lang w:val="en-US"/>
        </w:rPr>
        <w:t xml:space="preserve"> and 43 </w:t>
      </w:r>
      <w:proofErr w:type="spellStart"/>
      <w:r w:rsidRPr="00BE0770">
        <w:rPr>
          <w:lang w:val="en-US"/>
        </w:rPr>
        <w:t>dBm</w:t>
      </w:r>
      <w:proofErr w:type="spellEnd"/>
      <w:r w:rsidRPr="00BE0770">
        <w:rPr>
          <w:lang w:val="en-US"/>
        </w:rPr>
        <w:t>, respectively. FCC also specified</w:t>
      </w:r>
      <w:r w:rsidR="006B670C">
        <w:rPr>
          <w:lang w:val="en-US"/>
        </w:rPr>
        <w:t xml:space="preserve"> </w:t>
      </w:r>
      <w:r w:rsidRPr="00BE0770">
        <w:rPr>
          <w:lang w:val="en-US"/>
        </w:rPr>
        <w:t>the total maximum transmit power of 500mW for an emission</w:t>
      </w:r>
      <w:r w:rsidR="006B670C">
        <w:rPr>
          <w:lang w:val="en-US"/>
        </w:rPr>
        <w:t xml:space="preserve"> </w:t>
      </w:r>
      <w:r w:rsidRPr="00BE0770">
        <w:rPr>
          <w:lang w:val="en-US"/>
        </w:rPr>
        <w:t xml:space="preserve">bandwidth greater than 100 </w:t>
      </w:r>
      <w:proofErr w:type="spellStart"/>
      <w:r w:rsidRPr="00BE0770">
        <w:rPr>
          <w:lang w:val="en-US"/>
        </w:rPr>
        <w:t>MHz.</w:t>
      </w:r>
      <w:proofErr w:type="spellEnd"/>
      <w:r w:rsidR="006B670C">
        <w:rPr>
          <w:lang w:val="en-US"/>
        </w:rPr>
        <w:t xml:space="preserve"> </w:t>
      </w:r>
      <w:r w:rsidRPr="00BE0770">
        <w:rPr>
          <w:lang w:val="en-US"/>
        </w:rPr>
        <w:t>The devices must also comply with the radio frequency</w:t>
      </w:r>
      <w:r w:rsidR="006B670C">
        <w:rPr>
          <w:lang w:val="en-US"/>
        </w:rPr>
        <w:t xml:space="preserve"> </w:t>
      </w:r>
      <w:r w:rsidRPr="00BE0770">
        <w:rPr>
          <w:lang w:val="en-US"/>
        </w:rPr>
        <w:t xml:space="preserve">(RF) </w:t>
      </w:r>
      <w:r w:rsidR="006B670C">
        <w:rPr>
          <w:lang w:val="en-US"/>
        </w:rPr>
        <w:t xml:space="preserve">radiation exposure requirements. </w:t>
      </w:r>
      <w:r w:rsidRPr="00BE0770">
        <w:rPr>
          <w:lang w:val="en-US"/>
        </w:rPr>
        <w:t>After taking the RF safety</w:t>
      </w:r>
      <w:r w:rsidR="006B670C">
        <w:rPr>
          <w:lang w:val="en-US"/>
        </w:rPr>
        <w:t xml:space="preserve"> </w:t>
      </w:r>
      <w:r w:rsidRPr="00BE0770">
        <w:rPr>
          <w:lang w:val="en-US"/>
        </w:rPr>
        <w:t>issues into account, the maximum transmit power is limited</w:t>
      </w:r>
      <w:r w:rsidR="006B670C">
        <w:rPr>
          <w:lang w:val="en-US"/>
        </w:rPr>
        <w:t xml:space="preserve"> </w:t>
      </w:r>
      <w:r w:rsidRPr="00BE0770">
        <w:rPr>
          <w:lang w:val="en-US"/>
        </w:rPr>
        <w:t xml:space="preserve">to 10 </w:t>
      </w:r>
      <w:proofErr w:type="spellStart"/>
      <w:r w:rsidRPr="00BE0770">
        <w:rPr>
          <w:lang w:val="en-US"/>
        </w:rPr>
        <w:t>dBm</w:t>
      </w:r>
      <w:proofErr w:type="spellEnd"/>
      <w:r w:rsidRPr="00BE0770">
        <w:rPr>
          <w:lang w:val="en-US"/>
        </w:rPr>
        <w:t xml:space="preserve">. Furthermore, each transmitter must transmit </w:t>
      </w:r>
      <w:proofErr w:type="gramStart"/>
      <w:r w:rsidRPr="00BE0770">
        <w:rPr>
          <w:lang w:val="en-US"/>
        </w:rPr>
        <w:t>at</w:t>
      </w:r>
      <w:r w:rsidR="006B670C">
        <w:rPr>
          <w:lang w:val="en-US"/>
        </w:rPr>
        <w:t xml:space="preserve"> </w:t>
      </w:r>
      <w:r w:rsidRPr="00BE0770">
        <w:rPr>
          <w:lang w:val="en-US"/>
        </w:rPr>
        <w:t>least one transmitter identification</w:t>
      </w:r>
      <w:proofErr w:type="gramEnd"/>
      <w:r w:rsidRPr="00BE0770">
        <w:rPr>
          <w:lang w:val="en-US"/>
        </w:rPr>
        <w:t xml:space="preserve"> within one-second interval</w:t>
      </w:r>
      <w:r w:rsidR="006B670C">
        <w:rPr>
          <w:lang w:val="en-US"/>
        </w:rPr>
        <w:t xml:space="preserve"> </w:t>
      </w:r>
      <w:r w:rsidRPr="00BE0770">
        <w:rPr>
          <w:lang w:val="en-US"/>
        </w:rPr>
        <w:t>of the signal transmission. It is important to note that the</w:t>
      </w:r>
    </w:p>
    <w:p w:rsidR="00BE0770" w:rsidRPr="00BE0770" w:rsidRDefault="00BE0770" w:rsidP="00CF4246">
      <w:pPr>
        <w:rPr>
          <w:lang w:val="en-US"/>
        </w:rPr>
      </w:pPr>
      <w:r w:rsidRPr="00BE0770">
        <w:rPr>
          <w:lang w:val="en-US"/>
        </w:rPr>
        <w:t xml:space="preserve">60 GHz regulation in </w:t>
      </w:r>
      <w:proofErr w:type="gramStart"/>
      <w:r w:rsidRPr="00BE0770">
        <w:rPr>
          <w:lang w:val="en-US"/>
        </w:rPr>
        <w:t>Canada,</w:t>
      </w:r>
      <w:proofErr w:type="gramEnd"/>
      <w:r w:rsidRPr="00BE0770">
        <w:rPr>
          <w:lang w:val="en-US"/>
        </w:rPr>
        <w:t xml:space="preserve"> is </w:t>
      </w:r>
      <w:proofErr w:type="spellStart"/>
      <w:r w:rsidRPr="00BE0770">
        <w:rPr>
          <w:lang w:val="en-US"/>
        </w:rPr>
        <w:t>harmoni</w:t>
      </w:r>
      <w:r w:rsidR="006B670C">
        <w:rPr>
          <w:lang w:val="en-US"/>
        </w:rPr>
        <w:t>s</w:t>
      </w:r>
      <w:r w:rsidRPr="00BE0770">
        <w:rPr>
          <w:lang w:val="en-US"/>
        </w:rPr>
        <w:t>ed</w:t>
      </w:r>
      <w:proofErr w:type="spellEnd"/>
      <w:r w:rsidRPr="00BE0770">
        <w:rPr>
          <w:lang w:val="en-US"/>
        </w:rPr>
        <w:t xml:space="preserve"> with the US.</w:t>
      </w:r>
      <w:r w:rsidR="006B670C">
        <w:rPr>
          <w:lang w:val="en-US"/>
        </w:rPr>
        <w:t xml:space="preserve"> </w:t>
      </w:r>
      <w:r w:rsidRPr="00BE0770">
        <w:rPr>
          <w:lang w:val="en-US"/>
        </w:rPr>
        <w:t>In August 2013 the US Federal Communications Commission announced a change in its rules governing the 60 GHz (57–64 GHz) band</w:t>
      </w:r>
      <w:r w:rsidR="006B670C">
        <w:rPr>
          <w:lang w:val="en-US"/>
        </w:rPr>
        <w:t xml:space="preserve">. </w:t>
      </w:r>
    </w:p>
    <w:p w:rsidR="00C34699" w:rsidRPr="00720AC5" w:rsidRDefault="00C34699" w:rsidP="00C34699">
      <w:pPr>
        <w:rPr>
          <w:u w:val="single"/>
          <w:lang w:val="en-US"/>
        </w:rPr>
      </w:pPr>
      <w:r w:rsidRPr="00720AC5">
        <w:rPr>
          <w:u w:val="single"/>
          <w:lang w:val="en-US"/>
        </w:rPr>
        <w:t>Japan</w:t>
      </w:r>
      <w:r w:rsidR="006B670C" w:rsidRPr="00720AC5">
        <w:rPr>
          <w:u w:val="single"/>
          <w:lang w:val="en-US"/>
        </w:rPr>
        <w:t>:</w:t>
      </w:r>
    </w:p>
    <w:p w:rsidR="00C34699" w:rsidRPr="00C34699" w:rsidRDefault="00C34699" w:rsidP="00C34699">
      <w:pPr>
        <w:rPr>
          <w:lang w:val="en-US"/>
        </w:rPr>
      </w:pPr>
      <w:r w:rsidRPr="00C34699">
        <w:rPr>
          <w:lang w:val="en-US"/>
        </w:rPr>
        <w:t>In year 2000, the Ministry of Public Management, Home Affairs,</w:t>
      </w:r>
      <w:r w:rsidR="006B670C">
        <w:rPr>
          <w:lang w:val="en-US"/>
        </w:rPr>
        <w:t xml:space="preserve"> </w:t>
      </w:r>
      <w:r w:rsidRPr="00C34699">
        <w:rPr>
          <w:lang w:val="en-US"/>
        </w:rPr>
        <w:t>Posts, and Telecommunications (MPHPT) of Japan issued</w:t>
      </w:r>
      <w:r w:rsidR="006B670C">
        <w:rPr>
          <w:lang w:val="en-US"/>
        </w:rPr>
        <w:t xml:space="preserve"> </w:t>
      </w:r>
      <w:r w:rsidRPr="00C34699">
        <w:rPr>
          <w:lang w:val="en-US"/>
        </w:rPr>
        <w:t xml:space="preserve">60 GHz radio regulations for unlicensed </w:t>
      </w:r>
      <w:proofErr w:type="spellStart"/>
      <w:r w:rsidRPr="00C34699">
        <w:rPr>
          <w:lang w:val="en-US"/>
        </w:rPr>
        <w:t>utili</w:t>
      </w:r>
      <w:r w:rsidR="006B670C">
        <w:rPr>
          <w:lang w:val="en-US"/>
        </w:rPr>
        <w:t>s</w:t>
      </w:r>
      <w:r w:rsidRPr="00C34699">
        <w:rPr>
          <w:lang w:val="en-US"/>
        </w:rPr>
        <w:t>ation</w:t>
      </w:r>
      <w:proofErr w:type="spellEnd"/>
      <w:r w:rsidRPr="00C34699">
        <w:rPr>
          <w:lang w:val="en-US"/>
        </w:rPr>
        <w:t xml:space="preserve"> in</w:t>
      </w:r>
      <w:r w:rsidR="006B670C">
        <w:rPr>
          <w:lang w:val="en-US"/>
        </w:rPr>
        <w:t xml:space="preserve"> </w:t>
      </w:r>
      <w:r w:rsidRPr="00C34699">
        <w:rPr>
          <w:lang w:val="en-US"/>
        </w:rPr>
        <w:t>the 59–66 GHz band. The 54.25–59 GHz band is however</w:t>
      </w:r>
      <w:r w:rsidR="006B670C">
        <w:rPr>
          <w:lang w:val="en-US"/>
        </w:rPr>
        <w:t xml:space="preserve"> </w:t>
      </w:r>
      <w:r w:rsidRPr="00C34699">
        <w:rPr>
          <w:lang w:val="en-US"/>
        </w:rPr>
        <w:t>allocated for licensed use. The maximum transmit power for</w:t>
      </w:r>
      <w:r w:rsidR="006B670C">
        <w:rPr>
          <w:lang w:val="en-US"/>
        </w:rPr>
        <w:t xml:space="preserve"> </w:t>
      </w:r>
      <w:r w:rsidRPr="00C34699">
        <w:rPr>
          <w:lang w:val="en-US"/>
        </w:rPr>
        <w:t xml:space="preserve">the unlicensed use is limited to 10 </w:t>
      </w:r>
      <w:proofErr w:type="spellStart"/>
      <w:r w:rsidRPr="00C34699">
        <w:rPr>
          <w:lang w:val="en-US"/>
        </w:rPr>
        <w:t>dBm</w:t>
      </w:r>
      <w:proofErr w:type="spellEnd"/>
      <w:r w:rsidRPr="00C34699">
        <w:rPr>
          <w:lang w:val="en-US"/>
        </w:rPr>
        <w:t xml:space="preserve"> with maximum allowable</w:t>
      </w:r>
      <w:r w:rsidR="006B670C">
        <w:rPr>
          <w:lang w:val="en-US"/>
        </w:rPr>
        <w:t xml:space="preserve"> </w:t>
      </w:r>
      <w:r w:rsidRPr="00C34699">
        <w:rPr>
          <w:lang w:val="en-US"/>
        </w:rPr>
        <w:t xml:space="preserve">antenna gain of 47 </w:t>
      </w:r>
      <w:proofErr w:type="spellStart"/>
      <w:r w:rsidRPr="00C34699">
        <w:rPr>
          <w:lang w:val="en-US"/>
        </w:rPr>
        <w:t>dBi</w:t>
      </w:r>
      <w:proofErr w:type="spellEnd"/>
      <w:r w:rsidRPr="00C34699">
        <w:rPr>
          <w:lang w:val="en-US"/>
        </w:rPr>
        <w:t>. Unlike in North America,</w:t>
      </w:r>
      <w:r w:rsidR="006B670C">
        <w:rPr>
          <w:lang w:val="en-US"/>
        </w:rPr>
        <w:t xml:space="preserve"> </w:t>
      </w:r>
      <w:r w:rsidRPr="00C34699">
        <w:rPr>
          <w:lang w:val="en-US"/>
        </w:rPr>
        <w:t>Japanese regulations specified that the maximum transmission</w:t>
      </w:r>
      <w:r w:rsidR="006B670C">
        <w:rPr>
          <w:lang w:val="en-US"/>
        </w:rPr>
        <w:t xml:space="preserve"> </w:t>
      </w:r>
      <w:r w:rsidRPr="00C34699">
        <w:rPr>
          <w:lang w:val="en-US"/>
        </w:rPr>
        <w:lastRenderedPageBreak/>
        <w:t>bandwidth must not exceed 2.5GHz. There is no specification</w:t>
      </w:r>
      <w:r w:rsidR="006B670C">
        <w:rPr>
          <w:lang w:val="en-US"/>
        </w:rPr>
        <w:t xml:space="preserve"> </w:t>
      </w:r>
      <w:r w:rsidRPr="00C34699">
        <w:rPr>
          <w:lang w:val="en-US"/>
        </w:rPr>
        <w:t>for RF radiation exposure and transmitter identification</w:t>
      </w:r>
      <w:r w:rsidR="006B670C">
        <w:rPr>
          <w:lang w:val="en-US"/>
        </w:rPr>
        <w:t xml:space="preserve"> </w:t>
      </w:r>
      <w:r w:rsidRPr="00C34699">
        <w:rPr>
          <w:lang w:val="en-US"/>
        </w:rPr>
        <w:t>requirements.</w:t>
      </w:r>
    </w:p>
    <w:p w:rsidR="00C34699" w:rsidRPr="00720AC5" w:rsidRDefault="00C34699" w:rsidP="00C34699">
      <w:pPr>
        <w:rPr>
          <w:u w:val="single"/>
          <w:lang w:val="en-US"/>
        </w:rPr>
      </w:pPr>
      <w:r w:rsidRPr="00720AC5">
        <w:rPr>
          <w:u w:val="single"/>
          <w:lang w:val="en-US"/>
        </w:rPr>
        <w:t>Australia</w:t>
      </w:r>
      <w:r w:rsidR="006B670C" w:rsidRPr="00720AC5">
        <w:rPr>
          <w:u w:val="single"/>
          <w:lang w:val="en-US"/>
        </w:rPr>
        <w:t>:</w:t>
      </w:r>
    </w:p>
    <w:p w:rsidR="00C34699" w:rsidRPr="00C34699" w:rsidRDefault="00C34699" w:rsidP="00C34699">
      <w:pPr>
        <w:rPr>
          <w:lang w:val="en-US"/>
        </w:rPr>
      </w:pPr>
      <w:r w:rsidRPr="00C34699">
        <w:rPr>
          <w:lang w:val="en-US"/>
        </w:rPr>
        <w:t>Following the release of regulations in Japan and North</w:t>
      </w:r>
      <w:r w:rsidR="006B670C">
        <w:rPr>
          <w:lang w:val="en-US"/>
        </w:rPr>
        <w:t xml:space="preserve"> </w:t>
      </w:r>
      <w:r w:rsidRPr="00C34699">
        <w:rPr>
          <w:lang w:val="en-US"/>
        </w:rPr>
        <w:t>America, the Australian Communications and Media Authority</w:t>
      </w:r>
      <w:r w:rsidR="006B670C">
        <w:rPr>
          <w:lang w:val="en-US"/>
        </w:rPr>
        <w:t xml:space="preserve"> </w:t>
      </w:r>
      <w:r w:rsidRPr="00C34699">
        <w:rPr>
          <w:lang w:val="en-US"/>
        </w:rPr>
        <w:t>(ACMA) has taken a similar step to regulate 60GHz</w:t>
      </w:r>
    </w:p>
    <w:p w:rsidR="00C34699" w:rsidRPr="000256E7" w:rsidRDefault="00C34699" w:rsidP="00C34699">
      <w:pPr>
        <w:rPr>
          <w:lang w:val="en-US"/>
        </w:rPr>
      </w:pPr>
      <w:proofErr w:type="gramStart"/>
      <w:r w:rsidRPr="00C34699">
        <w:rPr>
          <w:lang w:val="en-US"/>
        </w:rPr>
        <w:t>band</w:t>
      </w:r>
      <w:proofErr w:type="gramEnd"/>
      <w:r w:rsidRPr="00C34699">
        <w:rPr>
          <w:lang w:val="en-US"/>
        </w:rPr>
        <w:t>. However, only 3.5GHz bandwidth is allocated for</w:t>
      </w:r>
      <w:r w:rsidR="006B670C">
        <w:rPr>
          <w:lang w:val="en-US"/>
        </w:rPr>
        <w:t xml:space="preserve"> </w:t>
      </w:r>
      <w:r w:rsidRPr="00C34699">
        <w:rPr>
          <w:lang w:val="en-US"/>
        </w:rPr>
        <w:t>unlicensed use, that is, from 59.4–62.9GHz. The maximum</w:t>
      </w:r>
      <w:r w:rsidR="006B670C">
        <w:rPr>
          <w:lang w:val="en-US"/>
        </w:rPr>
        <w:t xml:space="preserve"> </w:t>
      </w:r>
      <w:r w:rsidRPr="00C34699">
        <w:rPr>
          <w:lang w:val="en-US"/>
        </w:rPr>
        <w:t xml:space="preserve">transmit power and maximum EIRP are limited to 10 </w:t>
      </w:r>
      <w:proofErr w:type="spellStart"/>
      <w:r w:rsidRPr="00C34699">
        <w:rPr>
          <w:lang w:val="en-US"/>
        </w:rPr>
        <w:t>dBm</w:t>
      </w:r>
      <w:proofErr w:type="spellEnd"/>
      <w:r w:rsidR="006B670C">
        <w:rPr>
          <w:lang w:val="en-US"/>
        </w:rPr>
        <w:t xml:space="preserve"> </w:t>
      </w:r>
      <w:r w:rsidRPr="00C34699">
        <w:rPr>
          <w:lang w:val="en-US"/>
        </w:rPr>
        <w:t xml:space="preserve">and 51.7 </w:t>
      </w:r>
      <w:proofErr w:type="spellStart"/>
      <w:r w:rsidRPr="00C34699">
        <w:rPr>
          <w:lang w:val="en-US"/>
        </w:rPr>
        <w:t>dBm</w:t>
      </w:r>
      <w:proofErr w:type="spellEnd"/>
      <w:r w:rsidRPr="00C34699">
        <w:rPr>
          <w:lang w:val="en-US"/>
        </w:rPr>
        <w:t>, respectively. The data communication transmitters</w:t>
      </w:r>
      <w:r w:rsidR="006B670C">
        <w:rPr>
          <w:lang w:val="en-US"/>
        </w:rPr>
        <w:t xml:space="preserve"> </w:t>
      </w:r>
      <w:r w:rsidRPr="00C34699">
        <w:rPr>
          <w:lang w:val="en-US"/>
        </w:rPr>
        <w:t>that operate in this frequency band are limited to land</w:t>
      </w:r>
      <w:r w:rsidR="006B670C">
        <w:rPr>
          <w:lang w:val="en-US"/>
        </w:rPr>
        <w:t xml:space="preserve"> </w:t>
      </w:r>
      <w:r w:rsidRPr="000256E7">
        <w:rPr>
          <w:lang w:val="en-US"/>
        </w:rPr>
        <w:t>and maritime deployments.</w:t>
      </w:r>
    </w:p>
    <w:p w:rsidR="001F5679" w:rsidRPr="00720AC5" w:rsidRDefault="006B670C" w:rsidP="001F5679">
      <w:pPr>
        <w:rPr>
          <w:u w:val="single"/>
          <w:lang w:val="en-US"/>
        </w:rPr>
      </w:pPr>
      <w:r w:rsidRPr="00720AC5">
        <w:rPr>
          <w:u w:val="single"/>
          <w:lang w:val="en-US"/>
        </w:rPr>
        <w:t xml:space="preserve">South </w:t>
      </w:r>
      <w:r w:rsidR="001F5679" w:rsidRPr="00720AC5">
        <w:rPr>
          <w:u w:val="single"/>
          <w:lang w:val="en-US"/>
        </w:rPr>
        <w:t>Korea</w:t>
      </w:r>
      <w:r w:rsidRPr="00720AC5">
        <w:rPr>
          <w:u w:val="single"/>
          <w:lang w:val="en-US"/>
        </w:rPr>
        <w:t>:</w:t>
      </w:r>
    </w:p>
    <w:p w:rsidR="001F5679" w:rsidRDefault="001F5679" w:rsidP="001F5679">
      <w:pPr>
        <w:rPr>
          <w:lang w:val="en-US"/>
        </w:rPr>
      </w:pPr>
      <w:r w:rsidRPr="001F5679">
        <w:rPr>
          <w:lang w:val="en-US"/>
        </w:rPr>
        <w:t>In June 2005,</w:t>
      </w:r>
      <w:r w:rsidR="006B670C">
        <w:rPr>
          <w:lang w:val="en-US"/>
        </w:rPr>
        <w:t xml:space="preserve"> </w:t>
      </w:r>
      <w:proofErr w:type="spellStart"/>
      <w:r w:rsidRPr="001F5679">
        <w:rPr>
          <w:lang w:val="en-US"/>
        </w:rPr>
        <w:t>mmWave</w:t>
      </w:r>
      <w:proofErr w:type="spellEnd"/>
      <w:r w:rsidRPr="001F5679">
        <w:rPr>
          <w:lang w:val="en-US"/>
        </w:rPr>
        <w:t xml:space="preserve"> Frequency Study Group (MFSG) was</w:t>
      </w:r>
      <w:r w:rsidR="006B670C">
        <w:rPr>
          <w:lang w:val="en-US"/>
        </w:rPr>
        <w:t xml:space="preserve"> </w:t>
      </w:r>
      <w:r w:rsidRPr="001F5679">
        <w:rPr>
          <w:lang w:val="en-US"/>
        </w:rPr>
        <w:t>formed under the Kor</w:t>
      </w:r>
      <w:r w:rsidR="006B670C">
        <w:rPr>
          <w:lang w:val="en-US"/>
        </w:rPr>
        <w:t xml:space="preserve">ean Radio Promotion Association. </w:t>
      </w:r>
      <w:r w:rsidRPr="001F5679">
        <w:rPr>
          <w:lang w:val="en-US"/>
        </w:rPr>
        <w:t>The MFSG has recommended a 7 GHz unlicensed spectrum</w:t>
      </w:r>
      <w:r w:rsidR="006B670C">
        <w:rPr>
          <w:lang w:val="en-US"/>
        </w:rPr>
        <w:t xml:space="preserve"> </w:t>
      </w:r>
      <w:r w:rsidRPr="001F5679">
        <w:rPr>
          <w:lang w:val="en-US"/>
        </w:rPr>
        <w:t>from 57–64 GHz without limitation on the types of application</w:t>
      </w:r>
      <w:r w:rsidR="006B670C">
        <w:rPr>
          <w:lang w:val="en-US"/>
        </w:rPr>
        <w:t xml:space="preserve"> </w:t>
      </w:r>
      <w:r w:rsidRPr="001F5679">
        <w:rPr>
          <w:lang w:val="en-US"/>
        </w:rPr>
        <w:t>to be used. The maximum transmit power is the same as</w:t>
      </w:r>
      <w:r w:rsidR="006B670C">
        <w:rPr>
          <w:lang w:val="en-US"/>
        </w:rPr>
        <w:t xml:space="preserve"> </w:t>
      </w:r>
      <w:r w:rsidRPr="001F5679">
        <w:rPr>
          <w:lang w:val="en-US"/>
        </w:rPr>
        <w:t xml:space="preserve">in Japan and Australia, that is, 10 </w:t>
      </w:r>
      <w:proofErr w:type="spellStart"/>
      <w:r w:rsidRPr="001F5679">
        <w:rPr>
          <w:lang w:val="en-US"/>
        </w:rPr>
        <w:t>dBm</w:t>
      </w:r>
      <w:proofErr w:type="spellEnd"/>
      <w:r w:rsidR="006B670C">
        <w:rPr>
          <w:lang w:val="en-US"/>
        </w:rPr>
        <w:t xml:space="preserve">. </w:t>
      </w:r>
    </w:p>
    <w:p w:rsidR="006B670C" w:rsidRDefault="006B670C" w:rsidP="001F5679">
      <w:pPr>
        <w:rPr>
          <w:lang w:val="en-US"/>
        </w:rPr>
      </w:pPr>
      <w:r w:rsidRPr="00720AC5">
        <w:rPr>
          <w:u w:val="single"/>
          <w:lang w:val="en-US"/>
        </w:rPr>
        <w:t>China:</w:t>
      </w:r>
      <w:r>
        <w:rPr>
          <w:lang w:val="en-US"/>
        </w:rPr>
        <w:t xml:space="preserve"> 59-64 GHz, with up to 10 </w:t>
      </w:r>
      <w:proofErr w:type="spellStart"/>
      <w:r>
        <w:rPr>
          <w:lang w:val="en-US"/>
        </w:rPr>
        <w:t>mW</w:t>
      </w:r>
      <w:proofErr w:type="spellEnd"/>
      <w:r>
        <w:rPr>
          <w:lang w:val="en-US"/>
        </w:rPr>
        <w:t xml:space="preserve"> conducted power and </w:t>
      </w:r>
      <w:r w:rsidR="00720AC5">
        <w:rPr>
          <w:lang w:val="en-US"/>
        </w:rPr>
        <w:t xml:space="preserve">44 </w:t>
      </w:r>
      <w:proofErr w:type="spellStart"/>
      <w:r w:rsidR="00720AC5">
        <w:rPr>
          <w:lang w:val="en-US"/>
        </w:rPr>
        <w:t>dBm</w:t>
      </w:r>
      <w:proofErr w:type="spellEnd"/>
      <w:r w:rsidR="00720AC5">
        <w:rPr>
          <w:lang w:val="en-US"/>
        </w:rPr>
        <w:t xml:space="preserve"> </w:t>
      </w:r>
      <w:proofErr w:type="spellStart"/>
      <w:r w:rsidR="00720AC5">
        <w:rPr>
          <w:lang w:val="en-US"/>
        </w:rPr>
        <w:t>e.i.r.p</w:t>
      </w:r>
      <w:proofErr w:type="spellEnd"/>
      <w:r w:rsidR="00720AC5">
        <w:rPr>
          <w:lang w:val="en-US"/>
        </w:rPr>
        <w:t>.</w:t>
      </w:r>
    </w:p>
    <w:p w:rsidR="00720AC5" w:rsidRPr="006B670C" w:rsidRDefault="00720AC5" w:rsidP="001F5679">
      <w:pPr>
        <w:rPr>
          <w:lang w:val="en-US"/>
        </w:rPr>
      </w:pPr>
      <w:r w:rsidRPr="00584AA1">
        <w:rPr>
          <w:u w:val="single"/>
          <w:lang w:val="en-US"/>
        </w:rPr>
        <w:t>Europe:</w:t>
      </w:r>
      <w:r>
        <w:rPr>
          <w:lang w:val="en-US"/>
        </w:rPr>
        <w:t xml:space="preserve"> ERC/REC 70-03 Annex 3 band b: 40 </w:t>
      </w:r>
      <w:proofErr w:type="spellStart"/>
      <w:r>
        <w:rPr>
          <w:lang w:val="en-US"/>
        </w:rPr>
        <w:t>dBm</w:t>
      </w:r>
      <w:proofErr w:type="spellEnd"/>
      <w:r>
        <w:rPr>
          <w:lang w:val="en-US"/>
        </w:rPr>
        <w:t xml:space="preserve"> </w:t>
      </w:r>
      <w:proofErr w:type="spellStart"/>
      <w:r>
        <w:rPr>
          <w:lang w:val="en-US"/>
        </w:rPr>
        <w:t>e.i.r.p</w:t>
      </w:r>
      <w:proofErr w:type="spellEnd"/>
      <w:r>
        <w:rPr>
          <w:lang w:val="en-US"/>
        </w:rPr>
        <w:t xml:space="preserve">., </w:t>
      </w:r>
      <w:r w:rsidRPr="00720AC5">
        <w:rPr>
          <w:lang w:val="en-US"/>
        </w:rPr>
        <w:t>Adequate spectrum sharing mechanism (e.g. Listen-before-Talk, Detect-And-Avoid) shall be implemented by the equipment</w:t>
      </w:r>
      <w:r>
        <w:rPr>
          <w:lang w:val="en-US"/>
        </w:rPr>
        <w:t xml:space="preserve">, </w:t>
      </w:r>
      <w:r w:rsidRPr="00584AA1">
        <w:rPr>
          <w:u w:val="single"/>
          <w:lang w:val="en-US"/>
        </w:rPr>
        <w:t>though still not specified</w:t>
      </w:r>
      <w:r>
        <w:rPr>
          <w:lang w:val="en-US"/>
        </w:rPr>
        <w:t xml:space="preserve"> in the ETSI EN </w:t>
      </w:r>
      <w:proofErr w:type="spellStart"/>
      <w:r>
        <w:rPr>
          <w:lang w:val="en-US"/>
        </w:rPr>
        <w:t>EN</w:t>
      </w:r>
      <w:proofErr w:type="spellEnd"/>
      <w:r>
        <w:rPr>
          <w:lang w:val="en-US"/>
        </w:rPr>
        <w:t xml:space="preserve"> 302 567. </w:t>
      </w:r>
      <w:r w:rsidRPr="00720AC5">
        <w:rPr>
          <w:lang w:val="en-US"/>
        </w:rPr>
        <w:t xml:space="preserve">Fixed outdoor installations are not allowed. The maximum mean </w:t>
      </w:r>
      <w:proofErr w:type="spellStart"/>
      <w:r w:rsidRPr="00720AC5">
        <w:rPr>
          <w:lang w:val="en-US"/>
        </w:rPr>
        <w:t>e.i.r.p</w:t>
      </w:r>
      <w:proofErr w:type="spellEnd"/>
      <w:r w:rsidRPr="00720AC5">
        <w:rPr>
          <w:lang w:val="en-US"/>
        </w:rPr>
        <w:t xml:space="preserve"> density is limited to 13 </w:t>
      </w:r>
      <w:proofErr w:type="spellStart"/>
      <w:r w:rsidRPr="00720AC5">
        <w:rPr>
          <w:lang w:val="en-US"/>
        </w:rPr>
        <w:t>dBm</w:t>
      </w:r>
      <w:proofErr w:type="spellEnd"/>
      <w:r w:rsidRPr="00720AC5">
        <w:rPr>
          <w:lang w:val="en-US"/>
        </w:rPr>
        <w:t>/</w:t>
      </w:r>
      <w:proofErr w:type="spellStart"/>
      <w:r w:rsidRPr="00720AC5">
        <w:rPr>
          <w:lang w:val="en-US"/>
        </w:rPr>
        <w:t>MHz.</w:t>
      </w:r>
      <w:proofErr w:type="spellEnd"/>
      <w:r w:rsidRPr="00720AC5">
        <w:rPr>
          <w:lang w:val="en-US"/>
        </w:rPr>
        <w:t xml:space="preserve"> Point-to-point links of the Fixed Service are regulated by ECC/REC/(05)02 and ECC/REC/(09)01</w:t>
      </w:r>
      <w:r>
        <w:rPr>
          <w:lang w:val="en-US"/>
        </w:rPr>
        <w:t>.</w:t>
      </w:r>
    </w:p>
    <w:p w:rsidR="001F5679" w:rsidRDefault="001F5679" w:rsidP="001F5679">
      <w:pPr>
        <w:rPr>
          <w:lang w:val="da-DK"/>
        </w:rPr>
      </w:pPr>
      <w:r>
        <w:rPr>
          <w:noProof/>
          <w:lang w:val="da-DK" w:eastAsia="da-DK"/>
        </w:rPr>
        <w:drawing>
          <wp:inline distT="0" distB="0" distL="0" distR="0" wp14:anchorId="2E4AA8C6" wp14:editId="0139926B">
            <wp:extent cx="5941060" cy="392615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941060" cy="3926152"/>
                    </a:xfrm>
                    <a:prstGeom prst="rect">
                      <a:avLst/>
                    </a:prstGeom>
                  </pic:spPr>
                </pic:pic>
              </a:graphicData>
            </a:graphic>
          </wp:inline>
        </w:drawing>
      </w:r>
    </w:p>
    <w:p w:rsidR="000E7FAC" w:rsidRDefault="000E7FAC" w:rsidP="001F5679">
      <w:pPr>
        <w:rPr>
          <w:lang w:val="da-DK"/>
        </w:rPr>
      </w:pPr>
    </w:p>
    <w:p w:rsidR="000E7FAC" w:rsidRPr="00584AA1" w:rsidRDefault="00584AA1" w:rsidP="00584AA1">
      <w:pPr>
        <w:pStyle w:val="ListParagraph"/>
        <w:numPr>
          <w:ilvl w:val="0"/>
          <w:numId w:val="3"/>
        </w:numPr>
        <w:spacing w:after="0"/>
        <w:rPr>
          <w:b/>
          <w:sz w:val="28"/>
          <w:szCs w:val="28"/>
        </w:rPr>
      </w:pPr>
      <w:r w:rsidRPr="00584AA1">
        <w:rPr>
          <w:b/>
          <w:sz w:val="28"/>
          <w:szCs w:val="28"/>
        </w:rPr>
        <w:t xml:space="preserve">USA: </w:t>
      </w:r>
      <w:r w:rsidR="000E7FAC" w:rsidRPr="00584AA1">
        <w:rPr>
          <w:b/>
          <w:sz w:val="28"/>
          <w:szCs w:val="28"/>
        </w:rPr>
        <w:t xml:space="preserve">Qualcomm, </w:t>
      </w:r>
      <w:proofErr w:type="spellStart"/>
      <w:r w:rsidR="000E7FAC" w:rsidRPr="00584AA1">
        <w:rPr>
          <w:b/>
          <w:sz w:val="28"/>
          <w:szCs w:val="28"/>
        </w:rPr>
        <w:t>Gogo</w:t>
      </w:r>
      <w:proofErr w:type="spellEnd"/>
      <w:r w:rsidR="000E7FAC" w:rsidRPr="00584AA1">
        <w:rPr>
          <w:b/>
          <w:sz w:val="28"/>
          <w:szCs w:val="28"/>
        </w:rPr>
        <w:t xml:space="preserve">, </w:t>
      </w:r>
      <w:r>
        <w:rPr>
          <w:b/>
          <w:sz w:val="28"/>
          <w:szCs w:val="28"/>
        </w:rPr>
        <w:t xml:space="preserve">Inmarsat and </w:t>
      </w:r>
      <w:r w:rsidR="000E7FAC" w:rsidRPr="00584AA1">
        <w:rPr>
          <w:b/>
          <w:sz w:val="28"/>
          <w:szCs w:val="28"/>
        </w:rPr>
        <w:t>others continue to push for FCC's 14 GHz ATG spectrum auction</w:t>
      </w:r>
      <w:r w:rsidRPr="00584AA1">
        <w:rPr>
          <w:b/>
          <w:sz w:val="28"/>
          <w:szCs w:val="28"/>
        </w:rPr>
        <w:t xml:space="preserve"> (‘DA2GC’)</w:t>
      </w:r>
    </w:p>
    <w:p w:rsidR="000E7FAC" w:rsidRPr="000E7FAC" w:rsidRDefault="000E7FAC" w:rsidP="000E7FAC">
      <w:pPr>
        <w:rPr>
          <w:lang w:val="en-US"/>
        </w:rPr>
      </w:pPr>
    </w:p>
    <w:p w:rsidR="00584AA1" w:rsidRPr="00584AA1" w:rsidRDefault="00584AA1" w:rsidP="00584AA1">
      <w:pPr>
        <w:rPr>
          <w:lang w:val="en-US"/>
        </w:rPr>
      </w:pPr>
      <w:r>
        <w:rPr>
          <w:lang w:val="en-US"/>
        </w:rPr>
        <w:t xml:space="preserve">This follows earlier reporting in past ECO bulletins and is a follow-up. </w:t>
      </w:r>
      <w:r w:rsidRPr="00584AA1">
        <w:rPr>
          <w:lang w:val="en-US"/>
        </w:rPr>
        <w:t xml:space="preserve">The topic was addressed during the </w:t>
      </w:r>
      <w:r>
        <w:rPr>
          <w:lang w:val="en-US"/>
        </w:rPr>
        <w:t xml:space="preserve">last </w:t>
      </w:r>
      <w:r w:rsidRPr="00584AA1">
        <w:rPr>
          <w:lang w:val="en-US"/>
        </w:rPr>
        <w:t>ECC/FCC(USA)/IC(Canada) meeting</w:t>
      </w:r>
      <w:r>
        <w:rPr>
          <w:lang w:val="en-US"/>
        </w:rPr>
        <w:t xml:space="preserve"> (it is proposed to request an update from the FCC during the next multilateral informal meeting)</w:t>
      </w:r>
      <w:r w:rsidRPr="00584AA1">
        <w:rPr>
          <w:lang w:val="en-US"/>
        </w:rPr>
        <w:t xml:space="preserve">, and it was reported that further </w:t>
      </w:r>
      <w:r w:rsidRPr="00584AA1">
        <w:rPr>
          <w:lang w:val="en-US"/>
        </w:rPr>
        <w:lastRenderedPageBreak/>
        <w:t>discussions are necessary before activities on 14 GHz could proceed in the USA, in particular to further investigate the potential interf</w:t>
      </w:r>
      <w:r>
        <w:rPr>
          <w:lang w:val="en-US"/>
        </w:rPr>
        <w:t>erences to the satellite uplink (it is understood that the ATG (Da2GC) network would need to avoid interference into the geostationary arc- satellite receiver front-ends).</w:t>
      </w:r>
    </w:p>
    <w:p w:rsidR="000E7FAC" w:rsidRPr="000E7FAC" w:rsidRDefault="00584AA1" w:rsidP="00584AA1">
      <w:pPr>
        <w:rPr>
          <w:lang w:val="en-US"/>
        </w:rPr>
      </w:pPr>
      <w:r w:rsidRPr="00584AA1">
        <w:rPr>
          <w:lang w:val="en-US"/>
        </w:rPr>
        <w:t xml:space="preserve">In addition, </w:t>
      </w:r>
      <w:r>
        <w:rPr>
          <w:lang w:val="en-US"/>
        </w:rPr>
        <w:t xml:space="preserve">such an auction could coincide with the </w:t>
      </w:r>
      <w:proofErr w:type="spellStart"/>
      <w:r>
        <w:rPr>
          <w:lang w:val="en-US"/>
        </w:rPr>
        <w:t>li</w:t>
      </w:r>
      <w:r w:rsidRPr="00584AA1">
        <w:rPr>
          <w:lang w:val="en-US"/>
        </w:rPr>
        <w:t>cence</w:t>
      </w:r>
      <w:proofErr w:type="spellEnd"/>
      <w:r w:rsidRPr="00584AA1">
        <w:rPr>
          <w:lang w:val="en-US"/>
        </w:rPr>
        <w:t xml:space="preserve"> expir</w:t>
      </w:r>
      <w:r w:rsidR="00AB3F55">
        <w:rPr>
          <w:lang w:val="en-US"/>
        </w:rPr>
        <w:t>y</w:t>
      </w:r>
      <w:r w:rsidRPr="00584AA1">
        <w:rPr>
          <w:lang w:val="en-US"/>
        </w:rPr>
        <w:t xml:space="preserve"> of the ‘</w:t>
      </w:r>
      <w:proofErr w:type="spellStart"/>
      <w:r w:rsidRPr="00584AA1">
        <w:rPr>
          <w:lang w:val="en-US"/>
        </w:rPr>
        <w:t>Gogo</w:t>
      </w:r>
      <w:proofErr w:type="spellEnd"/>
      <w:r w:rsidRPr="00584AA1">
        <w:rPr>
          <w:lang w:val="en-US"/>
        </w:rPr>
        <w:t xml:space="preserve">’ </w:t>
      </w:r>
      <w:proofErr w:type="spellStart"/>
      <w:proofErr w:type="gramStart"/>
      <w:r w:rsidRPr="00584AA1">
        <w:rPr>
          <w:lang w:val="en-US"/>
        </w:rPr>
        <w:t>licence</w:t>
      </w:r>
      <w:proofErr w:type="spellEnd"/>
      <w:r w:rsidRPr="00584AA1">
        <w:rPr>
          <w:lang w:val="en-US"/>
        </w:rPr>
        <w:t xml:space="preserve"> ’</w:t>
      </w:r>
      <w:proofErr w:type="gramEnd"/>
      <w:r w:rsidRPr="00584AA1">
        <w:rPr>
          <w:lang w:val="en-US"/>
        </w:rPr>
        <w:t xml:space="preserve"> in 2016</w:t>
      </w:r>
    </w:p>
    <w:p w:rsidR="00AB3F55" w:rsidRDefault="00584AA1" w:rsidP="000E7FAC">
      <w:pPr>
        <w:rPr>
          <w:lang w:val="en-US"/>
        </w:rPr>
      </w:pPr>
      <w:r>
        <w:rPr>
          <w:lang w:val="en-US"/>
        </w:rPr>
        <w:t xml:space="preserve">As reported in the press in the second half of 2015, </w:t>
      </w:r>
      <w:r w:rsidR="000E7FAC" w:rsidRPr="000E7FAC">
        <w:rPr>
          <w:lang w:val="en-US"/>
        </w:rPr>
        <w:t xml:space="preserve">Qualcomm, </w:t>
      </w:r>
      <w:proofErr w:type="spellStart"/>
      <w:r w:rsidR="000E7FAC" w:rsidRPr="000E7FAC">
        <w:rPr>
          <w:lang w:val="en-US"/>
        </w:rPr>
        <w:t>Gogo</w:t>
      </w:r>
      <w:proofErr w:type="spellEnd"/>
      <w:r w:rsidR="000E7FAC" w:rsidRPr="000E7FAC">
        <w:rPr>
          <w:lang w:val="en-US"/>
        </w:rPr>
        <w:t xml:space="preserve">, Inmarsat and others continue to push the </w:t>
      </w:r>
      <w:r w:rsidR="000E7FAC" w:rsidRPr="00584AA1">
        <w:rPr>
          <w:b/>
          <w:lang w:val="en-US"/>
        </w:rPr>
        <w:t>FCC to auction 500 MHz in the 14 GHz band for air-to-ground</w:t>
      </w:r>
      <w:r w:rsidR="000E7FAC" w:rsidRPr="00584AA1">
        <w:rPr>
          <w:lang w:val="en-US"/>
        </w:rPr>
        <w:t xml:space="preserve"> </w:t>
      </w:r>
      <w:r w:rsidR="000E7FAC" w:rsidRPr="000E7FAC">
        <w:rPr>
          <w:lang w:val="en-US"/>
        </w:rPr>
        <w:t>(ATG) wireless services for airline passengers, despite their newfound interest in satellite-based technologies. Specifically, the companies are arguing that in-flight broadband services do not pose a danger to airline passengers and personnel</w:t>
      </w:r>
      <w:r>
        <w:rPr>
          <w:lang w:val="en-US"/>
        </w:rPr>
        <w:t xml:space="preserve"> (</w:t>
      </w:r>
      <w:r w:rsidRPr="00AB3F55">
        <w:rPr>
          <w:b/>
          <w:lang w:val="en-US"/>
        </w:rPr>
        <w:t>note: this was used as argument to hold the process at the FCC</w:t>
      </w:r>
      <w:r>
        <w:rPr>
          <w:lang w:val="en-US"/>
        </w:rPr>
        <w:t>)</w:t>
      </w:r>
      <w:r w:rsidR="000E7FAC" w:rsidRPr="000E7FAC">
        <w:rPr>
          <w:lang w:val="en-US"/>
        </w:rPr>
        <w:t>, and that a new ATG system would fortify existing terrestrial- and satellite-based systems for in-flight Internet access.</w:t>
      </w:r>
      <w:r w:rsidR="00AB3F55">
        <w:rPr>
          <w:lang w:val="en-US"/>
        </w:rPr>
        <w:t xml:space="preserve"> </w:t>
      </w:r>
      <w:r w:rsidR="000E7FAC" w:rsidRPr="000E7FAC">
        <w:rPr>
          <w:lang w:val="en-US"/>
        </w:rPr>
        <w:t xml:space="preserve">The FCC's establishment of another in-flight service allocation would not introduce any new risks to </w:t>
      </w:r>
      <w:r w:rsidR="00AB3F55">
        <w:rPr>
          <w:lang w:val="en-US"/>
        </w:rPr>
        <w:t>national security or air safety.</w:t>
      </w:r>
      <w:r w:rsidR="000E7FAC" w:rsidRPr="000E7FAC">
        <w:rPr>
          <w:lang w:val="en-US"/>
        </w:rPr>
        <w:t xml:space="preserve"> </w:t>
      </w:r>
    </w:p>
    <w:p w:rsidR="00AB3F55" w:rsidRDefault="00AB3F55" w:rsidP="000E7FAC">
      <w:pPr>
        <w:rPr>
          <w:lang w:val="en-US"/>
        </w:rPr>
      </w:pPr>
      <w:r w:rsidRPr="00AB3F55">
        <w:rPr>
          <w:lang w:val="en-US"/>
        </w:rPr>
        <w:t xml:space="preserve">The FCC has been deliberating for years over whether to </w:t>
      </w:r>
      <w:proofErr w:type="spellStart"/>
      <w:r w:rsidRPr="00AB3F55">
        <w:rPr>
          <w:lang w:val="en-US"/>
        </w:rPr>
        <w:t>authorise</w:t>
      </w:r>
      <w:proofErr w:type="spellEnd"/>
      <w:r w:rsidRPr="00AB3F55">
        <w:rPr>
          <w:lang w:val="en-US"/>
        </w:rPr>
        <w:t xml:space="preserve"> mobile broadband service on a secondary license basis in the 14.0-14.5 GHz band (colloquially referred to as “14G”, this is within the Ku band primarily used for satellite communications). Earlier this year, the commission came very close to issuing a Report and Order for the auction to take place, but the Association of Flight Attendants-CWA filed an objection citing cyber security concerns.</w:t>
      </w:r>
    </w:p>
    <w:p w:rsidR="000E7FAC" w:rsidRPr="000E7FAC" w:rsidRDefault="000E7FAC" w:rsidP="000E7FAC">
      <w:pPr>
        <w:rPr>
          <w:lang w:val="en-US"/>
        </w:rPr>
      </w:pPr>
      <w:proofErr w:type="spellStart"/>
      <w:r w:rsidRPr="00AB3F55">
        <w:rPr>
          <w:b/>
          <w:lang w:val="en-US"/>
        </w:rPr>
        <w:t>Gogo</w:t>
      </w:r>
      <w:proofErr w:type="spellEnd"/>
      <w:r w:rsidRPr="000E7FAC">
        <w:rPr>
          <w:lang w:val="en-US"/>
        </w:rPr>
        <w:t xml:space="preserve"> wrote in a recent filing with the FCC on the proposed spectrum auction. "Moreover, greater in-flight communications capabilities would enhance flight safety for passengers and crew members and, in the future, could enable additional aviation benefits, such as the provision of a real-time 'black box</w:t>
      </w:r>
    </w:p>
    <w:p w:rsidR="000E7FAC" w:rsidRPr="000E7FAC" w:rsidRDefault="000E7FAC" w:rsidP="000E7FAC">
      <w:pPr>
        <w:rPr>
          <w:lang w:val="en-US"/>
        </w:rPr>
      </w:pPr>
      <w:r w:rsidRPr="00AB3F55">
        <w:rPr>
          <w:b/>
          <w:lang w:val="en-US"/>
        </w:rPr>
        <w:t>Inmarsat</w:t>
      </w:r>
      <w:r w:rsidRPr="000E7FAC">
        <w:rPr>
          <w:lang w:val="en-US"/>
        </w:rPr>
        <w:t xml:space="preserve"> noted that passengers are increasingly interested in in-flight broadband," the company wrote in its own filing. "The 14 GHz proceeding proposes a complementary air-to-ground, in-cabin broadband service across the United States. This proposed service would be an expansion of existing in-flight services that have operated in a manner that manages risks to national security and air safety."</w:t>
      </w:r>
    </w:p>
    <w:p w:rsidR="000E7FAC" w:rsidRPr="000E7FAC" w:rsidRDefault="000E7FAC" w:rsidP="000E7FAC">
      <w:pPr>
        <w:rPr>
          <w:lang w:val="en-US"/>
        </w:rPr>
      </w:pPr>
      <w:r w:rsidRPr="000E7FAC">
        <w:rPr>
          <w:lang w:val="en-US"/>
        </w:rPr>
        <w:t>Those comments are in response to the position of the Safety and Security in the Air Coalition, which has argued against the 14 GHz auction because in-flight communications for airline passengers "greatly enhance communications capabilities for terrorists and increase cyberwarfare vulnerabilities, leading to unacceptable risks of successful attacks on the United States aviation system with significant and foreseeable adverse human and economic consequences."</w:t>
      </w:r>
    </w:p>
    <w:p w:rsidR="000E7FAC" w:rsidRPr="000E7FAC" w:rsidRDefault="000E7FAC" w:rsidP="000E7FAC">
      <w:pPr>
        <w:rPr>
          <w:lang w:val="en-US"/>
        </w:rPr>
      </w:pPr>
      <w:r w:rsidRPr="00AB3F55">
        <w:rPr>
          <w:b/>
          <w:lang w:val="en-US"/>
        </w:rPr>
        <w:t>Qualcomm</w:t>
      </w:r>
      <w:r w:rsidRPr="000E7FAC">
        <w:rPr>
          <w:lang w:val="en-US"/>
        </w:rPr>
        <w:t xml:space="preserve"> too remains in support of a 14 GHz auction, although the company hasn't issued a filing on the topic in months and has recently directed investments into satellite startup </w:t>
      </w:r>
      <w:proofErr w:type="spellStart"/>
      <w:r w:rsidRPr="000E7FAC">
        <w:rPr>
          <w:lang w:val="en-US"/>
        </w:rPr>
        <w:t>OneWeb</w:t>
      </w:r>
      <w:proofErr w:type="spellEnd"/>
      <w:r w:rsidRPr="000E7FAC">
        <w:rPr>
          <w:lang w:val="en-US"/>
        </w:rPr>
        <w:t xml:space="preserve">. Qualcomm was the company that in 2011 initially kicked off the topic by proposing that the FCC auction two 250 MHz nationwide licenses in the 14 GHz to 14.5 GHz band for a satellite/terrestrial network that Qualcomm said would provide airline passengers with data speeds up to 300 </w:t>
      </w:r>
      <w:proofErr w:type="spellStart"/>
      <w:r w:rsidRPr="000E7FAC">
        <w:rPr>
          <w:lang w:val="en-US"/>
        </w:rPr>
        <w:t>Gbps</w:t>
      </w:r>
      <w:proofErr w:type="spellEnd"/>
      <w:r w:rsidRPr="000E7FAC">
        <w:rPr>
          <w:lang w:val="en-US"/>
        </w:rPr>
        <w:t xml:space="preserve"> (real-world speeds enjoyed by each user on the plane would probably be much slower though). Qualcomm's proposal, dubbed the Next-Gen AG system, includes around 150 earthbound towers scattered around the country powering a network using a Time Division Duplex communications mode with an OFDMA-based air interface.</w:t>
      </w:r>
    </w:p>
    <w:p w:rsidR="000E7FAC" w:rsidRPr="000E7FAC" w:rsidRDefault="000E7FAC" w:rsidP="000E7FAC">
      <w:pPr>
        <w:rPr>
          <w:lang w:val="en-US"/>
        </w:rPr>
      </w:pPr>
      <w:r w:rsidRPr="000E7FAC">
        <w:rPr>
          <w:lang w:val="en-US"/>
        </w:rPr>
        <w:t>The FCC opened up a proposed rulemaking on the spectrum auction in 2013, noting at the time the spectrum would be shared with incumbent users, including fixed satellite services and certain U.S. government agencies. However, the FCC has remained silent on the topic since.</w:t>
      </w:r>
    </w:p>
    <w:p w:rsidR="000E7FAC" w:rsidRPr="000E7FAC" w:rsidRDefault="00AB3F55" w:rsidP="000E7FAC">
      <w:pPr>
        <w:rPr>
          <w:lang w:val="en-US"/>
        </w:rPr>
      </w:pPr>
      <w:r>
        <w:rPr>
          <w:lang w:val="en-US"/>
        </w:rPr>
        <w:t>W</w:t>
      </w:r>
      <w:r w:rsidR="000E7FAC" w:rsidRPr="000E7FAC">
        <w:rPr>
          <w:lang w:val="en-US"/>
        </w:rPr>
        <w:t xml:space="preserve">e'd get a Report and Order," said Michael Small, </w:t>
      </w:r>
      <w:proofErr w:type="spellStart"/>
      <w:r w:rsidR="000E7FAC" w:rsidRPr="00AB3F55">
        <w:rPr>
          <w:b/>
          <w:lang w:val="en-US"/>
        </w:rPr>
        <w:t>Gogo</w:t>
      </w:r>
      <w:r w:rsidR="000E7FAC" w:rsidRPr="000E7FAC">
        <w:rPr>
          <w:lang w:val="en-US"/>
        </w:rPr>
        <w:t>'s</w:t>
      </w:r>
      <w:proofErr w:type="spellEnd"/>
      <w:r w:rsidR="000E7FAC" w:rsidRPr="000E7FAC">
        <w:rPr>
          <w:lang w:val="en-US"/>
        </w:rPr>
        <w:t xml:space="preserve"> chief executive, in response to a question about the possible auction. We continue to remain very interested in that it's rare in the wireless business that you see 500 MHz coming your way and you get very excited when those moments come. So we're looking forward to that, but have no special insight into when the Report and Order will actually appear."</w:t>
      </w:r>
    </w:p>
    <w:p w:rsidR="000E7FAC" w:rsidRPr="000E7FAC" w:rsidRDefault="000E7FAC" w:rsidP="000E7FAC">
      <w:pPr>
        <w:rPr>
          <w:lang w:val="en-US"/>
        </w:rPr>
      </w:pPr>
      <w:r w:rsidRPr="000E7FAC">
        <w:rPr>
          <w:lang w:val="en-US"/>
        </w:rPr>
        <w:t xml:space="preserve">While Qualcomm said it remains in support of an FCC auction in the 14 GHz band, the company is also moving forward in other areas. In addition to terrestrial-based air-ground technology that </w:t>
      </w:r>
      <w:r w:rsidRPr="000E7FAC">
        <w:rPr>
          <w:lang w:val="en-US"/>
        </w:rPr>
        <w:lastRenderedPageBreak/>
        <w:t xml:space="preserve">is the subject of the FCC proceeding for the U.S., </w:t>
      </w:r>
      <w:r w:rsidR="00810EA4">
        <w:rPr>
          <w:lang w:val="en-US"/>
        </w:rPr>
        <w:t xml:space="preserve">‘Qualcomm is </w:t>
      </w:r>
      <w:r w:rsidRPr="000E7FAC">
        <w:rPr>
          <w:lang w:val="en-US"/>
        </w:rPr>
        <w:t xml:space="preserve">also developing innovative, satellite-based technology for this and many other applications on a global basis in conjunction with </w:t>
      </w:r>
      <w:proofErr w:type="spellStart"/>
      <w:r w:rsidRPr="000E7FAC">
        <w:rPr>
          <w:lang w:val="en-US"/>
        </w:rPr>
        <w:t>OneWeb</w:t>
      </w:r>
      <w:proofErr w:type="spellEnd"/>
      <w:r w:rsidRPr="000E7FAC">
        <w:rPr>
          <w:lang w:val="en-US"/>
        </w:rPr>
        <w:t>, as was announced,</w:t>
      </w:r>
      <w:r w:rsidR="00810EA4">
        <w:rPr>
          <w:lang w:val="en-US"/>
        </w:rPr>
        <w:t>’</w:t>
      </w:r>
      <w:r w:rsidRPr="000E7FAC">
        <w:rPr>
          <w:lang w:val="en-US"/>
        </w:rPr>
        <w:t xml:space="preserve"> Qualcomm's Brenner said.</w:t>
      </w:r>
      <w:r w:rsidR="00AB3F55">
        <w:rPr>
          <w:lang w:val="en-US"/>
        </w:rPr>
        <w:t xml:space="preserve"> (</w:t>
      </w:r>
      <w:proofErr w:type="gramStart"/>
      <w:r w:rsidR="00AB3F55" w:rsidRPr="00AB3F55">
        <w:rPr>
          <w:b/>
          <w:lang w:val="en-US"/>
        </w:rPr>
        <w:t>note</w:t>
      </w:r>
      <w:proofErr w:type="gramEnd"/>
      <w:r w:rsidR="00AB3F55" w:rsidRPr="00AB3F55">
        <w:rPr>
          <w:b/>
          <w:lang w:val="en-US"/>
        </w:rPr>
        <w:t>: this is already under investigations in FM44/SE40 and with an ETSI system reference document under preparations</w:t>
      </w:r>
      <w:r w:rsidR="00AB3F55">
        <w:rPr>
          <w:lang w:val="en-US"/>
        </w:rPr>
        <w:t>).</w:t>
      </w:r>
    </w:p>
    <w:p w:rsidR="000E7FAC" w:rsidRPr="000E7FAC" w:rsidRDefault="000E7FAC" w:rsidP="000E7FAC">
      <w:pPr>
        <w:rPr>
          <w:lang w:val="en-US"/>
        </w:rPr>
      </w:pPr>
    </w:p>
    <w:p w:rsidR="000E7FAC" w:rsidRPr="000E7FAC" w:rsidRDefault="000E7FAC" w:rsidP="000E7FAC">
      <w:pPr>
        <w:rPr>
          <w:lang w:val="en-US"/>
        </w:rPr>
      </w:pPr>
      <w:r w:rsidRPr="000E7FAC">
        <w:rPr>
          <w:lang w:val="en-US"/>
        </w:rPr>
        <w:t xml:space="preserve">Qualcomm was among a group of companies that just last month invested $500 million into </w:t>
      </w:r>
      <w:proofErr w:type="spellStart"/>
      <w:r w:rsidRPr="000E7FAC">
        <w:rPr>
          <w:lang w:val="en-US"/>
        </w:rPr>
        <w:t>OneWeb's</w:t>
      </w:r>
      <w:proofErr w:type="spellEnd"/>
      <w:r w:rsidRPr="000E7FAC">
        <w:rPr>
          <w:lang w:val="en-US"/>
        </w:rPr>
        <w:t xml:space="preserve"> plan to deploy hundreds of low-orbit satellites operating in the 12-18 GHz Ku spectrum band. </w:t>
      </w:r>
      <w:proofErr w:type="spellStart"/>
      <w:r w:rsidRPr="000E7FAC">
        <w:rPr>
          <w:lang w:val="en-US"/>
        </w:rPr>
        <w:t>OneWeb</w:t>
      </w:r>
      <w:proofErr w:type="spellEnd"/>
      <w:r w:rsidRPr="000E7FAC">
        <w:rPr>
          <w:lang w:val="en-US"/>
        </w:rPr>
        <w:t xml:space="preserve"> hopes to use the satellites to offer high-speed Internet services to a wide range of customers.</w:t>
      </w:r>
    </w:p>
    <w:p w:rsidR="000E7FAC" w:rsidRPr="000E7FAC" w:rsidRDefault="000E7FAC" w:rsidP="000E7FAC">
      <w:pPr>
        <w:rPr>
          <w:lang w:val="en-US"/>
        </w:rPr>
      </w:pPr>
    </w:p>
    <w:p w:rsidR="000E7FAC" w:rsidRPr="000E7FAC" w:rsidRDefault="000E7FAC" w:rsidP="000E7FAC">
      <w:pPr>
        <w:rPr>
          <w:lang w:val="en-US"/>
        </w:rPr>
      </w:pPr>
      <w:r w:rsidRPr="000E7FAC">
        <w:rPr>
          <w:lang w:val="en-US"/>
        </w:rPr>
        <w:t xml:space="preserve">As bandwidth constraints </w:t>
      </w:r>
      <w:r w:rsidR="00AB3F55">
        <w:rPr>
          <w:lang w:val="en-US"/>
        </w:rPr>
        <w:t xml:space="preserve">with the existing </w:t>
      </w:r>
      <w:proofErr w:type="spellStart"/>
      <w:r w:rsidR="00AB3F55">
        <w:rPr>
          <w:lang w:val="en-US"/>
        </w:rPr>
        <w:t>Gogo</w:t>
      </w:r>
      <w:proofErr w:type="spellEnd"/>
      <w:r w:rsidR="00AB3F55">
        <w:rPr>
          <w:lang w:val="en-US"/>
        </w:rPr>
        <w:t xml:space="preserve"> system </w:t>
      </w:r>
      <w:r w:rsidRPr="000E7FAC">
        <w:rPr>
          <w:lang w:val="en-US"/>
        </w:rPr>
        <w:t xml:space="preserve">in the sky continue to bite </w:t>
      </w:r>
      <w:r w:rsidRPr="00AB3F55">
        <w:rPr>
          <w:b/>
          <w:lang w:val="en-US"/>
        </w:rPr>
        <w:t>Delta Air Lines</w:t>
      </w:r>
      <w:r w:rsidRPr="000E7FAC">
        <w:rPr>
          <w:lang w:val="en-US"/>
        </w:rPr>
        <w:t xml:space="preserve"> is calling on the Federal Communications Commission (FCC) to permit the auction of new air-to-ground (ATG) licenses in the United States, saying the additional spectrum will support faster inflight connectivity for passengers, and enhance safety.</w:t>
      </w:r>
    </w:p>
    <w:p w:rsidR="000E7FAC" w:rsidRPr="000E7FAC" w:rsidRDefault="000E7FAC" w:rsidP="000E7FAC">
      <w:pPr>
        <w:rPr>
          <w:lang w:val="en-US"/>
        </w:rPr>
      </w:pPr>
    </w:p>
    <w:p w:rsidR="000E7FAC" w:rsidRPr="000E7FAC" w:rsidRDefault="000E7FAC" w:rsidP="000E7FAC">
      <w:pPr>
        <w:rPr>
          <w:lang w:val="en-US"/>
        </w:rPr>
      </w:pPr>
      <w:r w:rsidRPr="000E7FAC">
        <w:rPr>
          <w:lang w:val="en-US"/>
        </w:rPr>
        <w:t xml:space="preserve">In a letter </w:t>
      </w:r>
      <w:r w:rsidR="00AB3F55">
        <w:rPr>
          <w:lang w:val="en-US"/>
        </w:rPr>
        <w:t>in 12/2015</w:t>
      </w:r>
      <w:r w:rsidRPr="000E7FAC">
        <w:rPr>
          <w:lang w:val="en-US"/>
        </w:rPr>
        <w:t xml:space="preserve"> to the FCC, </w:t>
      </w:r>
      <w:r w:rsidRPr="00AB3F55">
        <w:rPr>
          <w:b/>
          <w:lang w:val="en-US"/>
        </w:rPr>
        <w:t>Delta</w:t>
      </w:r>
      <w:r w:rsidRPr="000E7FAC">
        <w:rPr>
          <w:lang w:val="en-US"/>
        </w:rPr>
        <w:t xml:space="preserve"> reiterated its eagerness to see the auction finally move forward. </w:t>
      </w:r>
      <w:proofErr w:type="gramStart"/>
      <w:r w:rsidRPr="000E7FAC">
        <w:rPr>
          <w:lang w:val="en-US"/>
        </w:rPr>
        <w:t xml:space="preserve">Noting that it operates the largest fleet of </w:t>
      </w:r>
      <w:proofErr w:type="spellStart"/>
      <w:r w:rsidRPr="000E7FAC">
        <w:rPr>
          <w:lang w:val="en-US"/>
        </w:rPr>
        <w:t>Gogo</w:t>
      </w:r>
      <w:proofErr w:type="spellEnd"/>
      <w:r w:rsidRPr="000E7FAC">
        <w:rPr>
          <w:lang w:val="en-US"/>
        </w:rPr>
        <w:t xml:space="preserve"> Internet-equipped aircraft – a total of 565 domestic mainline aircraft and 255 regional aircraft</w:t>
      </w:r>
      <w:r w:rsidR="00AB3F55">
        <w:rPr>
          <w:lang w:val="en-US"/>
        </w:rPr>
        <w:t>.</w:t>
      </w:r>
      <w:proofErr w:type="gramEnd"/>
      <w:r w:rsidR="00AB3F55">
        <w:rPr>
          <w:lang w:val="en-US"/>
        </w:rPr>
        <w:t xml:space="preserve"> C</w:t>
      </w:r>
      <w:r w:rsidRPr="000E7FAC">
        <w:rPr>
          <w:lang w:val="en-US"/>
        </w:rPr>
        <w:t xml:space="preserve">urrent bandwidth demands exceed </w:t>
      </w:r>
      <w:proofErr w:type="spellStart"/>
      <w:r w:rsidRPr="000E7FAC">
        <w:rPr>
          <w:lang w:val="en-US"/>
        </w:rPr>
        <w:t>Gogo’s</w:t>
      </w:r>
      <w:proofErr w:type="spellEnd"/>
      <w:r w:rsidRPr="000E7FAC">
        <w:rPr>
          <w:lang w:val="en-US"/>
        </w:rPr>
        <w:t xml:space="preserve"> terrestrial network capacity. Demand will continue to grow and network capacity issues will become more severe until more </w:t>
      </w:r>
      <w:proofErr w:type="gramStart"/>
      <w:r w:rsidRPr="000E7FAC">
        <w:rPr>
          <w:lang w:val="en-US"/>
        </w:rPr>
        <w:t>spectrum</w:t>
      </w:r>
      <w:proofErr w:type="gramEnd"/>
      <w:r w:rsidRPr="000E7FAC">
        <w:rPr>
          <w:lang w:val="en-US"/>
        </w:rPr>
        <w:t xml:space="preserve"> becomes available. Additional spectrum in the 14 GHz band will open up new options for customers who are increasingly de</w:t>
      </w:r>
      <w:r w:rsidR="00AB3F55">
        <w:rPr>
          <w:lang w:val="en-US"/>
        </w:rPr>
        <w:t xml:space="preserve">manding robust Internet access. </w:t>
      </w:r>
      <w:r w:rsidRPr="000E7FAC">
        <w:rPr>
          <w:lang w:val="en-US"/>
        </w:rPr>
        <w:t xml:space="preserve">Many would argue that current bandwidth demands already far exceed </w:t>
      </w:r>
      <w:proofErr w:type="spellStart"/>
      <w:r w:rsidRPr="000E7FAC">
        <w:rPr>
          <w:lang w:val="en-US"/>
        </w:rPr>
        <w:t>Gogo’s</w:t>
      </w:r>
      <w:proofErr w:type="spellEnd"/>
      <w:r w:rsidRPr="000E7FAC">
        <w:rPr>
          <w:lang w:val="en-US"/>
        </w:rPr>
        <w:t xml:space="preserve"> terrestrial network capacity. </w:t>
      </w:r>
    </w:p>
    <w:p w:rsidR="000E7FAC" w:rsidRPr="000E7FAC" w:rsidRDefault="000E7FAC" w:rsidP="000E7FAC">
      <w:pPr>
        <w:rPr>
          <w:lang w:val="en-US"/>
        </w:rPr>
      </w:pPr>
      <w:r w:rsidRPr="000E7FAC">
        <w:rPr>
          <w:lang w:val="en-US"/>
        </w:rPr>
        <w:t>With respect to the AFA-CWA’s suggestion that additional spectrum may present an undefined security risk, Delta notes that thousands of Internet-equipped aircraft currently operate each day</w:t>
      </w:r>
      <w:r w:rsidR="00792CC4">
        <w:rPr>
          <w:lang w:val="en-US"/>
        </w:rPr>
        <w:t xml:space="preserve"> worldwide, writing </w:t>
      </w:r>
      <w:r w:rsidRPr="000E7FAC">
        <w:rPr>
          <w:lang w:val="en-US"/>
        </w:rPr>
        <w:t>“Although this technology has been in use for the greater part of a decade, Delta is aware of no national security incidents caused even in part by the a</w:t>
      </w:r>
      <w:r w:rsidR="00792CC4">
        <w:rPr>
          <w:lang w:val="en-US"/>
        </w:rPr>
        <w:t>vailability of Internet access..”.</w:t>
      </w:r>
    </w:p>
    <w:p w:rsidR="000E7FAC" w:rsidRPr="000E7FAC" w:rsidRDefault="000E7FAC" w:rsidP="000E7FAC">
      <w:pPr>
        <w:rPr>
          <w:lang w:val="en-US"/>
        </w:rPr>
      </w:pPr>
      <w:r w:rsidRPr="00792CC4">
        <w:rPr>
          <w:u w:val="single"/>
          <w:lang w:val="en-US"/>
        </w:rPr>
        <w:t xml:space="preserve">Delta has already committed to partnering with </w:t>
      </w:r>
      <w:proofErr w:type="spellStart"/>
      <w:r w:rsidRPr="00792CC4">
        <w:rPr>
          <w:u w:val="single"/>
          <w:lang w:val="en-US"/>
        </w:rPr>
        <w:t>Gogo</w:t>
      </w:r>
      <w:proofErr w:type="spellEnd"/>
      <w:r w:rsidRPr="000E7FAC">
        <w:rPr>
          <w:lang w:val="en-US"/>
        </w:rPr>
        <w:t xml:space="preserve"> in the launch of next generation ATG technologies for short-haul domestic aircraft flying within the US. </w:t>
      </w:r>
    </w:p>
    <w:p w:rsidR="00A16E38" w:rsidRDefault="000E7FAC" w:rsidP="00792CC4">
      <w:pPr>
        <w:rPr>
          <w:lang w:val="en-US"/>
        </w:rPr>
      </w:pPr>
      <w:r w:rsidRPr="000E7FAC">
        <w:rPr>
          <w:lang w:val="en-US"/>
        </w:rPr>
        <w:t xml:space="preserve">Qualcomm, which originally proposed the auction, as well as Inmarsat and </w:t>
      </w:r>
      <w:r w:rsidRPr="00792CC4">
        <w:rPr>
          <w:b/>
          <w:lang w:val="en-US"/>
        </w:rPr>
        <w:t>Panasonic</w:t>
      </w:r>
      <w:r w:rsidRPr="000E7FAC">
        <w:rPr>
          <w:lang w:val="en-US"/>
        </w:rPr>
        <w:t xml:space="preserve"> have all expressed various levels of interest in participating.</w:t>
      </w:r>
    </w:p>
    <w:p w:rsidR="00EA4A1D" w:rsidRDefault="00EA4A1D" w:rsidP="00792CC4">
      <w:pPr>
        <w:rPr>
          <w:lang w:val="en-US"/>
        </w:rPr>
      </w:pPr>
      <w:r>
        <w:rPr>
          <w:lang w:val="en-US"/>
        </w:rPr>
        <w:t>(</w:t>
      </w:r>
      <w:proofErr w:type="gramStart"/>
      <w:r>
        <w:rPr>
          <w:lang w:val="en-US"/>
        </w:rPr>
        <w:t>of</w:t>
      </w:r>
      <w:proofErr w:type="gramEnd"/>
      <w:r>
        <w:rPr>
          <w:lang w:val="en-US"/>
        </w:rPr>
        <w:t xml:space="preserve"> interest in WGFM)</w:t>
      </w:r>
    </w:p>
    <w:p w:rsidR="00A16E38" w:rsidRDefault="00A16E38" w:rsidP="00792CC4">
      <w:pPr>
        <w:rPr>
          <w:lang w:val="en-US"/>
        </w:rPr>
      </w:pPr>
    </w:p>
    <w:p w:rsidR="00A16E38" w:rsidRPr="00A16E38" w:rsidRDefault="00A16E38" w:rsidP="00A16E38">
      <w:pPr>
        <w:pStyle w:val="ListParagraph"/>
        <w:numPr>
          <w:ilvl w:val="0"/>
          <w:numId w:val="3"/>
        </w:numPr>
        <w:spacing w:after="0"/>
        <w:rPr>
          <w:b/>
          <w:sz w:val="28"/>
          <w:szCs w:val="28"/>
        </w:rPr>
      </w:pPr>
      <w:r w:rsidRPr="00A16E38">
        <w:rPr>
          <w:b/>
          <w:sz w:val="28"/>
          <w:szCs w:val="28"/>
        </w:rPr>
        <w:t xml:space="preserve">CITEL: Work on </w:t>
      </w:r>
      <w:r w:rsidR="007851D3">
        <w:rPr>
          <w:b/>
          <w:sz w:val="28"/>
          <w:szCs w:val="28"/>
        </w:rPr>
        <w:t xml:space="preserve">Frequencies for </w:t>
      </w:r>
      <w:r w:rsidRPr="00A16E38">
        <w:rPr>
          <w:b/>
          <w:sz w:val="28"/>
          <w:szCs w:val="28"/>
        </w:rPr>
        <w:t>Critical Infrastructure used by Utilities</w:t>
      </w:r>
    </w:p>
    <w:p w:rsidR="00A16E38" w:rsidRDefault="00A16E38" w:rsidP="00A16E38">
      <w:pPr>
        <w:rPr>
          <w:lang w:val="en-US"/>
        </w:rPr>
      </w:pPr>
    </w:p>
    <w:p w:rsidR="00A16E38" w:rsidRPr="00A16E38" w:rsidRDefault="00E355DE" w:rsidP="00A16E38">
      <w:pPr>
        <w:rPr>
          <w:lang w:val="en-US"/>
        </w:rPr>
      </w:pPr>
      <w:r>
        <w:rPr>
          <w:lang w:val="en-US"/>
        </w:rPr>
        <w:t xml:space="preserve">The </w:t>
      </w:r>
      <w:r w:rsidR="00A16E38">
        <w:rPr>
          <w:lang w:val="en-US"/>
        </w:rPr>
        <w:t>UTC (</w:t>
      </w:r>
      <w:r>
        <w:rPr>
          <w:lang w:val="en-US"/>
        </w:rPr>
        <w:t>Utilities Telecom Council)</w:t>
      </w:r>
      <w:r w:rsidR="00A16E38">
        <w:rPr>
          <w:lang w:val="en-US"/>
        </w:rPr>
        <w:t xml:space="preserve"> </w:t>
      </w:r>
      <w:r>
        <w:rPr>
          <w:lang w:val="en-US"/>
        </w:rPr>
        <w:t xml:space="preserve">provided to the </w:t>
      </w:r>
      <w:r w:rsidR="00A16E38" w:rsidRPr="00A16E38">
        <w:rPr>
          <w:lang w:val="en-US"/>
        </w:rPr>
        <w:t xml:space="preserve">XXVI Meeting of Permanent Consultative Committee II: </w:t>
      </w:r>
      <w:proofErr w:type="spellStart"/>
      <w:r w:rsidR="00A16E38" w:rsidRPr="00A16E38">
        <w:rPr>
          <w:lang w:val="en-US"/>
        </w:rPr>
        <w:t>Radiocommunications</w:t>
      </w:r>
      <w:proofErr w:type="spellEnd"/>
      <w:r w:rsidR="00A16E38" w:rsidRPr="00A16E38">
        <w:rPr>
          <w:lang w:val="en-US"/>
        </w:rPr>
        <w:t xml:space="preserve"> (PCC.II) on August 17 – 21, 2015; Ottawa, Canada</w:t>
      </w:r>
      <w:r>
        <w:rPr>
          <w:lang w:val="en-US"/>
        </w:rPr>
        <w:t xml:space="preserve">, </w:t>
      </w:r>
      <w:r w:rsidR="00A16E38" w:rsidRPr="00A16E38">
        <w:rPr>
          <w:lang w:val="en-US"/>
        </w:rPr>
        <w:t>a joint submission from UTC USA, UTC Canada and UTC Latin America and was supported by Industry Canada, FCC</w:t>
      </w:r>
      <w:r>
        <w:rPr>
          <w:lang w:val="en-US"/>
        </w:rPr>
        <w:t>, Brazil and Mexico</w:t>
      </w:r>
      <w:r w:rsidR="00A16E38" w:rsidRPr="00A16E38">
        <w:rPr>
          <w:lang w:val="en-US"/>
        </w:rPr>
        <w:t>.</w:t>
      </w:r>
      <w:r w:rsidR="00A16E38">
        <w:rPr>
          <w:lang w:val="en-US"/>
        </w:rPr>
        <w:t xml:space="preserve"> </w:t>
      </w:r>
      <w:r w:rsidR="00A16E38" w:rsidRPr="00A16E38">
        <w:rPr>
          <w:lang w:val="en-US"/>
        </w:rPr>
        <w:t>Th</w:t>
      </w:r>
      <w:r>
        <w:rPr>
          <w:lang w:val="en-US"/>
        </w:rPr>
        <w:t>e</w:t>
      </w:r>
      <w:r w:rsidR="00A16E38" w:rsidRPr="00A16E38">
        <w:rPr>
          <w:lang w:val="en-US"/>
        </w:rPr>
        <w:t xml:space="preserve"> document discusses the importance of the need of spectrum for the continual monitoring, control and protection of the critical infrastructure used by utilities. Utilities use these communication systems for applications to facilitate proactive system control, outage reductions and outage response.</w:t>
      </w:r>
    </w:p>
    <w:p w:rsidR="00A16E38" w:rsidRDefault="00A16E38" w:rsidP="00E355DE">
      <w:pPr>
        <w:rPr>
          <w:lang w:val="en-US"/>
        </w:rPr>
      </w:pPr>
      <w:r w:rsidRPr="00A16E38">
        <w:rPr>
          <w:lang w:val="en-US"/>
        </w:rPr>
        <w:t xml:space="preserve">The proposal was supported by USA, Canada, Brazil and Mexico and was passed by the meeting. </w:t>
      </w:r>
      <w:r>
        <w:rPr>
          <w:lang w:val="en-US"/>
        </w:rPr>
        <w:t xml:space="preserve">The </w:t>
      </w:r>
      <w:r w:rsidRPr="00A16E38">
        <w:rPr>
          <w:lang w:val="en-US"/>
        </w:rPr>
        <w:t>UTC is busy preparing documents for the next CITEL PCC.</w:t>
      </w:r>
      <w:r>
        <w:rPr>
          <w:lang w:val="en-US"/>
        </w:rPr>
        <w:t>II</w:t>
      </w:r>
      <w:r w:rsidRPr="00A16E38">
        <w:rPr>
          <w:lang w:val="en-US"/>
        </w:rPr>
        <w:t xml:space="preserve"> meeting in June in Bogota, Columbia. The three UTC regions will have a first meeting late in March </w:t>
      </w:r>
      <w:r w:rsidR="00E355DE">
        <w:rPr>
          <w:lang w:val="en-US"/>
        </w:rPr>
        <w:t xml:space="preserve">2016 </w:t>
      </w:r>
      <w:r w:rsidRPr="00A16E38">
        <w:rPr>
          <w:lang w:val="en-US"/>
        </w:rPr>
        <w:t>to bring together utilities and other interested parties into the working group.</w:t>
      </w:r>
      <w:r>
        <w:rPr>
          <w:lang w:val="en-US"/>
        </w:rPr>
        <w:t xml:space="preserve"> </w:t>
      </w:r>
      <w:r w:rsidR="00E355DE">
        <w:rPr>
          <w:lang w:val="en-US"/>
        </w:rPr>
        <w:t xml:space="preserve">The focus seems to be on </w:t>
      </w:r>
      <w:r w:rsidR="00E355DE" w:rsidRPr="00E355DE">
        <w:rPr>
          <w:lang w:val="en-US"/>
        </w:rPr>
        <w:t xml:space="preserve">VHF spectrum – sub 300 MHz for resilient voice communications and distributed automation for </w:t>
      </w:r>
      <w:r w:rsidR="00E355DE" w:rsidRPr="00E355DE">
        <w:rPr>
          <w:lang w:val="en-US"/>
        </w:rPr>
        <w:lastRenderedPageBreak/>
        <w:t>rural and remote areas</w:t>
      </w:r>
      <w:r w:rsidR="00E355DE">
        <w:rPr>
          <w:lang w:val="en-US"/>
        </w:rPr>
        <w:t xml:space="preserve"> as well as </w:t>
      </w:r>
      <w:r w:rsidR="00E355DE" w:rsidRPr="00E355DE">
        <w:rPr>
          <w:lang w:val="en-US"/>
        </w:rPr>
        <w:t>UHF spectrum – sub 470 MHz for tele</w:t>
      </w:r>
      <w:r w:rsidR="00E355DE">
        <w:rPr>
          <w:lang w:val="en-US"/>
        </w:rPr>
        <w:t>-</w:t>
      </w:r>
      <w:r w:rsidR="00E355DE" w:rsidRPr="00E355DE">
        <w:rPr>
          <w:lang w:val="en-US"/>
        </w:rPr>
        <w:t>protection, control, automation and metering</w:t>
      </w:r>
      <w:r w:rsidR="00E355DE">
        <w:rPr>
          <w:lang w:val="en-US"/>
        </w:rPr>
        <w:t>.</w:t>
      </w:r>
      <w:r w:rsidR="007851D3">
        <w:rPr>
          <w:lang w:val="en-US"/>
        </w:rPr>
        <w:t xml:space="preserve"> First indications are in the order of 2x1 MHz (2m-band/ in Europe 146-174 MHz) in VHF and 2x3 MHz in UHF (400 MHz PMR frequencies).</w:t>
      </w:r>
    </w:p>
    <w:p w:rsidR="00A16E38" w:rsidRDefault="00A16E38" w:rsidP="00A16E38">
      <w:pPr>
        <w:rPr>
          <w:lang w:val="en-US"/>
        </w:rPr>
      </w:pPr>
      <w:r w:rsidRPr="00A16E38">
        <w:rPr>
          <w:lang w:val="en-US"/>
        </w:rPr>
        <w:t>As a result of th</w:t>
      </w:r>
      <w:r w:rsidR="007851D3">
        <w:rPr>
          <w:lang w:val="en-US"/>
        </w:rPr>
        <w:t>ese</w:t>
      </w:r>
      <w:r w:rsidRPr="00A16E38">
        <w:rPr>
          <w:lang w:val="en-US"/>
        </w:rPr>
        <w:t xml:space="preserve"> discussion</w:t>
      </w:r>
      <w:r w:rsidR="007851D3">
        <w:rPr>
          <w:lang w:val="en-US"/>
        </w:rPr>
        <w:t>s</w:t>
      </w:r>
      <w:r w:rsidRPr="00A16E38">
        <w:rPr>
          <w:lang w:val="en-US"/>
        </w:rPr>
        <w:t xml:space="preserve"> </w:t>
      </w:r>
      <w:r>
        <w:rPr>
          <w:lang w:val="en-US"/>
        </w:rPr>
        <w:t xml:space="preserve">in the PCC.II, </w:t>
      </w:r>
      <w:r w:rsidRPr="00A16E38">
        <w:rPr>
          <w:lang w:val="en-US"/>
        </w:rPr>
        <w:t xml:space="preserve">CITEL </w:t>
      </w:r>
      <w:r>
        <w:rPr>
          <w:lang w:val="en-US"/>
        </w:rPr>
        <w:t xml:space="preserve">has </w:t>
      </w:r>
      <w:r w:rsidRPr="00A16E38">
        <w:rPr>
          <w:lang w:val="en-US"/>
        </w:rPr>
        <w:t>establish</w:t>
      </w:r>
      <w:r>
        <w:rPr>
          <w:lang w:val="en-US"/>
        </w:rPr>
        <w:t>ed</w:t>
      </w:r>
      <w:r w:rsidRPr="00A16E38">
        <w:rPr>
          <w:lang w:val="en-US"/>
        </w:rPr>
        <w:t xml:space="preserve"> </w:t>
      </w:r>
      <w:r>
        <w:rPr>
          <w:lang w:val="en-US"/>
        </w:rPr>
        <w:t xml:space="preserve">a </w:t>
      </w:r>
      <w:r w:rsidRPr="00A16E38">
        <w:rPr>
          <w:lang w:val="en-US"/>
        </w:rPr>
        <w:t xml:space="preserve">group with the view to a) review the existing studies within the ITU-R on this topic and b) consider future action within the ITU process to </w:t>
      </w:r>
      <w:proofErr w:type="spellStart"/>
      <w:r w:rsidRPr="00A16E38">
        <w:rPr>
          <w:lang w:val="en-US"/>
        </w:rPr>
        <w:t>harmoni</w:t>
      </w:r>
      <w:r>
        <w:rPr>
          <w:lang w:val="en-US"/>
        </w:rPr>
        <w:t>s</w:t>
      </w:r>
      <w:r w:rsidRPr="00A16E38">
        <w:rPr>
          <w:lang w:val="en-US"/>
        </w:rPr>
        <w:t>e</w:t>
      </w:r>
      <w:proofErr w:type="spellEnd"/>
      <w:r w:rsidRPr="00A16E38">
        <w:rPr>
          <w:lang w:val="en-US"/>
        </w:rPr>
        <w:t xml:space="preserve"> spectrum ranges for these applications.</w:t>
      </w:r>
    </w:p>
    <w:p w:rsidR="00A16E38" w:rsidRDefault="00A16E38" w:rsidP="00A16E38">
      <w:pPr>
        <w:rPr>
          <w:lang w:val="en-US"/>
        </w:rPr>
      </w:pPr>
      <w:r>
        <w:rPr>
          <w:lang w:val="en-US"/>
        </w:rPr>
        <w:t>(</w:t>
      </w:r>
      <w:proofErr w:type="gramStart"/>
      <w:r>
        <w:rPr>
          <w:lang w:val="en-US"/>
        </w:rPr>
        <w:t>of</w:t>
      </w:r>
      <w:proofErr w:type="gramEnd"/>
      <w:r>
        <w:rPr>
          <w:lang w:val="en-US"/>
        </w:rPr>
        <w:t xml:space="preserve"> interest in FM54</w:t>
      </w:r>
      <w:r w:rsidR="00EA4A1D">
        <w:rPr>
          <w:lang w:val="en-US"/>
        </w:rPr>
        <w:t xml:space="preserve"> for main aspects in VHF and UHF below 1 GHz</w:t>
      </w:r>
      <w:r w:rsidR="00E355DE">
        <w:rPr>
          <w:lang w:val="en-US"/>
        </w:rPr>
        <w:t>, with regard to work in 400 MHz and also noting that ETSI is developing a system reference document on future spectrum requirements for utilities in ERM TG DMR with EUTC (European Utilities Telecom Council in the lead</w:t>
      </w:r>
      <w:r>
        <w:rPr>
          <w:lang w:val="en-US"/>
        </w:rPr>
        <w:t>)</w:t>
      </w:r>
      <w:r w:rsidR="00810EA4">
        <w:rPr>
          <w:lang w:val="en-US"/>
        </w:rPr>
        <w:t>.</w:t>
      </w:r>
    </w:p>
    <w:p w:rsidR="00810EA4" w:rsidRDefault="00810EA4" w:rsidP="00A16E38">
      <w:pPr>
        <w:rPr>
          <w:lang w:val="en-US"/>
        </w:rPr>
      </w:pPr>
      <w:r>
        <w:rPr>
          <w:lang w:val="en-US"/>
        </w:rPr>
        <w:t xml:space="preserve">EUTC </w:t>
      </w:r>
      <w:r w:rsidRPr="00EA4A1D">
        <w:rPr>
          <w:u w:val="single"/>
          <w:lang w:val="en-US"/>
        </w:rPr>
        <w:t>Proposal</w:t>
      </w:r>
      <w:r>
        <w:rPr>
          <w:lang w:val="en-US"/>
        </w:rPr>
        <w:t xml:space="preserve"> for Europe:</w:t>
      </w:r>
    </w:p>
    <w:p w:rsidR="00810EA4" w:rsidRPr="000E7FAC" w:rsidRDefault="00810EA4" w:rsidP="00A16E38">
      <w:pPr>
        <w:rPr>
          <w:lang w:val="en-US"/>
        </w:rPr>
      </w:pPr>
      <w:r>
        <w:rPr>
          <w:noProof/>
          <w:lang w:val="da-DK" w:eastAsia="da-DK"/>
        </w:rPr>
        <w:drawing>
          <wp:inline distT="0" distB="0" distL="0" distR="0" wp14:anchorId="561B4FB5" wp14:editId="4FD2506F">
            <wp:extent cx="4508091" cy="3223747"/>
            <wp:effectExtent l="0" t="0" r="6985" b="0"/>
            <wp:docPr id="63490" name="Picture 3" descr="C:\Users\AdrianGrilli\Documents\Pictures\JRC Pictures\charts&amp;diagrams\EUTC Spectrum Proposal-re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0" name="Picture 3" descr="C:\Users\AdrianGrilli\Documents\Pictures\JRC Pictures\charts&amp;diagrams\EUTC Spectrum Proposal-rev1.jpg"/>
                    <pic:cNvPicPr>
                      <a:picLocks noChangeAspect="1" noChangeArrowheads="1"/>
                    </pic:cNvPicPr>
                  </pic:nvPicPr>
                  <pic:blipFill>
                    <a:blip r:embed="rId44" cstate="print"/>
                    <a:srcRect/>
                    <a:stretch>
                      <a:fillRect/>
                    </a:stretch>
                  </pic:blipFill>
                  <pic:spPr bwMode="auto">
                    <a:xfrm>
                      <a:off x="0" y="0"/>
                      <a:ext cx="4509895" cy="3225037"/>
                    </a:xfrm>
                    <a:prstGeom prst="rect">
                      <a:avLst/>
                    </a:prstGeom>
                    <a:noFill/>
                    <a:ln w="9525">
                      <a:noFill/>
                      <a:miter lim="800000"/>
                      <a:headEnd/>
                      <a:tailEnd/>
                    </a:ln>
                  </pic:spPr>
                </pic:pic>
              </a:graphicData>
            </a:graphic>
          </wp:inline>
        </w:drawing>
      </w:r>
    </w:p>
    <w:sectPr w:rsidR="00810EA4" w:rsidRPr="000E7FAC" w:rsidSect="00882607">
      <w:footerReference w:type="even" r:id="rId45"/>
      <w:footerReference w:type="default" r:id="rId46"/>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D3" w:rsidRDefault="00643CD3">
      <w:r>
        <w:separator/>
      </w:r>
    </w:p>
  </w:endnote>
  <w:endnote w:type="continuationSeparator" w:id="0">
    <w:p w:rsidR="00643CD3" w:rsidRDefault="0064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70C" w:rsidRDefault="006B670C">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670C" w:rsidRDefault="006B67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70C" w:rsidRDefault="006B670C">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D74C53">
      <w:rPr>
        <w:rStyle w:val="PageNumber"/>
        <w:noProof/>
        <w:sz w:val="20"/>
      </w:rPr>
      <w:t>2</w:t>
    </w:r>
    <w:r>
      <w:rPr>
        <w:rStyle w:val="PageNumber"/>
        <w:sz w:val="20"/>
      </w:rPr>
      <w:fldChar w:fldCharType="end"/>
    </w:r>
  </w:p>
  <w:p w:rsidR="006B670C" w:rsidRDefault="006B67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D3" w:rsidRDefault="00643CD3">
      <w:r>
        <w:separator/>
      </w:r>
    </w:p>
  </w:footnote>
  <w:footnote w:type="continuationSeparator" w:id="0">
    <w:p w:rsidR="00643CD3" w:rsidRDefault="00643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080F"/>
    <w:multiLevelType w:val="hybridMultilevel"/>
    <w:tmpl w:val="8C284A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14B92AEA"/>
    <w:multiLevelType w:val="hybridMultilevel"/>
    <w:tmpl w:val="EC38BD7A"/>
    <w:lvl w:ilvl="0" w:tplc="8E086DAA">
      <w:start w:val="1"/>
      <w:numFmt w:val="decimal"/>
      <w:lvlText w:val="%1."/>
      <w:lvlJc w:val="left"/>
      <w:pPr>
        <w:ind w:left="927" w:hanging="360"/>
      </w:pPr>
      <w:rPr>
        <w:rFonts w:cs="Times New Roman" w:hint="default"/>
        <w:sz w:val="28"/>
        <w:u w:val="none"/>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
    <w:nsid w:val="252E00DD"/>
    <w:multiLevelType w:val="hybridMultilevel"/>
    <w:tmpl w:val="B1FEEA7E"/>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33632685"/>
    <w:multiLevelType w:val="hybridMultilevel"/>
    <w:tmpl w:val="E496FB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6184827"/>
    <w:multiLevelType w:val="hybridMultilevel"/>
    <w:tmpl w:val="81D0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86D4A6E"/>
    <w:multiLevelType w:val="hybridMultilevel"/>
    <w:tmpl w:val="EE98CFB6"/>
    <w:lvl w:ilvl="0" w:tplc="0714CEFA">
      <w:start w:val="18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5F977AB6"/>
    <w:multiLevelType w:val="hybridMultilevel"/>
    <w:tmpl w:val="FB162F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DF80766"/>
    <w:multiLevelType w:val="hybridMultilevel"/>
    <w:tmpl w:val="03A2A0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7A904470"/>
    <w:multiLevelType w:val="multilevel"/>
    <w:tmpl w:val="75444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D38284E"/>
    <w:multiLevelType w:val="hybridMultilevel"/>
    <w:tmpl w:val="E7343AF0"/>
    <w:lvl w:ilvl="0" w:tplc="255EFD7C">
      <w:start w:val="1"/>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7E7C3D44"/>
    <w:multiLevelType w:val="hybridMultilevel"/>
    <w:tmpl w:val="50B0FC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7F6E7BE7"/>
    <w:multiLevelType w:val="hybridMultilevel"/>
    <w:tmpl w:val="46DE03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3"/>
  </w:num>
  <w:num w:numId="5">
    <w:abstractNumId w:val="12"/>
  </w:num>
  <w:num w:numId="6">
    <w:abstractNumId w:val="7"/>
  </w:num>
  <w:num w:numId="7">
    <w:abstractNumId w:val="5"/>
  </w:num>
  <w:num w:numId="8">
    <w:abstractNumId w:val="0"/>
  </w:num>
  <w:num w:numId="9">
    <w:abstractNumId w:val="11"/>
  </w:num>
  <w:num w:numId="10">
    <w:abstractNumId w:val="9"/>
  </w:num>
  <w:num w:numId="11">
    <w:abstractNumId w:val="4"/>
  </w:num>
  <w:num w:numId="12">
    <w:abstractNumId w:val="6"/>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233C6"/>
    <w:rsid w:val="000256E7"/>
    <w:rsid w:val="000266E4"/>
    <w:rsid w:val="00033112"/>
    <w:rsid w:val="00035EF9"/>
    <w:rsid w:val="000364E2"/>
    <w:rsid w:val="00036B79"/>
    <w:rsid w:val="00042E6D"/>
    <w:rsid w:val="000526E6"/>
    <w:rsid w:val="00053EFE"/>
    <w:rsid w:val="0005529F"/>
    <w:rsid w:val="00061978"/>
    <w:rsid w:val="000641A7"/>
    <w:rsid w:val="000671E5"/>
    <w:rsid w:val="00070549"/>
    <w:rsid w:val="00074256"/>
    <w:rsid w:val="00080FDE"/>
    <w:rsid w:val="00086867"/>
    <w:rsid w:val="00092416"/>
    <w:rsid w:val="000956E8"/>
    <w:rsid w:val="00095D52"/>
    <w:rsid w:val="00097E34"/>
    <w:rsid w:val="000B0905"/>
    <w:rsid w:val="000B27FA"/>
    <w:rsid w:val="000B39F4"/>
    <w:rsid w:val="000B787A"/>
    <w:rsid w:val="000C0A61"/>
    <w:rsid w:val="000C2EF7"/>
    <w:rsid w:val="000D0F3C"/>
    <w:rsid w:val="000E346F"/>
    <w:rsid w:val="000E7FAC"/>
    <w:rsid w:val="000F0612"/>
    <w:rsid w:val="000F1373"/>
    <w:rsid w:val="000F46B6"/>
    <w:rsid w:val="000F775A"/>
    <w:rsid w:val="00100372"/>
    <w:rsid w:val="00101F1B"/>
    <w:rsid w:val="00106047"/>
    <w:rsid w:val="00106238"/>
    <w:rsid w:val="00107369"/>
    <w:rsid w:val="00107715"/>
    <w:rsid w:val="00112E59"/>
    <w:rsid w:val="00113B49"/>
    <w:rsid w:val="001171E7"/>
    <w:rsid w:val="00135342"/>
    <w:rsid w:val="00135FE7"/>
    <w:rsid w:val="0013730F"/>
    <w:rsid w:val="00144E84"/>
    <w:rsid w:val="00154CD8"/>
    <w:rsid w:val="00161D26"/>
    <w:rsid w:val="00162CBB"/>
    <w:rsid w:val="0016435A"/>
    <w:rsid w:val="00167610"/>
    <w:rsid w:val="00170418"/>
    <w:rsid w:val="0017696D"/>
    <w:rsid w:val="00176BAF"/>
    <w:rsid w:val="00177DC7"/>
    <w:rsid w:val="00181D23"/>
    <w:rsid w:val="001875C6"/>
    <w:rsid w:val="00193380"/>
    <w:rsid w:val="001A0544"/>
    <w:rsid w:val="001A74FD"/>
    <w:rsid w:val="001A79B6"/>
    <w:rsid w:val="001C02C9"/>
    <w:rsid w:val="001C7C24"/>
    <w:rsid w:val="001D08D5"/>
    <w:rsid w:val="001D181E"/>
    <w:rsid w:val="001D77D7"/>
    <w:rsid w:val="001E0E49"/>
    <w:rsid w:val="001E2057"/>
    <w:rsid w:val="001E7B96"/>
    <w:rsid w:val="001F2614"/>
    <w:rsid w:val="001F2856"/>
    <w:rsid w:val="001F2E1A"/>
    <w:rsid w:val="001F5679"/>
    <w:rsid w:val="001F6FBB"/>
    <w:rsid w:val="001F724C"/>
    <w:rsid w:val="002007CA"/>
    <w:rsid w:val="00215746"/>
    <w:rsid w:val="00221774"/>
    <w:rsid w:val="00222F7B"/>
    <w:rsid w:val="00225B01"/>
    <w:rsid w:val="00232036"/>
    <w:rsid w:val="0023437A"/>
    <w:rsid w:val="00250F94"/>
    <w:rsid w:val="00257133"/>
    <w:rsid w:val="00260D98"/>
    <w:rsid w:val="0026766F"/>
    <w:rsid w:val="00270D2F"/>
    <w:rsid w:val="00275EE0"/>
    <w:rsid w:val="00276C85"/>
    <w:rsid w:val="00277BC1"/>
    <w:rsid w:val="00277CF8"/>
    <w:rsid w:val="0028051D"/>
    <w:rsid w:val="00294331"/>
    <w:rsid w:val="002A02A3"/>
    <w:rsid w:val="002A63B7"/>
    <w:rsid w:val="002A6FF4"/>
    <w:rsid w:val="002B169D"/>
    <w:rsid w:val="002B47FC"/>
    <w:rsid w:val="002B683F"/>
    <w:rsid w:val="002B7BB0"/>
    <w:rsid w:val="002D7395"/>
    <w:rsid w:val="002E0DCE"/>
    <w:rsid w:val="002E3DC9"/>
    <w:rsid w:val="002F3AAF"/>
    <w:rsid w:val="002F624E"/>
    <w:rsid w:val="00301409"/>
    <w:rsid w:val="003021C3"/>
    <w:rsid w:val="003050FD"/>
    <w:rsid w:val="003071E0"/>
    <w:rsid w:val="00314E5E"/>
    <w:rsid w:val="003162AF"/>
    <w:rsid w:val="00316BF0"/>
    <w:rsid w:val="0032693F"/>
    <w:rsid w:val="00326A73"/>
    <w:rsid w:val="00326C68"/>
    <w:rsid w:val="0033013C"/>
    <w:rsid w:val="00341823"/>
    <w:rsid w:val="003432D6"/>
    <w:rsid w:val="00346C62"/>
    <w:rsid w:val="00357A5F"/>
    <w:rsid w:val="0036330C"/>
    <w:rsid w:val="00363C8B"/>
    <w:rsid w:val="00376590"/>
    <w:rsid w:val="00377E62"/>
    <w:rsid w:val="00380A69"/>
    <w:rsid w:val="003813E6"/>
    <w:rsid w:val="003846DD"/>
    <w:rsid w:val="0039030E"/>
    <w:rsid w:val="00393716"/>
    <w:rsid w:val="00397194"/>
    <w:rsid w:val="003A112C"/>
    <w:rsid w:val="003A3B88"/>
    <w:rsid w:val="003A57CC"/>
    <w:rsid w:val="003B1654"/>
    <w:rsid w:val="003B2270"/>
    <w:rsid w:val="003C2268"/>
    <w:rsid w:val="003C4848"/>
    <w:rsid w:val="003C53D0"/>
    <w:rsid w:val="003D6A16"/>
    <w:rsid w:val="003E76E9"/>
    <w:rsid w:val="003F677E"/>
    <w:rsid w:val="003F73E2"/>
    <w:rsid w:val="004002F7"/>
    <w:rsid w:val="004020C5"/>
    <w:rsid w:val="00404DC7"/>
    <w:rsid w:val="00421CAC"/>
    <w:rsid w:val="00423C29"/>
    <w:rsid w:val="00430369"/>
    <w:rsid w:val="00431D12"/>
    <w:rsid w:val="004369DC"/>
    <w:rsid w:val="00443C40"/>
    <w:rsid w:val="00443D99"/>
    <w:rsid w:val="00452E46"/>
    <w:rsid w:val="004551D5"/>
    <w:rsid w:val="004648A4"/>
    <w:rsid w:val="004662F9"/>
    <w:rsid w:val="00481343"/>
    <w:rsid w:val="004858B1"/>
    <w:rsid w:val="00486369"/>
    <w:rsid w:val="00493F86"/>
    <w:rsid w:val="004A0432"/>
    <w:rsid w:val="004A099D"/>
    <w:rsid w:val="004A47FF"/>
    <w:rsid w:val="004B23D3"/>
    <w:rsid w:val="004C6078"/>
    <w:rsid w:val="004C7F92"/>
    <w:rsid w:val="004E45DF"/>
    <w:rsid w:val="004F061E"/>
    <w:rsid w:val="004F2203"/>
    <w:rsid w:val="004F2824"/>
    <w:rsid w:val="004F2E89"/>
    <w:rsid w:val="00500553"/>
    <w:rsid w:val="005006F3"/>
    <w:rsid w:val="00514FC1"/>
    <w:rsid w:val="00523220"/>
    <w:rsid w:val="005269EA"/>
    <w:rsid w:val="00526ACD"/>
    <w:rsid w:val="0053015C"/>
    <w:rsid w:val="00533846"/>
    <w:rsid w:val="005348B2"/>
    <w:rsid w:val="00535C85"/>
    <w:rsid w:val="005434C4"/>
    <w:rsid w:val="00552EE0"/>
    <w:rsid w:val="00554550"/>
    <w:rsid w:val="005549FF"/>
    <w:rsid w:val="00562E1E"/>
    <w:rsid w:val="00564112"/>
    <w:rsid w:val="0056449E"/>
    <w:rsid w:val="005723B3"/>
    <w:rsid w:val="00575DB1"/>
    <w:rsid w:val="005761BB"/>
    <w:rsid w:val="00584AA1"/>
    <w:rsid w:val="00585607"/>
    <w:rsid w:val="005A6382"/>
    <w:rsid w:val="005B46BF"/>
    <w:rsid w:val="005D73C8"/>
    <w:rsid w:val="005E2FFC"/>
    <w:rsid w:val="005E39B2"/>
    <w:rsid w:val="005F1C1F"/>
    <w:rsid w:val="005F1F09"/>
    <w:rsid w:val="005F58EF"/>
    <w:rsid w:val="00603DFF"/>
    <w:rsid w:val="00606ED9"/>
    <w:rsid w:val="00616265"/>
    <w:rsid w:val="00617C57"/>
    <w:rsid w:val="00624A19"/>
    <w:rsid w:val="0063524D"/>
    <w:rsid w:val="00643CD3"/>
    <w:rsid w:val="0065111E"/>
    <w:rsid w:val="006542C3"/>
    <w:rsid w:val="00654C06"/>
    <w:rsid w:val="0065588F"/>
    <w:rsid w:val="00664805"/>
    <w:rsid w:val="00671707"/>
    <w:rsid w:val="00677187"/>
    <w:rsid w:val="006827D0"/>
    <w:rsid w:val="00684589"/>
    <w:rsid w:val="006845C9"/>
    <w:rsid w:val="006902F9"/>
    <w:rsid w:val="00690A9D"/>
    <w:rsid w:val="00690B4B"/>
    <w:rsid w:val="00691107"/>
    <w:rsid w:val="0069180A"/>
    <w:rsid w:val="006933B2"/>
    <w:rsid w:val="00695044"/>
    <w:rsid w:val="00697E9B"/>
    <w:rsid w:val="006A0526"/>
    <w:rsid w:val="006A6A4A"/>
    <w:rsid w:val="006B0132"/>
    <w:rsid w:val="006B2227"/>
    <w:rsid w:val="006B5313"/>
    <w:rsid w:val="006B5D17"/>
    <w:rsid w:val="006B670C"/>
    <w:rsid w:val="006C3EB9"/>
    <w:rsid w:val="006C4BCC"/>
    <w:rsid w:val="006C794F"/>
    <w:rsid w:val="006C7D8C"/>
    <w:rsid w:val="006D1EAC"/>
    <w:rsid w:val="006D3D6F"/>
    <w:rsid w:val="006E1FA9"/>
    <w:rsid w:val="006E316D"/>
    <w:rsid w:val="006F0E43"/>
    <w:rsid w:val="006F1829"/>
    <w:rsid w:val="006F1968"/>
    <w:rsid w:val="006F5516"/>
    <w:rsid w:val="006F6EC3"/>
    <w:rsid w:val="006F70A7"/>
    <w:rsid w:val="007044A4"/>
    <w:rsid w:val="0070740D"/>
    <w:rsid w:val="0071309B"/>
    <w:rsid w:val="00715F52"/>
    <w:rsid w:val="00720AC5"/>
    <w:rsid w:val="0072124A"/>
    <w:rsid w:val="0072376F"/>
    <w:rsid w:val="007237B5"/>
    <w:rsid w:val="007433DB"/>
    <w:rsid w:val="00751528"/>
    <w:rsid w:val="007538DB"/>
    <w:rsid w:val="0075560F"/>
    <w:rsid w:val="007601AD"/>
    <w:rsid w:val="00766990"/>
    <w:rsid w:val="0077184D"/>
    <w:rsid w:val="00782F34"/>
    <w:rsid w:val="007851D3"/>
    <w:rsid w:val="007925CA"/>
    <w:rsid w:val="00792CC4"/>
    <w:rsid w:val="00793843"/>
    <w:rsid w:val="00793A25"/>
    <w:rsid w:val="007972EC"/>
    <w:rsid w:val="007A1831"/>
    <w:rsid w:val="007A3DB8"/>
    <w:rsid w:val="007A49AD"/>
    <w:rsid w:val="007A7345"/>
    <w:rsid w:val="007C3787"/>
    <w:rsid w:val="007C415E"/>
    <w:rsid w:val="007C64C6"/>
    <w:rsid w:val="007C7EC6"/>
    <w:rsid w:val="007D5586"/>
    <w:rsid w:val="007E547A"/>
    <w:rsid w:val="007E5C61"/>
    <w:rsid w:val="007F0553"/>
    <w:rsid w:val="00802521"/>
    <w:rsid w:val="00807AA2"/>
    <w:rsid w:val="00807F54"/>
    <w:rsid w:val="00810EA4"/>
    <w:rsid w:val="008127E6"/>
    <w:rsid w:val="00820168"/>
    <w:rsid w:val="00826ED1"/>
    <w:rsid w:val="008330CF"/>
    <w:rsid w:val="00865CCE"/>
    <w:rsid w:val="00882607"/>
    <w:rsid w:val="00884205"/>
    <w:rsid w:val="00887F9E"/>
    <w:rsid w:val="00890C4D"/>
    <w:rsid w:val="008A37BA"/>
    <w:rsid w:val="008A606C"/>
    <w:rsid w:val="008B593E"/>
    <w:rsid w:val="008D2718"/>
    <w:rsid w:val="008D4942"/>
    <w:rsid w:val="008D6E2E"/>
    <w:rsid w:val="008D74CD"/>
    <w:rsid w:val="008D763E"/>
    <w:rsid w:val="008E4001"/>
    <w:rsid w:val="008F33D5"/>
    <w:rsid w:val="008F3F3F"/>
    <w:rsid w:val="008F5596"/>
    <w:rsid w:val="008F5ECB"/>
    <w:rsid w:val="008F677F"/>
    <w:rsid w:val="0090290F"/>
    <w:rsid w:val="0091665C"/>
    <w:rsid w:val="00916B79"/>
    <w:rsid w:val="00941053"/>
    <w:rsid w:val="00951EDF"/>
    <w:rsid w:val="00956BAA"/>
    <w:rsid w:val="00971713"/>
    <w:rsid w:val="00976BDD"/>
    <w:rsid w:val="00977355"/>
    <w:rsid w:val="009777C1"/>
    <w:rsid w:val="00980A99"/>
    <w:rsid w:val="00982D6E"/>
    <w:rsid w:val="00983D9C"/>
    <w:rsid w:val="009852E6"/>
    <w:rsid w:val="0098621D"/>
    <w:rsid w:val="00997A4D"/>
    <w:rsid w:val="009A0B66"/>
    <w:rsid w:val="009B07DE"/>
    <w:rsid w:val="009B383B"/>
    <w:rsid w:val="009B3CB6"/>
    <w:rsid w:val="009C2F3B"/>
    <w:rsid w:val="009C69F7"/>
    <w:rsid w:val="009D242F"/>
    <w:rsid w:val="009D3F21"/>
    <w:rsid w:val="009D489B"/>
    <w:rsid w:val="009D4B2F"/>
    <w:rsid w:val="009F23E8"/>
    <w:rsid w:val="009F2575"/>
    <w:rsid w:val="00A024A8"/>
    <w:rsid w:val="00A027EE"/>
    <w:rsid w:val="00A07183"/>
    <w:rsid w:val="00A101D2"/>
    <w:rsid w:val="00A10967"/>
    <w:rsid w:val="00A15CF7"/>
    <w:rsid w:val="00A16D03"/>
    <w:rsid w:val="00A16E38"/>
    <w:rsid w:val="00A267CE"/>
    <w:rsid w:val="00A30225"/>
    <w:rsid w:val="00A32A30"/>
    <w:rsid w:val="00A40029"/>
    <w:rsid w:val="00A44AE2"/>
    <w:rsid w:val="00A477F3"/>
    <w:rsid w:val="00A64930"/>
    <w:rsid w:val="00A77E89"/>
    <w:rsid w:val="00A82B1F"/>
    <w:rsid w:val="00A87C8C"/>
    <w:rsid w:val="00A92C02"/>
    <w:rsid w:val="00A95309"/>
    <w:rsid w:val="00A97689"/>
    <w:rsid w:val="00AA26E7"/>
    <w:rsid w:val="00AA3CFD"/>
    <w:rsid w:val="00AA3D96"/>
    <w:rsid w:val="00AA3E9E"/>
    <w:rsid w:val="00AA59E8"/>
    <w:rsid w:val="00AB3F55"/>
    <w:rsid w:val="00AC0304"/>
    <w:rsid w:val="00AC345D"/>
    <w:rsid w:val="00AD241F"/>
    <w:rsid w:val="00AD6C98"/>
    <w:rsid w:val="00AD704C"/>
    <w:rsid w:val="00AE229A"/>
    <w:rsid w:val="00AE4993"/>
    <w:rsid w:val="00AE7906"/>
    <w:rsid w:val="00AF4355"/>
    <w:rsid w:val="00AF52C4"/>
    <w:rsid w:val="00B0161E"/>
    <w:rsid w:val="00B05A15"/>
    <w:rsid w:val="00B07F82"/>
    <w:rsid w:val="00B1073A"/>
    <w:rsid w:val="00B1660B"/>
    <w:rsid w:val="00B253F4"/>
    <w:rsid w:val="00B2595C"/>
    <w:rsid w:val="00B35D13"/>
    <w:rsid w:val="00B3722B"/>
    <w:rsid w:val="00B46F09"/>
    <w:rsid w:val="00B52E35"/>
    <w:rsid w:val="00B53A7B"/>
    <w:rsid w:val="00B55292"/>
    <w:rsid w:val="00B600CB"/>
    <w:rsid w:val="00B608A5"/>
    <w:rsid w:val="00B6512A"/>
    <w:rsid w:val="00B70CD3"/>
    <w:rsid w:val="00B83ED4"/>
    <w:rsid w:val="00B90507"/>
    <w:rsid w:val="00B92E72"/>
    <w:rsid w:val="00BA03A5"/>
    <w:rsid w:val="00BA12B0"/>
    <w:rsid w:val="00BB0116"/>
    <w:rsid w:val="00BB27C5"/>
    <w:rsid w:val="00BC2918"/>
    <w:rsid w:val="00BD685D"/>
    <w:rsid w:val="00BE0770"/>
    <w:rsid w:val="00BE306E"/>
    <w:rsid w:val="00BE4CC9"/>
    <w:rsid w:val="00BF0653"/>
    <w:rsid w:val="00BF2999"/>
    <w:rsid w:val="00BF323D"/>
    <w:rsid w:val="00BF5434"/>
    <w:rsid w:val="00C154C2"/>
    <w:rsid w:val="00C24300"/>
    <w:rsid w:val="00C309B1"/>
    <w:rsid w:val="00C30AFC"/>
    <w:rsid w:val="00C335F0"/>
    <w:rsid w:val="00C34699"/>
    <w:rsid w:val="00C43796"/>
    <w:rsid w:val="00C47BE9"/>
    <w:rsid w:val="00C47E91"/>
    <w:rsid w:val="00C5314C"/>
    <w:rsid w:val="00C5418E"/>
    <w:rsid w:val="00C55AC3"/>
    <w:rsid w:val="00C60D46"/>
    <w:rsid w:val="00C62218"/>
    <w:rsid w:val="00C6308A"/>
    <w:rsid w:val="00C6430C"/>
    <w:rsid w:val="00C7286B"/>
    <w:rsid w:val="00C729E0"/>
    <w:rsid w:val="00C740CF"/>
    <w:rsid w:val="00C74F88"/>
    <w:rsid w:val="00C75E0E"/>
    <w:rsid w:val="00C82BC5"/>
    <w:rsid w:val="00CA2792"/>
    <w:rsid w:val="00CA4241"/>
    <w:rsid w:val="00CA4E74"/>
    <w:rsid w:val="00CB0BBB"/>
    <w:rsid w:val="00CB3615"/>
    <w:rsid w:val="00CC4E74"/>
    <w:rsid w:val="00CC5784"/>
    <w:rsid w:val="00CD2962"/>
    <w:rsid w:val="00CD4FA2"/>
    <w:rsid w:val="00CD51FD"/>
    <w:rsid w:val="00CE062C"/>
    <w:rsid w:val="00CE13A7"/>
    <w:rsid w:val="00CE20ED"/>
    <w:rsid w:val="00CE40EE"/>
    <w:rsid w:val="00CE6591"/>
    <w:rsid w:val="00CF076B"/>
    <w:rsid w:val="00CF4246"/>
    <w:rsid w:val="00CF4D15"/>
    <w:rsid w:val="00D004D0"/>
    <w:rsid w:val="00D00B4F"/>
    <w:rsid w:val="00D04E39"/>
    <w:rsid w:val="00D14191"/>
    <w:rsid w:val="00D149DA"/>
    <w:rsid w:val="00D151F6"/>
    <w:rsid w:val="00D2099F"/>
    <w:rsid w:val="00D34708"/>
    <w:rsid w:val="00D43633"/>
    <w:rsid w:val="00D50DE5"/>
    <w:rsid w:val="00D53B5D"/>
    <w:rsid w:val="00D54EF6"/>
    <w:rsid w:val="00D54F2B"/>
    <w:rsid w:val="00D66735"/>
    <w:rsid w:val="00D671A5"/>
    <w:rsid w:val="00D74C53"/>
    <w:rsid w:val="00D765E7"/>
    <w:rsid w:val="00D95F74"/>
    <w:rsid w:val="00DA6007"/>
    <w:rsid w:val="00DA6F00"/>
    <w:rsid w:val="00DB5A0C"/>
    <w:rsid w:val="00DC4857"/>
    <w:rsid w:val="00DC4D99"/>
    <w:rsid w:val="00DD08BA"/>
    <w:rsid w:val="00DD1103"/>
    <w:rsid w:val="00DE2447"/>
    <w:rsid w:val="00DE5E01"/>
    <w:rsid w:val="00DF1FBB"/>
    <w:rsid w:val="00DF2A80"/>
    <w:rsid w:val="00E04AF2"/>
    <w:rsid w:val="00E054A3"/>
    <w:rsid w:val="00E13138"/>
    <w:rsid w:val="00E232D3"/>
    <w:rsid w:val="00E2376B"/>
    <w:rsid w:val="00E2796D"/>
    <w:rsid w:val="00E27C6A"/>
    <w:rsid w:val="00E27FC3"/>
    <w:rsid w:val="00E333C9"/>
    <w:rsid w:val="00E355DE"/>
    <w:rsid w:val="00E40873"/>
    <w:rsid w:val="00E43F97"/>
    <w:rsid w:val="00E5287C"/>
    <w:rsid w:val="00E561B8"/>
    <w:rsid w:val="00E577A4"/>
    <w:rsid w:val="00E7100C"/>
    <w:rsid w:val="00E71841"/>
    <w:rsid w:val="00E76380"/>
    <w:rsid w:val="00E770E6"/>
    <w:rsid w:val="00E779E2"/>
    <w:rsid w:val="00E81434"/>
    <w:rsid w:val="00E87AEF"/>
    <w:rsid w:val="00E92AE8"/>
    <w:rsid w:val="00E93323"/>
    <w:rsid w:val="00E95CFE"/>
    <w:rsid w:val="00E95D2C"/>
    <w:rsid w:val="00EA4A1D"/>
    <w:rsid w:val="00EA6488"/>
    <w:rsid w:val="00EB2124"/>
    <w:rsid w:val="00EB67BE"/>
    <w:rsid w:val="00EC22F1"/>
    <w:rsid w:val="00EC5041"/>
    <w:rsid w:val="00ED244B"/>
    <w:rsid w:val="00ED2F9B"/>
    <w:rsid w:val="00ED74CB"/>
    <w:rsid w:val="00ED7AEC"/>
    <w:rsid w:val="00EE07DC"/>
    <w:rsid w:val="00EE22D6"/>
    <w:rsid w:val="00EE4623"/>
    <w:rsid w:val="00EE4BEE"/>
    <w:rsid w:val="00EE6D93"/>
    <w:rsid w:val="00EF1568"/>
    <w:rsid w:val="00F02631"/>
    <w:rsid w:val="00F03E09"/>
    <w:rsid w:val="00F05B26"/>
    <w:rsid w:val="00F1392E"/>
    <w:rsid w:val="00F22950"/>
    <w:rsid w:val="00F278D5"/>
    <w:rsid w:val="00F311FB"/>
    <w:rsid w:val="00F31632"/>
    <w:rsid w:val="00F37A73"/>
    <w:rsid w:val="00F43738"/>
    <w:rsid w:val="00F43BE8"/>
    <w:rsid w:val="00F510B1"/>
    <w:rsid w:val="00F52194"/>
    <w:rsid w:val="00F53012"/>
    <w:rsid w:val="00F53771"/>
    <w:rsid w:val="00F5622A"/>
    <w:rsid w:val="00F801D3"/>
    <w:rsid w:val="00FA15BA"/>
    <w:rsid w:val="00FA6EBF"/>
    <w:rsid w:val="00FA71B6"/>
    <w:rsid w:val="00FA7FC5"/>
    <w:rsid w:val="00FB2D96"/>
    <w:rsid w:val="00FC0DD5"/>
    <w:rsid w:val="00FD0B6D"/>
    <w:rsid w:val="00FD7E46"/>
    <w:rsid w:val="00FE1DCB"/>
    <w:rsid w:val="00FE61C8"/>
    <w:rsid w:val="00FF320E"/>
    <w:rsid w:val="00FF377F"/>
    <w:rsid w:val="00FF3DE6"/>
    <w:rsid w:val="00FF7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631"/>
    <w:pPr>
      <w:spacing w:after="120"/>
      <w:jc w:val="both"/>
    </w:pPr>
    <w:rPr>
      <w:rFonts w:ascii="Arial" w:hAnsi="Arial"/>
      <w:sz w:val="22"/>
      <w:lang w:val="en-GB" w:eastAsia="de-DE"/>
    </w:rPr>
  </w:style>
  <w:style w:type="paragraph" w:styleId="Heading1">
    <w:name w:val="heading 1"/>
    <w:basedOn w:val="Normal"/>
    <w:next w:val="Normal"/>
    <w:qFormat/>
    <w:rsid w:val="00D004D0"/>
    <w:pPr>
      <w:numPr>
        <w:numId w:val="1"/>
      </w:numPr>
      <w:tabs>
        <w:tab w:val="clear" w:pos="432"/>
        <w:tab w:val="left" w:pos="851"/>
      </w:tabs>
      <w:spacing w:before="360"/>
      <w:ind w:left="851" w:hanging="851"/>
      <w:jc w:val="left"/>
      <w:outlineLvl w:val="0"/>
    </w:pPr>
    <w:rPr>
      <w:rFonts w:cs="Arial"/>
      <w:b/>
      <w:sz w:val="28"/>
      <w:szCs w:val="28"/>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1"/>
      </w:numPr>
      <w:outlineLvl w:val="3"/>
    </w:pPr>
    <w:rPr>
      <w:u w:val="single"/>
    </w:rPr>
  </w:style>
  <w:style w:type="paragraph" w:styleId="Heading5">
    <w:name w:val="heading 5"/>
    <w:basedOn w:val="Normal"/>
    <w:next w:val="Normal"/>
    <w:qFormat/>
    <w:rsid w:val="00D004D0"/>
    <w:pPr>
      <w:numPr>
        <w:ilvl w:val="4"/>
        <w:numId w:val="1"/>
      </w:numPr>
      <w:outlineLvl w:val="4"/>
    </w:pPr>
    <w:rPr>
      <w:b/>
      <w:sz w:val="20"/>
    </w:rPr>
  </w:style>
  <w:style w:type="paragraph" w:styleId="Heading6">
    <w:name w:val="heading 6"/>
    <w:basedOn w:val="Normal"/>
    <w:next w:val="Normal"/>
    <w:qFormat/>
    <w:rsid w:val="00D004D0"/>
    <w:pPr>
      <w:numPr>
        <w:ilvl w:val="5"/>
        <w:numId w:val="1"/>
      </w:numPr>
      <w:outlineLvl w:val="5"/>
    </w:pPr>
    <w:rPr>
      <w:sz w:val="20"/>
      <w:u w:val="single"/>
    </w:rPr>
  </w:style>
  <w:style w:type="paragraph" w:styleId="Heading7">
    <w:name w:val="heading 7"/>
    <w:basedOn w:val="Normal"/>
    <w:next w:val="Normal"/>
    <w:qFormat/>
    <w:rsid w:val="00D004D0"/>
    <w:pPr>
      <w:numPr>
        <w:ilvl w:val="6"/>
        <w:numId w:val="1"/>
      </w:numPr>
      <w:outlineLvl w:val="6"/>
    </w:pPr>
    <w:rPr>
      <w:i/>
      <w:sz w:val="20"/>
    </w:rPr>
  </w:style>
  <w:style w:type="paragraph" w:styleId="Heading8">
    <w:name w:val="heading 8"/>
    <w:basedOn w:val="Normal"/>
    <w:next w:val="Normal"/>
    <w:qFormat/>
    <w:rsid w:val="00D004D0"/>
    <w:pPr>
      <w:numPr>
        <w:ilvl w:val="7"/>
        <w:numId w:val="1"/>
      </w:numPr>
      <w:outlineLvl w:val="7"/>
    </w:pPr>
    <w:rPr>
      <w:i/>
      <w:sz w:val="20"/>
    </w:rPr>
  </w:style>
  <w:style w:type="paragraph" w:styleId="Heading9">
    <w:name w:val="heading 9"/>
    <w:basedOn w:val="Normal"/>
    <w:next w:val="Normal"/>
    <w:qFormat/>
    <w:rsid w:val="00D004D0"/>
    <w:pPr>
      <w:numPr>
        <w:ilvl w:val="8"/>
        <w:numId w:val="1"/>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Kopfzeile1">
    <w:name w:val="Kopfzeile1"/>
    <w:basedOn w:val="Header"/>
    <w:rsid w:val="00215746"/>
  </w:style>
  <w:style w:type="character" w:styleId="FootnoteReference">
    <w:name w:val="footnote reference"/>
    <w:aliases w:val="Appel note de bas de p,Footnote Reference/,Footnote,Footnote symbol"/>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semiHidden/>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3C53D0"/>
    <w:rPr>
      <w:color w:val="0000FF"/>
      <w:u w:val="single"/>
    </w:rPr>
  </w:style>
  <w:style w:type="paragraph" w:customStyle="1" w:styleId="Note">
    <w:name w:val="Note"/>
    <w:basedOn w:val="Normal"/>
    <w:next w:val="Normal"/>
    <w:rsid w:val="00DE5E01"/>
    <w:pPr>
      <w:tabs>
        <w:tab w:val="left" w:pos="851"/>
      </w:tabs>
      <w:ind w:left="851" w:hanging="851"/>
    </w:pPr>
    <w:rPr>
      <w:b/>
    </w:rPr>
  </w:style>
  <w:style w:type="paragraph" w:customStyle="1" w:styleId="Header1">
    <w:name w:val="Header1"/>
    <w:basedOn w:val="Header"/>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paragraph" w:customStyle="1" w:styleId="a">
    <w:name w:val="Абзац списка"/>
    <w:basedOn w:val="Normal"/>
    <w:uiPriority w:val="34"/>
    <w:qFormat/>
    <w:rsid w:val="00A101D2"/>
    <w:pPr>
      <w:spacing w:after="0"/>
      <w:ind w:left="720"/>
      <w:jc w:val="left"/>
    </w:pPr>
    <w:rPr>
      <w:rFonts w:ascii="Calibri" w:eastAsia="Calibri" w:hAnsi="Calibri"/>
      <w:szCs w:val="22"/>
      <w:lang w:val="da-DK" w:eastAsia="da-DK" w:bidi="he-IL"/>
    </w:rPr>
  </w:style>
  <w:style w:type="character" w:styleId="FollowedHyperlink">
    <w:name w:val="FollowedHyperlink"/>
    <w:rsid w:val="006827D0"/>
    <w:rPr>
      <w:color w:val="800080"/>
      <w:u w:val="single"/>
    </w:rPr>
  </w:style>
  <w:style w:type="table" w:styleId="TableGrid">
    <w:name w:val="Table Grid"/>
    <w:basedOn w:val="TableNormal"/>
    <w:rsid w:val="004A0432"/>
    <w:pPr>
      <w:spacing w:after="260" w:line="260" w:lineRule="exact"/>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376B"/>
    <w:pPr>
      <w:spacing w:after="0"/>
    </w:pPr>
    <w:rPr>
      <w:rFonts w:ascii="Tahoma" w:hAnsi="Tahoma"/>
      <w:sz w:val="16"/>
      <w:szCs w:val="16"/>
    </w:rPr>
  </w:style>
  <w:style w:type="character" w:customStyle="1" w:styleId="BalloonTextChar">
    <w:name w:val="Balloon Text Char"/>
    <w:link w:val="BalloonText"/>
    <w:rsid w:val="00E2376B"/>
    <w:rPr>
      <w:rFonts w:ascii="Tahoma" w:hAnsi="Tahoma" w:cs="Tahoma"/>
      <w:sz w:val="16"/>
      <w:szCs w:val="16"/>
      <w:lang w:val="nb-NO" w:eastAsia="de-DE"/>
    </w:rPr>
  </w:style>
  <w:style w:type="character" w:styleId="CommentReference">
    <w:name w:val="annotation reference"/>
    <w:rsid w:val="00A44AE2"/>
    <w:rPr>
      <w:sz w:val="16"/>
      <w:szCs w:val="16"/>
    </w:rPr>
  </w:style>
  <w:style w:type="paragraph" w:styleId="CommentText">
    <w:name w:val="annotation text"/>
    <w:basedOn w:val="Normal"/>
    <w:link w:val="CommentTextChar"/>
    <w:rsid w:val="00A44AE2"/>
    <w:rPr>
      <w:sz w:val="20"/>
    </w:rPr>
  </w:style>
  <w:style w:type="character" w:customStyle="1" w:styleId="CommentTextChar">
    <w:name w:val="Comment Text Char"/>
    <w:link w:val="CommentText"/>
    <w:rsid w:val="00A44AE2"/>
    <w:rPr>
      <w:rFonts w:ascii="Arial" w:hAnsi="Arial"/>
      <w:lang w:val="nb-NO" w:eastAsia="de-DE"/>
    </w:rPr>
  </w:style>
  <w:style w:type="paragraph" w:styleId="CommentSubject">
    <w:name w:val="annotation subject"/>
    <w:basedOn w:val="CommentText"/>
    <w:next w:val="CommentText"/>
    <w:link w:val="CommentSubjectChar"/>
    <w:rsid w:val="00A44AE2"/>
    <w:rPr>
      <w:b/>
      <w:bCs/>
    </w:rPr>
  </w:style>
  <w:style w:type="character" w:customStyle="1" w:styleId="CommentSubjectChar">
    <w:name w:val="Comment Subject Char"/>
    <w:link w:val="CommentSubject"/>
    <w:rsid w:val="00A44AE2"/>
    <w:rPr>
      <w:rFonts w:ascii="Arial" w:hAnsi="Arial"/>
      <w:b/>
      <w:bCs/>
      <w:lang w:val="nb-NO" w:eastAsia="de-DE"/>
    </w:rPr>
  </w:style>
  <w:style w:type="paragraph" w:customStyle="1" w:styleId="Header2">
    <w:name w:val="Header2"/>
    <w:basedOn w:val="Header"/>
    <w:rsid w:val="00DC4D99"/>
  </w:style>
  <w:style w:type="paragraph" w:styleId="ListParagraph">
    <w:name w:val="List Paragraph"/>
    <w:basedOn w:val="Normal"/>
    <w:uiPriority w:val="34"/>
    <w:qFormat/>
    <w:rsid w:val="006B5D17"/>
    <w:pPr>
      <w:ind w:left="720"/>
    </w:pPr>
  </w:style>
  <w:style w:type="character" w:styleId="Strong">
    <w:name w:val="Strong"/>
    <w:basedOn w:val="DefaultParagraphFont"/>
    <w:uiPriority w:val="22"/>
    <w:qFormat/>
    <w:rsid w:val="005641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631"/>
    <w:pPr>
      <w:spacing w:after="120"/>
      <w:jc w:val="both"/>
    </w:pPr>
    <w:rPr>
      <w:rFonts w:ascii="Arial" w:hAnsi="Arial"/>
      <w:sz w:val="22"/>
      <w:lang w:val="en-GB" w:eastAsia="de-DE"/>
    </w:rPr>
  </w:style>
  <w:style w:type="paragraph" w:styleId="Heading1">
    <w:name w:val="heading 1"/>
    <w:basedOn w:val="Normal"/>
    <w:next w:val="Normal"/>
    <w:qFormat/>
    <w:rsid w:val="00D004D0"/>
    <w:pPr>
      <w:numPr>
        <w:numId w:val="1"/>
      </w:numPr>
      <w:tabs>
        <w:tab w:val="clear" w:pos="432"/>
        <w:tab w:val="left" w:pos="851"/>
      </w:tabs>
      <w:spacing w:before="360"/>
      <w:ind w:left="851" w:hanging="851"/>
      <w:jc w:val="left"/>
      <w:outlineLvl w:val="0"/>
    </w:pPr>
    <w:rPr>
      <w:rFonts w:cs="Arial"/>
      <w:b/>
      <w:sz w:val="28"/>
      <w:szCs w:val="28"/>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1"/>
      </w:numPr>
      <w:outlineLvl w:val="3"/>
    </w:pPr>
    <w:rPr>
      <w:u w:val="single"/>
    </w:rPr>
  </w:style>
  <w:style w:type="paragraph" w:styleId="Heading5">
    <w:name w:val="heading 5"/>
    <w:basedOn w:val="Normal"/>
    <w:next w:val="Normal"/>
    <w:qFormat/>
    <w:rsid w:val="00D004D0"/>
    <w:pPr>
      <w:numPr>
        <w:ilvl w:val="4"/>
        <w:numId w:val="1"/>
      </w:numPr>
      <w:outlineLvl w:val="4"/>
    </w:pPr>
    <w:rPr>
      <w:b/>
      <w:sz w:val="20"/>
    </w:rPr>
  </w:style>
  <w:style w:type="paragraph" w:styleId="Heading6">
    <w:name w:val="heading 6"/>
    <w:basedOn w:val="Normal"/>
    <w:next w:val="Normal"/>
    <w:qFormat/>
    <w:rsid w:val="00D004D0"/>
    <w:pPr>
      <w:numPr>
        <w:ilvl w:val="5"/>
        <w:numId w:val="1"/>
      </w:numPr>
      <w:outlineLvl w:val="5"/>
    </w:pPr>
    <w:rPr>
      <w:sz w:val="20"/>
      <w:u w:val="single"/>
    </w:rPr>
  </w:style>
  <w:style w:type="paragraph" w:styleId="Heading7">
    <w:name w:val="heading 7"/>
    <w:basedOn w:val="Normal"/>
    <w:next w:val="Normal"/>
    <w:qFormat/>
    <w:rsid w:val="00D004D0"/>
    <w:pPr>
      <w:numPr>
        <w:ilvl w:val="6"/>
        <w:numId w:val="1"/>
      </w:numPr>
      <w:outlineLvl w:val="6"/>
    </w:pPr>
    <w:rPr>
      <w:i/>
      <w:sz w:val="20"/>
    </w:rPr>
  </w:style>
  <w:style w:type="paragraph" w:styleId="Heading8">
    <w:name w:val="heading 8"/>
    <w:basedOn w:val="Normal"/>
    <w:next w:val="Normal"/>
    <w:qFormat/>
    <w:rsid w:val="00D004D0"/>
    <w:pPr>
      <w:numPr>
        <w:ilvl w:val="7"/>
        <w:numId w:val="1"/>
      </w:numPr>
      <w:outlineLvl w:val="7"/>
    </w:pPr>
    <w:rPr>
      <w:i/>
      <w:sz w:val="20"/>
    </w:rPr>
  </w:style>
  <w:style w:type="paragraph" w:styleId="Heading9">
    <w:name w:val="heading 9"/>
    <w:basedOn w:val="Normal"/>
    <w:next w:val="Normal"/>
    <w:qFormat/>
    <w:rsid w:val="00D004D0"/>
    <w:pPr>
      <w:numPr>
        <w:ilvl w:val="8"/>
        <w:numId w:val="1"/>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Kopfzeile1">
    <w:name w:val="Kopfzeile1"/>
    <w:basedOn w:val="Header"/>
    <w:rsid w:val="00215746"/>
  </w:style>
  <w:style w:type="character" w:styleId="FootnoteReference">
    <w:name w:val="footnote reference"/>
    <w:aliases w:val="Appel note de bas de p,Footnote Reference/,Footnote,Footnote symbol"/>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semiHidden/>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3C53D0"/>
    <w:rPr>
      <w:color w:val="0000FF"/>
      <w:u w:val="single"/>
    </w:rPr>
  </w:style>
  <w:style w:type="paragraph" w:customStyle="1" w:styleId="Note">
    <w:name w:val="Note"/>
    <w:basedOn w:val="Normal"/>
    <w:next w:val="Normal"/>
    <w:rsid w:val="00DE5E01"/>
    <w:pPr>
      <w:tabs>
        <w:tab w:val="left" w:pos="851"/>
      </w:tabs>
      <w:ind w:left="851" w:hanging="851"/>
    </w:pPr>
    <w:rPr>
      <w:b/>
    </w:rPr>
  </w:style>
  <w:style w:type="paragraph" w:customStyle="1" w:styleId="Header1">
    <w:name w:val="Header1"/>
    <w:basedOn w:val="Header"/>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paragraph" w:customStyle="1" w:styleId="a">
    <w:name w:val="Абзац списка"/>
    <w:basedOn w:val="Normal"/>
    <w:uiPriority w:val="34"/>
    <w:qFormat/>
    <w:rsid w:val="00A101D2"/>
    <w:pPr>
      <w:spacing w:after="0"/>
      <w:ind w:left="720"/>
      <w:jc w:val="left"/>
    </w:pPr>
    <w:rPr>
      <w:rFonts w:ascii="Calibri" w:eastAsia="Calibri" w:hAnsi="Calibri"/>
      <w:szCs w:val="22"/>
      <w:lang w:val="da-DK" w:eastAsia="da-DK" w:bidi="he-IL"/>
    </w:rPr>
  </w:style>
  <w:style w:type="character" w:styleId="FollowedHyperlink">
    <w:name w:val="FollowedHyperlink"/>
    <w:rsid w:val="006827D0"/>
    <w:rPr>
      <w:color w:val="800080"/>
      <w:u w:val="single"/>
    </w:rPr>
  </w:style>
  <w:style w:type="table" w:styleId="TableGrid">
    <w:name w:val="Table Grid"/>
    <w:basedOn w:val="TableNormal"/>
    <w:rsid w:val="004A0432"/>
    <w:pPr>
      <w:spacing w:after="260" w:line="260" w:lineRule="exact"/>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376B"/>
    <w:pPr>
      <w:spacing w:after="0"/>
    </w:pPr>
    <w:rPr>
      <w:rFonts w:ascii="Tahoma" w:hAnsi="Tahoma"/>
      <w:sz w:val="16"/>
      <w:szCs w:val="16"/>
    </w:rPr>
  </w:style>
  <w:style w:type="character" w:customStyle="1" w:styleId="BalloonTextChar">
    <w:name w:val="Balloon Text Char"/>
    <w:link w:val="BalloonText"/>
    <w:rsid w:val="00E2376B"/>
    <w:rPr>
      <w:rFonts w:ascii="Tahoma" w:hAnsi="Tahoma" w:cs="Tahoma"/>
      <w:sz w:val="16"/>
      <w:szCs w:val="16"/>
      <w:lang w:val="nb-NO" w:eastAsia="de-DE"/>
    </w:rPr>
  </w:style>
  <w:style w:type="character" w:styleId="CommentReference">
    <w:name w:val="annotation reference"/>
    <w:rsid w:val="00A44AE2"/>
    <w:rPr>
      <w:sz w:val="16"/>
      <w:szCs w:val="16"/>
    </w:rPr>
  </w:style>
  <w:style w:type="paragraph" w:styleId="CommentText">
    <w:name w:val="annotation text"/>
    <w:basedOn w:val="Normal"/>
    <w:link w:val="CommentTextChar"/>
    <w:rsid w:val="00A44AE2"/>
    <w:rPr>
      <w:sz w:val="20"/>
    </w:rPr>
  </w:style>
  <w:style w:type="character" w:customStyle="1" w:styleId="CommentTextChar">
    <w:name w:val="Comment Text Char"/>
    <w:link w:val="CommentText"/>
    <w:rsid w:val="00A44AE2"/>
    <w:rPr>
      <w:rFonts w:ascii="Arial" w:hAnsi="Arial"/>
      <w:lang w:val="nb-NO" w:eastAsia="de-DE"/>
    </w:rPr>
  </w:style>
  <w:style w:type="paragraph" w:styleId="CommentSubject">
    <w:name w:val="annotation subject"/>
    <w:basedOn w:val="CommentText"/>
    <w:next w:val="CommentText"/>
    <w:link w:val="CommentSubjectChar"/>
    <w:rsid w:val="00A44AE2"/>
    <w:rPr>
      <w:b/>
      <w:bCs/>
    </w:rPr>
  </w:style>
  <w:style w:type="character" w:customStyle="1" w:styleId="CommentSubjectChar">
    <w:name w:val="Comment Subject Char"/>
    <w:link w:val="CommentSubject"/>
    <w:rsid w:val="00A44AE2"/>
    <w:rPr>
      <w:rFonts w:ascii="Arial" w:hAnsi="Arial"/>
      <w:b/>
      <w:bCs/>
      <w:lang w:val="nb-NO" w:eastAsia="de-DE"/>
    </w:rPr>
  </w:style>
  <w:style w:type="paragraph" w:customStyle="1" w:styleId="Header2">
    <w:name w:val="Header2"/>
    <w:basedOn w:val="Header"/>
    <w:rsid w:val="00DC4D99"/>
  </w:style>
  <w:style w:type="paragraph" w:styleId="ListParagraph">
    <w:name w:val="List Paragraph"/>
    <w:basedOn w:val="Normal"/>
    <w:uiPriority w:val="34"/>
    <w:qFormat/>
    <w:rsid w:val="006B5D17"/>
    <w:pPr>
      <w:ind w:left="720"/>
    </w:pPr>
  </w:style>
  <w:style w:type="character" w:styleId="Strong">
    <w:name w:val="Strong"/>
    <w:basedOn w:val="DefaultParagraphFont"/>
    <w:uiPriority w:val="22"/>
    <w:qFormat/>
    <w:rsid w:val="00564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8300">
      <w:bodyDiv w:val="1"/>
      <w:marLeft w:val="0"/>
      <w:marRight w:val="0"/>
      <w:marTop w:val="0"/>
      <w:marBottom w:val="0"/>
      <w:divBdr>
        <w:top w:val="none" w:sz="0" w:space="0" w:color="auto"/>
        <w:left w:val="none" w:sz="0" w:space="0" w:color="auto"/>
        <w:bottom w:val="none" w:sz="0" w:space="0" w:color="auto"/>
        <w:right w:val="none" w:sz="0" w:space="0" w:color="auto"/>
      </w:divBdr>
    </w:div>
    <w:div w:id="137769936">
      <w:bodyDiv w:val="1"/>
      <w:marLeft w:val="0"/>
      <w:marRight w:val="0"/>
      <w:marTop w:val="0"/>
      <w:marBottom w:val="0"/>
      <w:divBdr>
        <w:top w:val="none" w:sz="0" w:space="0" w:color="auto"/>
        <w:left w:val="none" w:sz="0" w:space="0" w:color="auto"/>
        <w:bottom w:val="none" w:sz="0" w:space="0" w:color="auto"/>
        <w:right w:val="none" w:sz="0" w:space="0" w:color="auto"/>
      </w:divBdr>
      <w:divsChild>
        <w:div w:id="1621498231">
          <w:marLeft w:val="0"/>
          <w:marRight w:val="0"/>
          <w:marTop w:val="0"/>
          <w:marBottom w:val="0"/>
          <w:divBdr>
            <w:top w:val="none" w:sz="0" w:space="0" w:color="auto"/>
            <w:left w:val="none" w:sz="0" w:space="0" w:color="auto"/>
            <w:bottom w:val="none" w:sz="0" w:space="0" w:color="auto"/>
            <w:right w:val="none" w:sz="0" w:space="0" w:color="auto"/>
          </w:divBdr>
          <w:divsChild>
            <w:div w:id="2101444583">
              <w:marLeft w:val="0"/>
              <w:marRight w:val="0"/>
              <w:marTop w:val="0"/>
              <w:marBottom w:val="0"/>
              <w:divBdr>
                <w:top w:val="none" w:sz="0" w:space="0" w:color="auto"/>
                <w:left w:val="none" w:sz="0" w:space="0" w:color="auto"/>
                <w:bottom w:val="none" w:sz="0" w:space="0" w:color="auto"/>
                <w:right w:val="none" w:sz="0" w:space="0" w:color="auto"/>
              </w:divBdr>
              <w:divsChild>
                <w:div w:id="1675570115">
                  <w:marLeft w:val="120"/>
                  <w:marRight w:val="120"/>
                  <w:marTop w:val="0"/>
                  <w:marBottom w:val="0"/>
                  <w:divBdr>
                    <w:top w:val="none" w:sz="0" w:space="0" w:color="auto"/>
                    <w:left w:val="none" w:sz="0" w:space="0" w:color="auto"/>
                    <w:bottom w:val="none" w:sz="0" w:space="0" w:color="auto"/>
                    <w:right w:val="none" w:sz="0" w:space="0" w:color="auto"/>
                  </w:divBdr>
                  <w:divsChild>
                    <w:div w:id="374963275">
                      <w:marLeft w:val="0"/>
                      <w:marRight w:val="0"/>
                      <w:marTop w:val="0"/>
                      <w:marBottom w:val="0"/>
                      <w:divBdr>
                        <w:top w:val="none" w:sz="0" w:space="0" w:color="auto"/>
                        <w:left w:val="none" w:sz="0" w:space="0" w:color="auto"/>
                        <w:bottom w:val="none" w:sz="0" w:space="0" w:color="auto"/>
                        <w:right w:val="none" w:sz="0" w:space="0" w:color="auto"/>
                      </w:divBdr>
                      <w:divsChild>
                        <w:div w:id="3228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4637">
      <w:bodyDiv w:val="1"/>
      <w:marLeft w:val="0"/>
      <w:marRight w:val="0"/>
      <w:marTop w:val="0"/>
      <w:marBottom w:val="0"/>
      <w:divBdr>
        <w:top w:val="none" w:sz="0" w:space="0" w:color="auto"/>
        <w:left w:val="none" w:sz="0" w:space="0" w:color="auto"/>
        <w:bottom w:val="none" w:sz="0" w:space="0" w:color="auto"/>
        <w:right w:val="none" w:sz="0" w:space="0" w:color="auto"/>
      </w:divBdr>
      <w:divsChild>
        <w:div w:id="753405426">
          <w:marLeft w:val="0"/>
          <w:marRight w:val="0"/>
          <w:marTop w:val="0"/>
          <w:marBottom w:val="0"/>
          <w:divBdr>
            <w:top w:val="none" w:sz="0" w:space="0" w:color="auto"/>
            <w:left w:val="none" w:sz="0" w:space="0" w:color="auto"/>
            <w:bottom w:val="none" w:sz="0" w:space="0" w:color="auto"/>
            <w:right w:val="none" w:sz="0" w:space="0" w:color="auto"/>
          </w:divBdr>
          <w:divsChild>
            <w:div w:id="1131827687">
              <w:marLeft w:val="0"/>
              <w:marRight w:val="0"/>
              <w:marTop w:val="0"/>
              <w:marBottom w:val="0"/>
              <w:divBdr>
                <w:top w:val="none" w:sz="0" w:space="0" w:color="auto"/>
                <w:left w:val="none" w:sz="0" w:space="0" w:color="auto"/>
                <w:bottom w:val="none" w:sz="0" w:space="0" w:color="auto"/>
                <w:right w:val="none" w:sz="0" w:space="0" w:color="auto"/>
              </w:divBdr>
              <w:divsChild>
                <w:div w:id="929779933">
                  <w:marLeft w:val="120"/>
                  <w:marRight w:val="120"/>
                  <w:marTop w:val="0"/>
                  <w:marBottom w:val="0"/>
                  <w:divBdr>
                    <w:top w:val="none" w:sz="0" w:space="0" w:color="auto"/>
                    <w:left w:val="none" w:sz="0" w:space="0" w:color="auto"/>
                    <w:bottom w:val="none" w:sz="0" w:space="0" w:color="auto"/>
                    <w:right w:val="none" w:sz="0" w:space="0" w:color="auto"/>
                  </w:divBdr>
                  <w:divsChild>
                    <w:div w:id="1121649989">
                      <w:marLeft w:val="0"/>
                      <w:marRight w:val="0"/>
                      <w:marTop w:val="0"/>
                      <w:marBottom w:val="0"/>
                      <w:divBdr>
                        <w:top w:val="none" w:sz="0" w:space="0" w:color="auto"/>
                        <w:left w:val="none" w:sz="0" w:space="0" w:color="auto"/>
                        <w:bottom w:val="none" w:sz="0" w:space="0" w:color="auto"/>
                        <w:right w:val="none" w:sz="0" w:space="0" w:color="auto"/>
                      </w:divBdr>
                      <w:divsChild>
                        <w:div w:id="1653756892">
                          <w:marLeft w:val="0"/>
                          <w:marRight w:val="0"/>
                          <w:marTop w:val="0"/>
                          <w:marBottom w:val="0"/>
                          <w:divBdr>
                            <w:top w:val="none" w:sz="0" w:space="0" w:color="auto"/>
                            <w:left w:val="none" w:sz="0" w:space="0" w:color="auto"/>
                            <w:bottom w:val="none" w:sz="0" w:space="0" w:color="auto"/>
                            <w:right w:val="none" w:sz="0" w:space="0" w:color="auto"/>
                          </w:divBdr>
                          <w:divsChild>
                            <w:div w:id="1346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3660">
      <w:bodyDiv w:val="1"/>
      <w:marLeft w:val="0"/>
      <w:marRight w:val="0"/>
      <w:marTop w:val="0"/>
      <w:marBottom w:val="0"/>
      <w:divBdr>
        <w:top w:val="none" w:sz="0" w:space="0" w:color="auto"/>
        <w:left w:val="none" w:sz="0" w:space="0" w:color="auto"/>
        <w:bottom w:val="none" w:sz="0" w:space="0" w:color="auto"/>
        <w:right w:val="none" w:sz="0" w:space="0" w:color="auto"/>
      </w:divBdr>
    </w:div>
    <w:div w:id="384834232">
      <w:bodyDiv w:val="1"/>
      <w:marLeft w:val="0"/>
      <w:marRight w:val="0"/>
      <w:marTop w:val="0"/>
      <w:marBottom w:val="0"/>
      <w:divBdr>
        <w:top w:val="none" w:sz="0" w:space="0" w:color="auto"/>
        <w:left w:val="none" w:sz="0" w:space="0" w:color="auto"/>
        <w:bottom w:val="none" w:sz="0" w:space="0" w:color="auto"/>
        <w:right w:val="none" w:sz="0" w:space="0" w:color="auto"/>
      </w:divBdr>
    </w:div>
    <w:div w:id="431707869">
      <w:bodyDiv w:val="1"/>
      <w:marLeft w:val="0"/>
      <w:marRight w:val="0"/>
      <w:marTop w:val="0"/>
      <w:marBottom w:val="0"/>
      <w:divBdr>
        <w:top w:val="none" w:sz="0" w:space="0" w:color="auto"/>
        <w:left w:val="none" w:sz="0" w:space="0" w:color="auto"/>
        <w:bottom w:val="none" w:sz="0" w:space="0" w:color="auto"/>
        <w:right w:val="none" w:sz="0" w:space="0" w:color="auto"/>
      </w:divBdr>
    </w:div>
    <w:div w:id="594947381">
      <w:bodyDiv w:val="1"/>
      <w:marLeft w:val="0"/>
      <w:marRight w:val="0"/>
      <w:marTop w:val="0"/>
      <w:marBottom w:val="0"/>
      <w:divBdr>
        <w:top w:val="none" w:sz="0" w:space="0" w:color="auto"/>
        <w:left w:val="none" w:sz="0" w:space="0" w:color="auto"/>
        <w:bottom w:val="none" w:sz="0" w:space="0" w:color="auto"/>
        <w:right w:val="none" w:sz="0" w:space="0" w:color="auto"/>
      </w:divBdr>
      <w:divsChild>
        <w:div w:id="572930243">
          <w:marLeft w:val="0"/>
          <w:marRight w:val="0"/>
          <w:marTop w:val="0"/>
          <w:marBottom w:val="0"/>
          <w:divBdr>
            <w:top w:val="none" w:sz="0" w:space="0" w:color="auto"/>
            <w:left w:val="none" w:sz="0" w:space="0" w:color="auto"/>
            <w:bottom w:val="none" w:sz="0" w:space="0" w:color="auto"/>
            <w:right w:val="none" w:sz="0" w:space="0" w:color="auto"/>
          </w:divBdr>
          <w:divsChild>
            <w:div w:id="1984314586">
              <w:marLeft w:val="0"/>
              <w:marRight w:val="0"/>
              <w:marTop w:val="0"/>
              <w:marBottom w:val="0"/>
              <w:divBdr>
                <w:top w:val="none" w:sz="0" w:space="0" w:color="auto"/>
                <w:left w:val="none" w:sz="0" w:space="0" w:color="auto"/>
                <w:bottom w:val="none" w:sz="0" w:space="0" w:color="auto"/>
                <w:right w:val="none" w:sz="0" w:space="0" w:color="auto"/>
              </w:divBdr>
              <w:divsChild>
                <w:div w:id="547575253">
                  <w:marLeft w:val="0"/>
                  <w:marRight w:val="0"/>
                  <w:marTop w:val="0"/>
                  <w:marBottom w:val="0"/>
                  <w:divBdr>
                    <w:top w:val="none" w:sz="0" w:space="0" w:color="auto"/>
                    <w:left w:val="none" w:sz="0" w:space="0" w:color="auto"/>
                    <w:bottom w:val="none" w:sz="0" w:space="0" w:color="auto"/>
                    <w:right w:val="none" w:sz="0" w:space="0" w:color="auto"/>
                  </w:divBdr>
                  <w:divsChild>
                    <w:div w:id="420951194">
                      <w:marLeft w:val="0"/>
                      <w:marRight w:val="0"/>
                      <w:marTop w:val="0"/>
                      <w:marBottom w:val="0"/>
                      <w:divBdr>
                        <w:top w:val="none" w:sz="0" w:space="0" w:color="auto"/>
                        <w:left w:val="none" w:sz="0" w:space="0" w:color="auto"/>
                        <w:bottom w:val="none" w:sz="0" w:space="0" w:color="auto"/>
                        <w:right w:val="none" w:sz="0" w:space="0" w:color="auto"/>
                      </w:divBdr>
                      <w:divsChild>
                        <w:div w:id="1439255568">
                          <w:marLeft w:val="0"/>
                          <w:marRight w:val="0"/>
                          <w:marTop w:val="0"/>
                          <w:marBottom w:val="0"/>
                          <w:divBdr>
                            <w:top w:val="none" w:sz="0" w:space="0" w:color="auto"/>
                            <w:left w:val="none" w:sz="0" w:space="0" w:color="auto"/>
                            <w:bottom w:val="none" w:sz="0" w:space="0" w:color="auto"/>
                            <w:right w:val="none" w:sz="0" w:space="0" w:color="auto"/>
                          </w:divBdr>
                          <w:divsChild>
                            <w:div w:id="2061175160">
                              <w:marLeft w:val="0"/>
                              <w:marRight w:val="0"/>
                              <w:marTop w:val="0"/>
                              <w:marBottom w:val="0"/>
                              <w:divBdr>
                                <w:top w:val="none" w:sz="0" w:space="0" w:color="auto"/>
                                <w:left w:val="none" w:sz="0" w:space="0" w:color="auto"/>
                                <w:bottom w:val="none" w:sz="0" w:space="0" w:color="auto"/>
                                <w:right w:val="none" w:sz="0" w:space="0" w:color="auto"/>
                              </w:divBdr>
                              <w:divsChild>
                                <w:div w:id="1121924433">
                                  <w:marLeft w:val="0"/>
                                  <w:marRight w:val="0"/>
                                  <w:marTop w:val="0"/>
                                  <w:marBottom w:val="0"/>
                                  <w:divBdr>
                                    <w:top w:val="none" w:sz="0" w:space="0" w:color="auto"/>
                                    <w:left w:val="none" w:sz="0" w:space="0" w:color="auto"/>
                                    <w:bottom w:val="none" w:sz="0" w:space="0" w:color="auto"/>
                                    <w:right w:val="none" w:sz="0" w:space="0" w:color="auto"/>
                                  </w:divBdr>
                                  <w:divsChild>
                                    <w:div w:id="2051687697">
                                      <w:marLeft w:val="0"/>
                                      <w:marRight w:val="0"/>
                                      <w:marTop w:val="0"/>
                                      <w:marBottom w:val="0"/>
                                      <w:divBdr>
                                        <w:top w:val="none" w:sz="0" w:space="0" w:color="auto"/>
                                        <w:left w:val="none" w:sz="0" w:space="0" w:color="auto"/>
                                        <w:bottom w:val="none" w:sz="0" w:space="0" w:color="auto"/>
                                        <w:right w:val="none" w:sz="0" w:space="0" w:color="auto"/>
                                      </w:divBdr>
                                      <w:divsChild>
                                        <w:div w:id="547569802">
                                          <w:marLeft w:val="0"/>
                                          <w:marRight w:val="0"/>
                                          <w:marTop w:val="0"/>
                                          <w:marBottom w:val="0"/>
                                          <w:divBdr>
                                            <w:top w:val="none" w:sz="0" w:space="0" w:color="auto"/>
                                            <w:left w:val="none" w:sz="0" w:space="0" w:color="auto"/>
                                            <w:bottom w:val="none" w:sz="0" w:space="0" w:color="auto"/>
                                            <w:right w:val="none" w:sz="0" w:space="0" w:color="auto"/>
                                          </w:divBdr>
                                          <w:divsChild>
                                            <w:div w:id="1925719914">
                                              <w:marLeft w:val="0"/>
                                              <w:marRight w:val="0"/>
                                              <w:marTop w:val="0"/>
                                              <w:marBottom w:val="0"/>
                                              <w:divBdr>
                                                <w:top w:val="none" w:sz="0" w:space="0" w:color="auto"/>
                                                <w:left w:val="none" w:sz="0" w:space="0" w:color="auto"/>
                                                <w:bottom w:val="none" w:sz="0" w:space="0" w:color="auto"/>
                                                <w:right w:val="none" w:sz="0" w:space="0" w:color="auto"/>
                                              </w:divBdr>
                                            </w:div>
                                            <w:div w:id="370611010">
                                              <w:marLeft w:val="0"/>
                                              <w:marRight w:val="0"/>
                                              <w:marTop w:val="0"/>
                                              <w:marBottom w:val="0"/>
                                              <w:divBdr>
                                                <w:top w:val="none" w:sz="0" w:space="0" w:color="auto"/>
                                                <w:left w:val="none" w:sz="0" w:space="0" w:color="auto"/>
                                                <w:bottom w:val="none" w:sz="0" w:space="0" w:color="auto"/>
                                                <w:right w:val="none" w:sz="0" w:space="0" w:color="auto"/>
                                              </w:divBdr>
                                              <w:divsChild>
                                                <w:div w:id="550002502">
                                                  <w:marLeft w:val="0"/>
                                                  <w:marRight w:val="0"/>
                                                  <w:marTop w:val="0"/>
                                                  <w:marBottom w:val="0"/>
                                                  <w:divBdr>
                                                    <w:top w:val="none" w:sz="0" w:space="0" w:color="auto"/>
                                                    <w:left w:val="none" w:sz="0" w:space="0" w:color="auto"/>
                                                    <w:bottom w:val="none" w:sz="0" w:space="0" w:color="auto"/>
                                                    <w:right w:val="none" w:sz="0" w:space="0" w:color="auto"/>
                                                  </w:divBdr>
                                                </w:div>
                                              </w:divsChild>
                                            </w:div>
                                            <w:div w:id="334260109">
                                              <w:marLeft w:val="0"/>
                                              <w:marRight w:val="0"/>
                                              <w:marTop w:val="0"/>
                                              <w:marBottom w:val="0"/>
                                              <w:divBdr>
                                                <w:top w:val="none" w:sz="0" w:space="0" w:color="auto"/>
                                                <w:left w:val="none" w:sz="0" w:space="0" w:color="auto"/>
                                                <w:bottom w:val="none" w:sz="0" w:space="0" w:color="auto"/>
                                                <w:right w:val="none" w:sz="0" w:space="0" w:color="auto"/>
                                              </w:divBdr>
                                              <w:divsChild>
                                                <w:div w:id="569313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5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63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4656">
      <w:bodyDiv w:val="1"/>
      <w:marLeft w:val="0"/>
      <w:marRight w:val="0"/>
      <w:marTop w:val="0"/>
      <w:marBottom w:val="0"/>
      <w:divBdr>
        <w:top w:val="none" w:sz="0" w:space="0" w:color="auto"/>
        <w:left w:val="none" w:sz="0" w:space="0" w:color="auto"/>
        <w:bottom w:val="none" w:sz="0" w:space="0" w:color="auto"/>
        <w:right w:val="none" w:sz="0" w:space="0" w:color="auto"/>
      </w:divBdr>
    </w:div>
    <w:div w:id="1086222143">
      <w:bodyDiv w:val="1"/>
      <w:marLeft w:val="0"/>
      <w:marRight w:val="0"/>
      <w:marTop w:val="0"/>
      <w:marBottom w:val="0"/>
      <w:divBdr>
        <w:top w:val="none" w:sz="0" w:space="0" w:color="auto"/>
        <w:left w:val="none" w:sz="0" w:space="0" w:color="auto"/>
        <w:bottom w:val="none" w:sz="0" w:space="0" w:color="auto"/>
        <w:right w:val="none" w:sz="0" w:space="0" w:color="auto"/>
      </w:divBdr>
      <w:divsChild>
        <w:div w:id="382408320">
          <w:marLeft w:val="0"/>
          <w:marRight w:val="0"/>
          <w:marTop w:val="0"/>
          <w:marBottom w:val="0"/>
          <w:divBdr>
            <w:top w:val="none" w:sz="0" w:space="0" w:color="auto"/>
            <w:left w:val="none" w:sz="0" w:space="0" w:color="auto"/>
            <w:bottom w:val="none" w:sz="0" w:space="0" w:color="auto"/>
            <w:right w:val="none" w:sz="0" w:space="0" w:color="auto"/>
          </w:divBdr>
          <w:divsChild>
            <w:div w:id="589891421">
              <w:marLeft w:val="0"/>
              <w:marRight w:val="0"/>
              <w:marTop w:val="0"/>
              <w:marBottom w:val="0"/>
              <w:divBdr>
                <w:top w:val="none" w:sz="0" w:space="0" w:color="auto"/>
                <w:left w:val="none" w:sz="0" w:space="0" w:color="auto"/>
                <w:bottom w:val="none" w:sz="0" w:space="0" w:color="auto"/>
                <w:right w:val="none" w:sz="0" w:space="0" w:color="auto"/>
              </w:divBdr>
              <w:divsChild>
                <w:div w:id="1048795313">
                  <w:marLeft w:val="0"/>
                  <w:marRight w:val="0"/>
                  <w:marTop w:val="0"/>
                  <w:marBottom w:val="0"/>
                  <w:divBdr>
                    <w:top w:val="none" w:sz="0" w:space="0" w:color="auto"/>
                    <w:left w:val="none" w:sz="0" w:space="0" w:color="auto"/>
                    <w:bottom w:val="none" w:sz="0" w:space="0" w:color="auto"/>
                    <w:right w:val="none" w:sz="0" w:space="0" w:color="auto"/>
                  </w:divBdr>
                  <w:divsChild>
                    <w:div w:id="1593664317">
                      <w:marLeft w:val="0"/>
                      <w:marRight w:val="0"/>
                      <w:marTop w:val="0"/>
                      <w:marBottom w:val="0"/>
                      <w:divBdr>
                        <w:top w:val="none" w:sz="0" w:space="0" w:color="auto"/>
                        <w:left w:val="none" w:sz="0" w:space="0" w:color="auto"/>
                        <w:bottom w:val="none" w:sz="0" w:space="0" w:color="auto"/>
                        <w:right w:val="none" w:sz="0" w:space="0" w:color="auto"/>
                      </w:divBdr>
                      <w:divsChild>
                        <w:div w:id="1157573671">
                          <w:marLeft w:val="0"/>
                          <w:marRight w:val="0"/>
                          <w:marTop w:val="0"/>
                          <w:marBottom w:val="0"/>
                          <w:divBdr>
                            <w:top w:val="none" w:sz="0" w:space="0" w:color="auto"/>
                            <w:left w:val="none" w:sz="0" w:space="0" w:color="auto"/>
                            <w:bottom w:val="none" w:sz="0" w:space="0" w:color="auto"/>
                            <w:right w:val="none" w:sz="0" w:space="0" w:color="auto"/>
                          </w:divBdr>
                          <w:divsChild>
                            <w:div w:id="871572421">
                              <w:marLeft w:val="0"/>
                              <w:marRight w:val="0"/>
                              <w:marTop w:val="0"/>
                              <w:marBottom w:val="0"/>
                              <w:divBdr>
                                <w:top w:val="none" w:sz="0" w:space="0" w:color="auto"/>
                                <w:left w:val="none" w:sz="0" w:space="0" w:color="auto"/>
                                <w:bottom w:val="none" w:sz="0" w:space="0" w:color="auto"/>
                                <w:right w:val="none" w:sz="0" w:space="0" w:color="auto"/>
                              </w:divBdr>
                              <w:divsChild>
                                <w:div w:id="463500758">
                                  <w:marLeft w:val="0"/>
                                  <w:marRight w:val="0"/>
                                  <w:marTop w:val="0"/>
                                  <w:marBottom w:val="0"/>
                                  <w:divBdr>
                                    <w:top w:val="none" w:sz="0" w:space="0" w:color="auto"/>
                                    <w:left w:val="none" w:sz="0" w:space="0" w:color="auto"/>
                                    <w:bottom w:val="none" w:sz="0" w:space="0" w:color="auto"/>
                                    <w:right w:val="none" w:sz="0" w:space="0" w:color="auto"/>
                                  </w:divBdr>
                                  <w:divsChild>
                                    <w:div w:id="1372607518">
                                      <w:marLeft w:val="0"/>
                                      <w:marRight w:val="0"/>
                                      <w:marTop w:val="0"/>
                                      <w:marBottom w:val="0"/>
                                      <w:divBdr>
                                        <w:top w:val="none" w:sz="0" w:space="0" w:color="auto"/>
                                        <w:left w:val="none" w:sz="0" w:space="0" w:color="auto"/>
                                        <w:bottom w:val="none" w:sz="0" w:space="0" w:color="auto"/>
                                        <w:right w:val="none" w:sz="0" w:space="0" w:color="auto"/>
                                      </w:divBdr>
                                      <w:divsChild>
                                        <w:div w:id="305549907">
                                          <w:marLeft w:val="0"/>
                                          <w:marRight w:val="0"/>
                                          <w:marTop w:val="0"/>
                                          <w:marBottom w:val="0"/>
                                          <w:divBdr>
                                            <w:top w:val="none" w:sz="0" w:space="0" w:color="auto"/>
                                            <w:left w:val="none" w:sz="0" w:space="0" w:color="auto"/>
                                            <w:bottom w:val="none" w:sz="0" w:space="0" w:color="auto"/>
                                            <w:right w:val="none" w:sz="0" w:space="0" w:color="auto"/>
                                          </w:divBdr>
                                          <w:divsChild>
                                            <w:div w:id="14941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18735">
      <w:bodyDiv w:val="1"/>
      <w:marLeft w:val="0"/>
      <w:marRight w:val="0"/>
      <w:marTop w:val="0"/>
      <w:marBottom w:val="0"/>
      <w:divBdr>
        <w:top w:val="none" w:sz="0" w:space="0" w:color="auto"/>
        <w:left w:val="none" w:sz="0" w:space="0" w:color="auto"/>
        <w:bottom w:val="none" w:sz="0" w:space="0" w:color="auto"/>
        <w:right w:val="none" w:sz="0" w:space="0" w:color="auto"/>
      </w:divBdr>
    </w:div>
    <w:div w:id="1336765517">
      <w:bodyDiv w:val="1"/>
      <w:marLeft w:val="0"/>
      <w:marRight w:val="0"/>
      <w:marTop w:val="0"/>
      <w:marBottom w:val="0"/>
      <w:divBdr>
        <w:top w:val="none" w:sz="0" w:space="0" w:color="auto"/>
        <w:left w:val="none" w:sz="0" w:space="0" w:color="auto"/>
        <w:bottom w:val="none" w:sz="0" w:space="0" w:color="auto"/>
        <w:right w:val="none" w:sz="0" w:space="0" w:color="auto"/>
      </w:divBdr>
    </w:div>
    <w:div w:id="1351957756">
      <w:bodyDiv w:val="1"/>
      <w:marLeft w:val="0"/>
      <w:marRight w:val="0"/>
      <w:marTop w:val="0"/>
      <w:marBottom w:val="0"/>
      <w:divBdr>
        <w:top w:val="none" w:sz="0" w:space="0" w:color="auto"/>
        <w:left w:val="none" w:sz="0" w:space="0" w:color="auto"/>
        <w:bottom w:val="none" w:sz="0" w:space="0" w:color="auto"/>
        <w:right w:val="none" w:sz="0" w:space="0" w:color="auto"/>
      </w:divBdr>
    </w:div>
    <w:div w:id="1428624120">
      <w:bodyDiv w:val="1"/>
      <w:marLeft w:val="0"/>
      <w:marRight w:val="0"/>
      <w:marTop w:val="0"/>
      <w:marBottom w:val="0"/>
      <w:divBdr>
        <w:top w:val="none" w:sz="0" w:space="0" w:color="auto"/>
        <w:left w:val="none" w:sz="0" w:space="0" w:color="auto"/>
        <w:bottom w:val="none" w:sz="0" w:space="0" w:color="auto"/>
        <w:right w:val="none" w:sz="0" w:space="0" w:color="auto"/>
      </w:divBdr>
    </w:div>
    <w:div w:id="1470245218">
      <w:bodyDiv w:val="1"/>
      <w:marLeft w:val="0"/>
      <w:marRight w:val="0"/>
      <w:marTop w:val="0"/>
      <w:marBottom w:val="0"/>
      <w:divBdr>
        <w:top w:val="none" w:sz="0" w:space="0" w:color="auto"/>
        <w:left w:val="none" w:sz="0" w:space="0" w:color="auto"/>
        <w:bottom w:val="none" w:sz="0" w:space="0" w:color="auto"/>
        <w:right w:val="none" w:sz="0" w:space="0" w:color="auto"/>
      </w:divBdr>
    </w:div>
    <w:div w:id="1557349399">
      <w:bodyDiv w:val="1"/>
      <w:marLeft w:val="0"/>
      <w:marRight w:val="0"/>
      <w:marTop w:val="0"/>
      <w:marBottom w:val="0"/>
      <w:divBdr>
        <w:top w:val="none" w:sz="0" w:space="0" w:color="auto"/>
        <w:left w:val="none" w:sz="0" w:space="0" w:color="auto"/>
        <w:bottom w:val="none" w:sz="0" w:space="0" w:color="auto"/>
        <w:right w:val="none" w:sz="0" w:space="0" w:color="auto"/>
      </w:divBdr>
    </w:div>
    <w:div w:id="1595745528">
      <w:bodyDiv w:val="1"/>
      <w:marLeft w:val="0"/>
      <w:marRight w:val="0"/>
      <w:marTop w:val="0"/>
      <w:marBottom w:val="0"/>
      <w:divBdr>
        <w:top w:val="none" w:sz="0" w:space="0" w:color="auto"/>
        <w:left w:val="none" w:sz="0" w:space="0" w:color="auto"/>
        <w:bottom w:val="none" w:sz="0" w:space="0" w:color="auto"/>
        <w:right w:val="none" w:sz="0" w:space="0" w:color="auto"/>
      </w:divBdr>
    </w:div>
    <w:div w:id="1775706985">
      <w:bodyDiv w:val="1"/>
      <w:marLeft w:val="0"/>
      <w:marRight w:val="0"/>
      <w:marTop w:val="0"/>
      <w:marBottom w:val="0"/>
      <w:divBdr>
        <w:top w:val="none" w:sz="0" w:space="0" w:color="auto"/>
        <w:left w:val="none" w:sz="0" w:space="0" w:color="auto"/>
        <w:bottom w:val="none" w:sz="0" w:space="0" w:color="auto"/>
        <w:right w:val="none" w:sz="0" w:space="0" w:color="auto"/>
      </w:divBdr>
      <w:divsChild>
        <w:div w:id="1057434503">
          <w:marLeft w:val="0"/>
          <w:marRight w:val="0"/>
          <w:marTop w:val="0"/>
          <w:marBottom w:val="0"/>
          <w:divBdr>
            <w:top w:val="none" w:sz="0" w:space="0" w:color="auto"/>
            <w:left w:val="none" w:sz="0" w:space="0" w:color="auto"/>
            <w:bottom w:val="none" w:sz="0" w:space="0" w:color="auto"/>
            <w:right w:val="none" w:sz="0" w:space="0" w:color="auto"/>
          </w:divBdr>
          <w:divsChild>
            <w:div w:id="1044257348">
              <w:marLeft w:val="0"/>
              <w:marRight w:val="0"/>
              <w:marTop w:val="0"/>
              <w:marBottom w:val="0"/>
              <w:divBdr>
                <w:top w:val="none" w:sz="0" w:space="0" w:color="auto"/>
                <w:left w:val="none" w:sz="0" w:space="0" w:color="auto"/>
                <w:bottom w:val="none" w:sz="0" w:space="0" w:color="auto"/>
                <w:right w:val="none" w:sz="0" w:space="0" w:color="auto"/>
              </w:divBdr>
              <w:divsChild>
                <w:div w:id="1024403210">
                  <w:marLeft w:val="0"/>
                  <w:marRight w:val="0"/>
                  <w:marTop w:val="0"/>
                  <w:marBottom w:val="0"/>
                  <w:divBdr>
                    <w:top w:val="none" w:sz="0" w:space="0" w:color="auto"/>
                    <w:left w:val="none" w:sz="0" w:space="0" w:color="auto"/>
                    <w:bottom w:val="none" w:sz="0" w:space="0" w:color="auto"/>
                    <w:right w:val="none" w:sz="0" w:space="0" w:color="auto"/>
                  </w:divBdr>
                  <w:divsChild>
                    <w:div w:id="231621928">
                      <w:marLeft w:val="0"/>
                      <w:marRight w:val="0"/>
                      <w:marTop w:val="0"/>
                      <w:marBottom w:val="0"/>
                      <w:divBdr>
                        <w:top w:val="none" w:sz="0" w:space="0" w:color="auto"/>
                        <w:left w:val="none" w:sz="0" w:space="0" w:color="auto"/>
                        <w:bottom w:val="none" w:sz="0" w:space="0" w:color="auto"/>
                        <w:right w:val="none" w:sz="0" w:space="0" w:color="auto"/>
                      </w:divBdr>
                      <w:divsChild>
                        <w:div w:id="6687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17821">
      <w:bodyDiv w:val="1"/>
      <w:marLeft w:val="0"/>
      <w:marRight w:val="0"/>
      <w:marTop w:val="0"/>
      <w:marBottom w:val="0"/>
      <w:divBdr>
        <w:top w:val="none" w:sz="0" w:space="0" w:color="auto"/>
        <w:left w:val="none" w:sz="0" w:space="0" w:color="auto"/>
        <w:bottom w:val="none" w:sz="0" w:space="0" w:color="auto"/>
        <w:right w:val="none" w:sz="0" w:space="0" w:color="auto"/>
      </w:divBdr>
      <w:divsChild>
        <w:div w:id="532575350">
          <w:marLeft w:val="0"/>
          <w:marRight w:val="0"/>
          <w:marTop w:val="0"/>
          <w:marBottom w:val="0"/>
          <w:divBdr>
            <w:top w:val="none" w:sz="0" w:space="0" w:color="auto"/>
            <w:left w:val="none" w:sz="0" w:space="0" w:color="auto"/>
            <w:bottom w:val="none" w:sz="0" w:space="0" w:color="auto"/>
            <w:right w:val="none" w:sz="0" w:space="0" w:color="auto"/>
          </w:divBdr>
          <w:divsChild>
            <w:div w:id="1845438000">
              <w:marLeft w:val="0"/>
              <w:marRight w:val="0"/>
              <w:marTop w:val="0"/>
              <w:marBottom w:val="0"/>
              <w:divBdr>
                <w:top w:val="none" w:sz="0" w:space="0" w:color="auto"/>
                <w:left w:val="none" w:sz="0" w:space="0" w:color="auto"/>
                <w:bottom w:val="none" w:sz="0" w:space="0" w:color="auto"/>
                <w:right w:val="none" w:sz="0" w:space="0" w:color="auto"/>
              </w:divBdr>
              <w:divsChild>
                <w:div w:id="1241866446">
                  <w:marLeft w:val="0"/>
                  <w:marRight w:val="0"/>
                  <w:marTop w:val="0"/>
                  <w:marBottom w:val="0"/>
                  <w:divBdr>
                    <w:top w:val="none" w:sz="0" w:space="0" w:color="auto"/>
                    <w:left w:val="none" w:sz="0" w:space="0" w:color="auto"/>
                    <w:bottom w:val="none" w:sz="0" w:space="0" w:color="auto"/>
                    <w:right w:val="none" w:sz="0" w:space="0" w:color="auto"/>
                  </w:divBdr>
                  <w:divsChild>
                    <w:div w:id="14997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77866">
      <w:bodyDiv w:val="1"/>
      <w:marLeft w:val="0"/>
      <w:marRight w:val="0"/>
      <w:marTop w:val="0"/>
      <w:marBottom w:val="0"/>
      <w:divBdr>
        <w:top w:val="none" w:sz="0" w:space="0" w:color="auto"/>
        <w:left w:val="none" w:sz="0" w:space="0" w:color="auto"/>
        <w:bottom w:val="none" w:sz="0" w:space="0" w:color="auto"/>
        <w:right w:val="none" w:sz="0" w:space="0" w:color="auto"/>
      </w:divBdr>
    </w:div>
    <w:div w:id="19615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pt.int/sites/default/files/Upload-files/AWG/APT-AWG-REP-04Rev.2_APT_Report_on_Coexistance_IMT2000.docx" TargetMode="External"/><Relationship Id="rId18" Type="http://schemas.openxmlformats.org/officeDocument/2006/relationships/hyperlink" Target="http://www.3gpp.org/news-events/3gpp-news/1733-niot" TargetMode="External"/><Relationship Id="rId26" Type="http://schemas.openxmlformats.org/officeDocument/2006/relationships/hyperlink" Target="https://apps.fcc.gov/edocs_public/attachmatch/DOC-336415A3.docx" TargetMode="External"/><Relationship Id="rId39" Type="http://schemas.openxmlformats.org/officeDocument/2006/relationships/hyperlink" Target="https://www.fcc.gov/document/fcc-promotes-higher-frequency-spectrum-future-wireless-technology-0" TargetMode="External"/><Relationship Id="rId21" Type="http://schemas.openxmlformats.org/officeDocument/2006/relationships/image" Target="media/image5.png"/><Relationship Id="rId34" Type="http://schemas.openxmlformats.org/officeDocument/2006/relationships/hyperlink" Target="http://www.cept.org/Documents/ecc/26001/ECC(15)052-Rev1_ECO-Bulletin" TargetMode="External"/><Relationship Id="rId42" Type="http://schemas.openxmlformats.org/officeDocument/2006/relationships/hyperlink" Target="https://apps.fcc.gov/edocs_public/attachmatch/FCC-15-92A1.pdf"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pt.int/sites/default/files/Upload-files/AWG/APT-AWG-REP-38Rev.1_APT_Report_Mission_Critical_PPDR.docx" TargetMode="External"/><Relationship Id="rId29" Type="http://schemas.openxmlformats.org/officeDocument/2006/relationships/hyperlink" Target="https://apps.fcc.gov/edocs_public/attachmatch/DOC-336415A6.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24" Type="http://schemas.openxmlformats.org/officeDocument/2006/relationships/hyperlink" Target="https://apps.fcc.gov/edocs_public/attachmatch/DOC-336415A1.pdf" TargetMode="External"/><Relationship Id="rId32" Type="http://schemas.openxmlformats.org/officeDocument/2006/relationships/hyperlink" Target="https://apps.fcc.gov/edocs_public/attachmatch/DOC-336415A5.pdf" TargetMode="External"/><Relationship Id="rId37" Type="http://schemas.openxmlformats.org/officeDocument/2006/relationships/image" Target="media/image6.emf"/><Relationship Id="rId40" Type="http://schemas.openxmlformats.org/officeDocument/2006/relationships/hyperlink" Target="http://www.regulations.gov/"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pt.int/sites/default/files/Upload-files/AWG/APT-AWG-REP-15Rev.3_APT_Report_on_Mobile_Band_Usage.docx" TargetMode="External"/><Relationship Id="rId23" Type="http://schemas.openxmlformats.org/officeDocument/2006/relationships/hyperlink" Target="https://apps.fcc.gov/edocs_public/attachmatch/DOC-336415A1.docx" TargetMode="External"/><Relationship Id="rId28" Type="http://schemas.openxmlformats.org/officeDocument/2006/relationships/hyperlink" Target="https://apps.fcc.gov/edocs_public/attachmatch/DOC-336415A5.docx" TargetMode="External"/><Relationship Id="rId36" Type="http://schemas.openxmlformats.org/officeDocument/2006/relationships/hyperlink" Target="http://apps.fcc.gov/ecfs/proceeding/view?name=15-99" TargetMode="External"/><Relationship Id="rId10" Type="http://schemas.openxmlformats.org/officeDocument/2006/relationships/image" Target="media/image2.emf"/><Relationship Id="rId19" Type="http://schemas.openxmlformats.org/officeDocument/2006/relationships/image" Target="media/image3.png"/><Relationship Id="rId31" Type="http://schemas.openxmlformats.org/officeDocument/2006/relationships/hyperlink" Target="https://apps.fcc.gov/edocs_public/attachmatch/DOC-336415A4.pdf" TargetMode="External"/><Relationship Id="rId44"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pt.int/sites/default/files/Upload-files/AWG/APT-AWG-REP-07Rev.4_APT_Report_on_SRD.docx" TargetMode="External"/><Relationship Id="rId22" Type="http://schemas.openxmlformats.org/officeDocument/2006/relationships/hyperlink" Target="ftp://ftp.3gpp.org/tsg_ran/TSG_RAN/TSGR_69/Docs/RP-151621.zip" TargetMode="External"/><Relationship Id="rId27" Type="http://schemas.openxmlformats.org/officeDocument/2006/relationships/hyperlink" Target="https://apps.fcc.gov/edocs_public/attachmatch/DOC-336415A4.docx" TargetMode="External"/><Relationship Id="rId30" Type="http://schemas.openxmlformats.org/officeDocument/2006/relationships/hyperlink" Target="https://apps.fcc.gov/edocs_public/attachmatch/DOC-336415A3.pdf" TargetMode="External"/><Relationship Id="rId35" Type="http://schemas.openxmlformats.org/officeDocument/2006/relationships/hyperlink" Target="https://www.fcc.gov/document/fcc-adopts-rules-unlicensed-services-tv-and-600-mhz-bands" TargetMode="External"/><Relationship Id="rId43" Type="http://schemas.openxmlformats.org/officeDocument/2006/relationships/image" Target="media/image7.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apt.int/Publications" TargetMode="External"/><Relationship Id="rId17" Type="http://schemas.openxmlformats.org/officeDocument/2006/relationships/hyperlink" Target="http://www.gsma.com/connectedliving/wp-content/uploads/2015/07/002_Bob-Cai-Huawei_NB-CIoT-Ready-to-Go-V5.pdf" TargetMode="External"/><Relationship Id="rId25" Type="http://schemas.openxmlformats.org/officeDocument/2006/relationships/hyperlink" Target="https://apps.fcc.gov/edocs_public/attachmatch/DOC-336415A2.docx" TargetMode="External"/><Relationship Id="rId33" Type="http://schemas.openxmlformats.org/officeDocument/2006/relationships/hyperlink" Target="https://apps.fcc.gov/edocs_public/attachmatch/DOC-336415A6.pdf" TargetMode="External"/><Relationship Id="rId38" Type="http://schemas.openxmlformats.org/officeDocument/2006/relationships/package" Target="embeddings/Microsoft_Word_Document2.docx"/><Relationship Id="rId46" Type="http://schemas.openxmlformats.org/officeDocument/2006/relationships/footer" Target="footer2.xml"/><Relationship Id="rId20" Type="http://schemas.openxmlformats.org/officeDocument/2006/relationships/image" Target="media/image4.png"/><Relationship Id="rId41" Type="http://schemas.openxmlformats.org/officeDocument/2006/relationships/hyperlink" Target="http://www.natlawreview.com/article/fcc-proposes-reform-radiofrequency-equipment-authorization-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DA05-99AB-488D-9FA5-BBB2CC20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0</TotalTime>
  <Pages>18</Pages>
  <Words>7356</Words>
  <Characters>44878</Characters>
  <Application>Microsoft Office Word</Application>
  <DocSecurity>0</DocSecurity>
  <Lines>373</Lines>
  <Paragraphs>104</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Cover page</vt:lpstr>
      <vt:lpstr>Cover page</vt:lpstr>
      <vt:lpstr>Cover page</vt:lpstr>
      <vt:lpstr>Cover page</vt:lpstr>
    </vt:vector>
  </TitlesOfParts>
  <Company>BNetzA</Company>
  <LinksUpToDate>false</LinksUpToDate>
  <CharactersWithSpaces>52130</CharactersWithSpaces>
  <SharedDoc>false</SharedDoc>
  <HLinks>
    <vt:vector size="108" baseType="variant">
      <vt:variant>
        <vt:i4>852063</vt:i4>
      </vt:variant>
      <vt:variant>
        <vt:i4>60</vt:i4>
      </vt:variant>
      <vt:variant>
        <vt:i4>0</vt:i4>
      </vt:variant>
      <vt:variant>
        <vt:i4>5</vt:i4>
      </vt:variant>
      <vt:variant>
        <vt:lpwstr>http://194.182.137.30/exchweb/bin/redir.asp?URL=https://docs.google.com/a/google.com/viewer?a=v%26pid=sites%26srcid=ZGVmYXVsdGRvbWFpbnx0dndzYWZyaWNhMjAxM3xneDoxODBhOTY5N2ZlZTFlMGM5</vt:lpwstr>
      </vt:variant>
      <vt:variant>
        <vt:lpwstr/>
      </vt:variant>
      <vt:variant>
        <vt:i4>6946924</vt:i4>
      </vt:variant>
      <vt:variant>
        <vt:i4>57</vt:i4>
      </vt:variant>
      <vt:variant>
        <vt:i4>0</vt:i4>
      </vt:variant>
      <vt:variant>
        <vt:i4>5</vt:i4>
      </vt:variant>
      <vt:variant>
        <vt:lpwstr>http://194.182.137.30/exchweb/bin/redir.asp?URL=http://www.tenet.ac.za/about-us/the-cape-town-tv-white-spaces-trial</vt:lpwstr>
      </vt:variant>
      <vt:variant>
        <vt:lpwstr/>
      </vt:variant>
      <vt:variant>
        <vt:i4>196684</vt:i4>
      </vt:variant>
      <vt:variant>
        <vt:i4>54</vt:i4>
      </vt:variant>
      <vt:variant>
        <vt:i4>0</vt:i4>
      </vt:variant>
      <vt:variant>
        <vt:i4>5</vt:i4>
      </vt:variant>
      <vt:variant>
        <vt:lpwstr>http://194.182.137.30/exchweb/bin/redir.asp?URL=https://docs.google.com/a/google.com/viewer?a=v%26pid=sites%26srcid=ZGVmYXVsdGRvbWFpbnx0dndzYWZyaWNhMjAxM3xneDo2MWY1ZjM0NTg4NmZmYTg5</vt:lpwstr>
      </vt:variant>
      <vt:variant>
        <vt:lpwstr/>
      </vt:variant>
      <vt:variant>
        <vt:i4>8192098</vt:i4>
      </vt:variant>
      <vt:variant>
        <vt:i4>51</vt:i4>
      </vt:variant>
      <vt:variant>
        <vt:i4>0</vt:i4>
      </vt:variant>
      <vt:variant>
        <vt:i4>5</vt:i4>
      </vt:variant>
      <vt:variant>
        <vt:lpwstr>http://194.182.137.30/exchweb/bin/redir.asp?URL=http://www.fiercebroadbandwireless.com/story/microsoft-unveils-tv-white-space-pilot-tanzania/2013-05-08</vt:lpwstr>
      </vt:variant>
      <vt:variant>
        <vt:lpwstr/>
      </vt:variant>
      <vt:variant>
        <vt:i4>7733298</vt:i4>
      </vt:variant>
      <vt:variant>
        <vt:i4>48</vt:i4>
      </vt:variant>
      <vt:variant>
        <vt:i4>0</vt:i4>
      </vt:variant>
      <vt:variant>
        <vt:i4>5</vt:i4>
      </vt:variant>
      <vt:variant>
        <vt:lpwstr>http://194.182.137.30/exchweb/bin/redir.asp?URL=https://sites.google.com/site/tvwsafrica2013/presentations</vt:lpwstr>
      </vt:variant>
      <vt:variant>
        <vt:lpwstr/>
      </vt:variant>
      <vt:variant>
        <vt:i4>4194384</vt:i4>
      </vt:variant>
      <vt:variant>
        <vt:i4>42</vt:i4>
      </vt:variant>
      <vt:variant>
        <vt:i4>0</vt:i4>
      </vt:variant>
      <vt:variant>
        <vt:i4>5</vt:i4>
      </vt:variant>
      <vt:variant>
        <vt:lpwstr>http://www.fcc.gov/document/expanding-access-broadband-and-encouraging-innovation</vt:lpwstr>
      </vt:variant>
      <vt:variant>
        <vt:lpwstr/>
      </vt:variant>
      <vt:variant>
        <vt:i4>1638468</vt:i4>
      </vt:variant>
      <vt:variant>
        <vt:i4>39</vt:i4>
      </vt:variant>
      <vt:variant>
        <vt:i4>0</vt:i4>
      </vt:variant>
      <vt:variant>
        <vt:i4>5</vt:i4>
      </vt:variant>
      <vt:variant>
        <vt:lpwstr>http://www.tra.gov.ae/news_UAE_TRA_ANNOUNCES_700_MHZ_BAND_PLAN_FOR_MOBILE_BROADBAND-514-1.php</vt:lpwstr>
      </vt:variant>
      <vt:variant>
        <vt:lpwstr/>
      </vt:variant>
      <vt:variant>
        <vt:i4>2818089</vt:i4>
      </vt:variant>
      <vt:variant>
        <vt:i4>33</vt:i4>
      </vt:variant>
      <vt:variant>
        <vt:i4>0</vt:i4>
      </vt:variant>
      <vt:variant>
        <vt:i4>5</vt:i4>
      </vt:variant>
      <vt:variant>
        <vt:lpwstr>http://www.apt.int/AFIS</vt:lpwstr>
      </vt:variant>
      <vt:variant>
        <vt:lpwstr/>
      </vt:variant>
      <vt:variant>
        <vt:i4>458865</vt:i4>
      </vt:variant>
      <vt:variant>
        <vt:i4>30</vt:i4>
      </vt:variant>
      <vt:variant>
        <vt:i4>0</vt:i4>
      </vt:variant>
      <vt:variant>
        <vt:i4>5</vt:i4>
      </vt:variant>
      <vt:variant>
        <vt:lpwstr>http://www.apt.int/sites/default/files/Upload-files/AWG/APT-AWG-REP-33-APT_Report_on_Satellite_Broadband_Applications.docx</vt:lpwstr>
      </vt:variant>
      <vt:variant>
        <vt:lpwstr/>
      </vt:variant>
      <vt:variant>
        <vt:i4>1245256</vt:i4>
      </vt:variant>
      <vt:variant>
        <vt:i4>27</vt:i4>
      </vt:variant>
      <vt:variant>
        <vt:i4>0</vt:i4>
      </vt:variant>
      <vt:variant>
        <vt:i4>5</vt:i4>
      </vt:variant>
      <vt:variant>
        <vt:lpwstr>http://www.apt.int/sites/default/files/Upload-files/AWG/APT-AWG-REP-34-APT_Report_on_Disaster_Mitigation.docx</vt:lpwstr>
      </vt:variant>
      <vt:variant>
        <vt:lpwstr/>
      </vt:variant>
      <vt:variant>
        <vt:i4>7995408</vt:i4>
      </vt:variant>
      <vt:variant>
        <vt:i4>24</vt:i4>
      </vt:variant>
      <vt:variant>
        <vt:i4>0</vt:i4>
      </vt:variant>
      <vt:variant>
        <vt:i4>5</vt:i4>
      </vt:variant>
      <vt:variant>
        <vt:lpwstr>http://www.apt.int/sites/default/files/Upload-files/AWG/APT-AWG-REP-18-R1-APT_Report_on_Usage_of_ITS.docx</vt:lpwstr>
      </vt:variant>
      <vt:variant>
        <vt:lpwstr/>
      </vt:variant>
      <vt:variant>
        <vt:i4>196691</vt:i4>
      </vt:variant>
      <vt:variant>
        <vt:i4>21</vt:i4>
      </vt:variant>
      <vt:variant>
        <vt:i4>0</vt:i4>
      </vt:variant>
      <vt:variant>
        <vt:i4>5</vt:i4>
      </vt:variant>
      <vt:variant>
        <vt:lpwstr>http://www.apt.int/sites/default/files/Upload-files/AWG/APT-AWG-REP-25-R1-APT_Report_on_Radio_Interference.docx</vt:lpwstr>
      </vt:variant>
      <vt:variant>
        <vt:lpwstr/>
      </vt:variant>
      <vt:variant>
        <vt:i4>6619144</vt:i4>
      </vt:variant>
      <vt:variant>
        <vt:i4>18</vt:i4>
      </vt:variant>
      <vt:variant>
        <vt:i4>0</vt:i4>
      </vt:variant>
      <vt:variant>
        <vt:i4>5</vt:i4>
      </vt:variant>
      <vt:variant>
        <vt:lpwstr>http://www.apt.int/sites/default/files/Upload-files/AWG/APT-AWG-REP-35-APT_Report_on_Frequency_bands_for_harmonized_use_of_SRDs.docx</vt:lpwstr>
      </vt:variant>
      <vt:variant>
        <vt:lpwstr/>
      </vt:variant>
      <vt:variant>
        <vt:i4>262239</vt:i4>
      </vt:variant>
      <vt:variant>
        <vt:i4>15</vt:i4>
      </vt:variant>
      <vt:variant>
        <vt:i4>0</vt:i4>
      </vt:variant>
      <vt:variant>
        <vt:i4>5</vt:i4>
      </vt:variant>
      <vt:variant>
        <vt:lpwstr>http://www.apt.int/sites/default/files/Upload-files/AWG/APT-AWG-REP-15-R1-APT_Report_on_Mobile_Freq-Tech-License.docx</vt:lpwstr>
      </vt:variant>
      <vt:variant>
        <vt:lpwstr/>
      </vt:variant>
      <vt:variant>
        <vt:i4>5636213</vt:i4>
      </vt:variant>
      <vt:variant>
        <vt:i4>12</vt:i4>
      </vt:variant>
      <vt:variant>
        <vt:i4>0</vt:i4>
      </vt:variant>
      <vt:variant>
        <vt:i4>5</vt:i4>
      </vt:variant>
      <vt:variant>
        <vt:lpwstr>http://www.apt.int/sites/default/files/Upload-files/AWG/APT-AWG-REP-37-APT_Report_on_3400-3600MHz.docx</vt:lpwstr>
      </vt:variant>
      <vt:variant>
        <vt:lpwstr/>
      </vt:variant>
      <vt:variant>
        <vt:i4>327722</vt:i4>
      </vt:variant>
      <vt:variant>
        <vt:i4>9</vt:i4>
      </vt:variant>
      <vt:variant>
        <vt:i4>0</vt:i4>
      </vt:variant>
      <vt:variant>
        <vt:i4>5</vt:i4>
      </vt:variant>
      <vt:variant>
        <vt:lpwstr>http://www.apt.int/sites/default/files/Upload-files/AWG/APT-AWG-REP-36-APT_Report_on_800MHz_Frequency_Arrangement.docx</vt:lpwstr>
      </vt:variant>
      <vt:variant>
        <vt:lpwstr/>
      </vt:variant>
      <vt:variant>
        <vt:i4>1966189</vt:i4>
      </vt:variant>
      <vt:variant>
        <vt:i4>3</vt:i4>
      </vt:variant>
      <vt:variant>
        <vt:i4>0</vt:i4>
      </vt:variant>
      <vt:variant>
        <vt:i4>5</vt:i4>
      </vt:variant>
      <vt:variant>
        <vt:lpwstr>http://194.182.137.30/exchweb/bin/redir.asp?URL=http://apps.fcc.gov/ecfs/comment_search/input.action?z=574gv</vt:lpwstr>
      </vt:variant>
      <vt:variant>
        <vt:lpwstr/>
      </vt:variant>
      <vt:variant>
        <vt:i4>3407922</vt:i4>
      </vt:variant>
      <vt:variant>
        <vt:i4>0</vt:i4>
      </vt:variant>
      <vt:variant>
        <vt:i4>0</vt:i4>
      </vt:variant>
      <vt:variant>
        <vt:i4>5</vt:i4>
      </vt:variant>
      <vt:variant>
        <vt:lpwstr>http://www.fcc.gov/document/5-ghz-unlicensed-spectrum-unii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Bruno Espinosa</cp:lastModifiedBy>
  <cp:revision>3</cp:revision>
  <cp:lastPrinted>1999-09-27T13:20:00Z</cp:lastPrinted>
  <dcterms:created xsi:type="dcterms:W3CDTF">2016-02-24T09:34:00Z</dcterms:created>
  <dcterms:modified xsi:type="dcterms:W3CDTF">2016-02-25T11:44:00Z</dcterms:modified>
</cp:coreProperties>
</file>