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4F3D96" w:rsidRPr="004F3D96" w:rsidTr="004F3D96">
        <w:trPr>
          <w:cantSplit/>
          <w:trHeight w:val="1560"/>
        </w:trPr>
        <w:tc>
          <w:tcPr>
            <w:tcW w:w="4820"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bookmarkStart w:id="0" w:name="_GoBack"/>
            <w:bookmarkEnd w:id="0"/>
            <w:r w:rsidRPr="004F3D96">
              <w:rPr>
                <w:rFonts w:ascii="Arial" w:eastAsia="Calibri" w:hAnsi="Arial" w:cs="Times New Roman"/>
                <w:b/>
                <w:noProof/>
                <w:szCs w:val="20"/>
                <w:lang w:eastAsia="da-DK"/>
              </w:rPr>
              <w:drawing>
                <wp:inline distT="0" distB="0" distL="0" distR="0" wp14:anchorId="1387432B" wp14:editId="472884B7">
                  <wp:extent cx="1617980" cy="8280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4F3D96">
              <w:rPr>
                <w:rFonts w:ascii="Arial" w:eastAsia="Calibri" w:hAnsi="Arial" w:cs="Times New Roman"/>
                <w:b/>
                <w:szCs w:val="20"/>
                <w:lang w:val="en-GB"/>
              </w:rPr>
              <w:t>Plenary</w:t>
            </w:r>
          </w:p>
        </w:tc>
        <w:tc>
          <w:tcPr>
            <w:tcW w:w="4961" w:type="dxa"/>
            <w:tcBorders>
              <w:top w:val="nil"/>
              <w:left w:val="nil"/>
              <w:bottom w:val="nil"/>
              <w:right w:val="nil"/>
            </w:tcBorders>
          </w:tcPr>
          <w:p w:rsidR="004F3D96" w:rsidRPr="004F3D96" w:rsidRDefault="004F3D96" w:rsidP="009A3A38">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ab/>
              <w:t>Doc. ECC(1</w:t>
            </w:r>
            <w:r>
              <w:rPr>
                <w:rFonts w:ascii="Arial" w:eastAsia="Calibri" w:hAnsi="Arial" w:cs="Times New Roman"/>
                <w:b/>
                <w:szCs w:val="20"/>
                <w:lang w:val="en-GB"/>
              </w:rPr>
              <w:t>8</w:t>
            </w:r>
            <w:r w:rsidRPr="004F3D96">
              <w:rPr>
                <w:rFonts w:ascii="Arial" w:eastAsia="Calibri" w:hAnsi="Arial" w:cs="Times New Roman"/>
                <w:b/>
                <w:szCs w:val="20"/>
                <w:lang w:val="en-GB"/>
              </w:rPr>
              <w:t>)</w:t>
            </w:r>
            <w:r w:rsidR="009A3A38">
              <w:rPr>
                <w:rFonts w:ascii="Arial" w:eastAsia="Calibri" w:hAnsi="Arial" w:cs="Times New Roman"/>
                <w:b/>
                <w:szCs w:val="20"/>
                <w:lang w:val="en-GB"/>
              </w:rPr>
              <w:t>110</w:t>
            </w:r>
          </w:p>
        </w:tc>
      </w:tr>
      <w:tr w:rsidR="004F3D96" w:rsidRPr="004F3D96" w:rsidTr="004F3D9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F3D96" w:rsidRPr="004F3D96" w:rsidRDefault="004F3D96" w:rsidP="00F354C1">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4</w:t>
            </w:r>
            <w:r w:rsidR="00F354C1">
              <w:rPr>
                <w:rFonts w:ascii="Arial" w:eastAsia="Calibri" w:hAnsi="Arial" w:cs="Times New Roman"/>
                <w:b/>
                <w:szCs w:val="20"/>
                <w:lang w:val="en-GB"/>
              </w:rPr>
              <w:t>9</w:t>
            </w:r>
            <w:r w:rsidRPr="004F3D96">
              <w:rPr>
                <w:rFonts w:ascii="Arial" w:eastAsia="Calibri" w:hAnsi="Arial" w:cs="Times New Roman"/>
                <w:b/>
                <w:szCs w:val="20"/>
                <w:vertAlign w:val="superscript"/>
                <w:lang w:val="en-GB"/>
              </w:rPr>
              <w:t>th</w:t>
            </w:r>
            <w:r w:rsidRPr="004F3D96">
              <w:rPr>
                <w:rFonts w:ascii="Arial" w:eastAsia="Calibri" w:hAnsi="Arial" w:cs="Times New Roman"/>
                <w:b/>
                <w:szCs w:val="20"/>
                <w:lang w:val="en-GB"/>
              </w:rPr>
              <w:t xml:space="preserve"> Meeting</w:t>
            </w:r>
          </w:p>
        </w:tc>
      </w:tr>
      <w:tr w:rsidR="004F3D96" w:rsidRPr="004F3D96" w:rsidTr="004F3D9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F3D96" w:rsidRPr="004F3D96" w:rsidRDefault="00F354C1" w:rsidP="00F354C1">
            <w:pPr>
              <w:tabs>
                <w:tab w:val="right" w:pos="4750"/>
              </w:tabs>
              <w:spacing w:before="120" w:after="60" w:line="240" w:lineRule="auto"/>
              <w:jc w:val="both"/>
              <w:rPr>
                <w:rFonts w:ascii="Arial" w:eastAsia="Calibri" w:hAnsi="Arial" w:cs="Times New Roman"/>
                <w:b/>
                <w:szCs w:val="20"/>
                <w:lang w:val="en-GB"/>
              </w:rPr>
            </w:pPr>
            <w:r>
              <w:rPr>
                <w:rFonts w:ascii="Arial" w:eastAsia="Calibri" w:hAnsi="Arial" w:cs="Times New Roman"/>
                <w:b/>
                <w:szCs w:val="20"/>
                <w:lang w:val="en-GB"/>
              </w:rPr>
              <w:t>Bordeaux</w:t>
            </w:r>
            <w:r w:rsidR="004F3D96" w:rsidRPr="004F3D96">
              <w:rPr>
                <w:rFonts w:ascii="Arial" w:eastAsia="Calibri" w:hAnsi="Arial" w:cs="Times New Roman"/>
                <w:b/>
                <w:szCs w:val="20"/>
                <w:lang w:val="en-GB"/>
              </w:rPr>
              <w:t xml:space="preserve">, </w:t>
            </w:r>
            <w:r>
              <w:rPr>
                <w:rFonts w:ascii="Arial" w:eastAsia="Calibri" w:hAnsi="Arial" w:cs="Times New Roman"/>
                <w:b/>
                <w:szCs w:val="20"/>
                <w:lang w:val="en-GB"/>
              </w:rPr>
              <w:t>2</w:t>
            </w:r>
            <w:r w:rsidR="001F27FB">
              <w:rPr>
                <w:rFonts w:ascii="Arial" w:eastAsia="Calibri" w:hAnsi="Arial" w:cs="Times New Roman"/>
                <w:b/>
                <w:szCs w:val="20"/>
                <w:lang w:val="en-GB"/>
              </w:rPr>
              <w:t>3-</w:t>
            </w:r>
            <w:r>
              <w:rPr>
                <w:rFonts w:ascii="Arial" w:eastAsia="Calibri" w:hAnsi="Arial" w:cs="Times New Roman"/>
                <w:b/>
                <w:szCs w:val="20"/>
                <w:lang w:val="en-GB"/>
              </w:rPr>
              <w:t>2</w:t>
            </w:r>
            <w:r w:rsidR="001F27FB">
              <w:rPr>
                <w:rFonts w:ascii="Arial" w:eastAsia="Calibri" w:hAnsi="Arial" w:cs="Times New Roman"/>
                <w:b/>
                <w:szCs w:val="20"/>
                <w:lang w:val="en-GB"/>
              </w:rPr>
              <w:t xml:space="preserve">6 </w:t>
            </w:r>
            <w:r>
              <w:rPr>
                <w:rFonts w:ascii="Arial" w:eastAsia="Calibri" w:hAnsi="Arial" w:cs="Times New Roman"/>
                <w:b/>
                <w:szCs w:val="20"/>
                <w:lang w:val="en-GB"/>
              </w:rPr>
              <w:t>October</w:t>
            </w:r>
            <w:r w:rsidR="001F27FB">
              <w:rPr>
                <w:rFonts w:ascii="Arial" w:eastAsia="Calibri" w:hAnsi="Arial" w:cs="Times New Roman"/>
                <w:b/>
                <w:szCs w:val="20"/>
                <w:lang w:val="en-GB"/>
              </w:rPr>
              <w:t xml:space="preserve"> </w:t>
            </w:r>
            <w:r w:rsidR="004F3D96" w:rsidRPr="004F3D96">
              <w:rPr>
                <w:rFonts w:ascii="Arial" w:eastAsia="Calibri" w:hAnsi="Arial" w:cs="Times New Roman"/>
                <w:b/>
                <w:szCs w:val="20"/>
                <w:lang w:val="en-GB"/>
              </w:rPr>
              <w:t>201</w:t>
            </w:r>
            <w:r w:rsidR="004F3D96">
              <w:rPr>
                <w:rFonts w:ascii="Arial" w:eastAsia="Calibri" w:hAnsi="Arial" w:cs="Times New Roman"/>
                <w:b/>
                <w:szCs w:val="20"/>
                <w:lang w:val="en-GB"/>
              </w:rPr>
              <w:t>8</w:t>
            </w:r>
          </w:p>
        </w:tc>
      </w:tr>
      <w:tr w:rsidR="004F3D96" w:rsidRPr="004F3D96" w:rsidTr="004F3D96">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p>
        </w:tc>
      </w:tr>
      <w:tr w:rsidR="004F3D96" w:rsidRPr="004F3D96"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Date issued: </w:t>
            </w:r>
          </w:p>
        </w:tc>
        <w:tc>
          <w:tcPr>
            <w:tcW w:w="7962" w:type="dxa"/>
            <w:gridSpan w:val="2"/>
            <w:tcBorders>
              <w:top w:val="nil"/>
              <w:left w:val="nil"/>
              <w:bottom w:val="nil"/>
              <w:right w:val="nil"/>
            </w:tcBorders>
            <w:vAlign w:val="center"/>
          </w:tcPr>
          <w:p w:rsidR="004F3D96" w:rsidRPr="004F3D96" w:rsidRDefault="00F354C1" w:rsidP="00BD4F6C">
            <w:pPr>
              <w:tabs>
                <w:tab w:val="right" w:pos="4750"/>
              </w:tabs>
              <w:spacing w:before="120" w:after="60" w:line="240" w:lineRule="auto"/>
              <w:jc w:val="both"/>
              <w:rPr>
                <w:rFonts w:ascii="Arial" w:eastAsia="Calibri" w:hAnsi="Arial" w:cs="Times New Roman"/>
                <w:b/>
                <w:szCs w:val="20"/>
                <w:lang w:val="en-GB"/>
              </w:rPr>
            </w:pPr>
            <w:r>
              <w:rPr>
                <w:rFonts w:ascii="Arial" w:eastAsia="Calibri" w:hAnsi="Arial" w:cs="Times New Roman"/>
                <w:b/>
                <w:szCs w:val="20"/>
                <w:lang w:val="en-GB"/>
              </w:rPr>
              <w:t>1</w:t>
            </w:r>
            <w:r w:rsidR="00BD4F6C">
              <w:rPr>
                <w:rFonts w:ascii="Arial" w:eastAsia="Calibri" w:hAnsi="Arial" w:cs="Times New Roman"/>
                <w:b/>
                <w:szCs w:val="20"/>
                <w:lang w:val="en-GB"/>
              </w:rPr>
              <w:t>7</w:t>
            </w:r>
            <w:r>
              <w:rPr>
                <w:rFonts w:ascii="Arial" w:eastAsia="Calibri" w:hAnsi="Arial" w:cs="Times New Roman"/>
                <w:b/>
                <w:szCs w:val="20"/>
                <w:lang w:val="en-GB"/>
              </w:rPr>
              <w:t xml:space="preserve"> October</w:t>
            </w:r>
            <w:r w:rsidR="004F3D96">
              <w:rPr>
                <w:rFonts w:ascii="Arial" w:eastAsia="Calibri" w:hAnsi="Arial" w:cs="Times New Roman"/>
                <w:b/>
                <w:szCs w:val="20"/>
                <w:lang w:val="en-GB"/>
              </w:rPr>
              <w:t xml:space="preserve"> </w:t>
            </w:r>
            <w:r w:rsidR="004F3D96" w:rsidRPr="004F3D96">
              <w:rPr>
                <w:rFonts w:ascii="Arial" w:eastAsia="Calibri" w:hAnsi="Arial" w:cs="Times New Roman"/>
                <w:b/>
                <w:szCs w:val="20"/>
                <w:lang w:val="en-GB"/>
              </w:rPr>
              <w:t>201</w:t>
            </w:r>
            <w:r w:rsidR="004F3D96">
              <w:rPr>
                <w:rFonts w:ascii="Arial" w:eastAsia="Calibri" w:hAnsi="Arial" w:cs="Times New Roman"/>
                <w:b/>
                <w:szCs w:val="20"/>
                <w:lang w:val="en-GB"/>
              </w:rPr>
              <w:t>8</w:t>
            </w:r>
          </w:p>
        </w:tc>
      </w:tr>
      <w:tr w:rsidR="004F3D96" w:rsidRPr="004F3D96"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Source: </w:t>
            </w:r>
          </w:p>
        </w:tc>
        <w:tc>
          <w:tcPr>
            <w:tcW w:w="7962"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ECO</w:t>
            </w:r>
          </w:p>
        </w:tc>
      </w:tr>
      <w:tr w:rsidR="004F3D96" w:rsidRPr="009A3A38"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Subject: </w:t>
            </w:r>
          </w:p>
        </w:tc>
        <w:tc>
          <w:tcPr>
            <w:tcW w:w="7962"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ECO Bulletin on on-going/new issues in other regions or organisations</w:t>
            </w:r>
          </w:p>
        </w:tc>
      </w:tr>
      <w:tr w:rsidR="004F3D96" w:rsidRPr="004F3D96" w:rsidTr="004F3D96">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noProof/>
                <w:sz w:val="20"/>
                <w:lang w:eastAsia="da-DK"/>
              </w:rPr>
              <mc:AlternateContent>
                <mc:Choice Requires="wps">
                  <w:drawing>
                    <wp:anchor distT="0" distB="0" distL="114300" distR="114300" simplePos="0" relativeHeight="251659264" behindDoc="0" locked="1" layoutInCell="0" allowOverlap="1" wp14:anchorId="78782DE1" wp14:editId="358502EE">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C37928" w:rsidRPr="00F45561" w:rsidRDefault="00C37928" w:rsidP="004F3D96">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C37928" w:rsidRPr="00F45561" w:rsidRDefault="00C37928" w:rsidP="004F3D96">
                            <w:pPr>
                              <w:pStyle w:val="ECCTabletext"/>
                              <w:jc w:val="center"/>
                              <w:rPr>
                                <w:lang w:val="de-DE"/>
                              </w:rPr>
                            </w:pPr>
                            <w:r>
                              <w:rPr>
                                <w:lang w:val="de-DE"/>
                              </w:rPr>
                              <w:t>N</w:t>
                            </w:r>
                          </w:p>
                        </w:txbxContent>
                      </v:textbox>
                      <w10:anchorlock/>
                    </v:shape>
                  </w:pict>
                </mc:Fallback>
              </mc:AlternateContent>
            </w:r>
            <w:r w:rsidRPr="004F3D96">
              <w:rPr>
                <w:rFonts w:ascii="Arial" w:eastAsia="Calibri" w:hAnsi="Arial" w:cs="Times New Roman"/>
                <w:sz w:val="20"/>
                <w:lang w:val="en-GB"/>
              </w:rPr>
              <w:t xml:space="preserve">Group membership required </w:t>
            </w:r>
            <w:proofErr w:type="gramStart"/>
            <w:r w:rsidRPr="004F3D96">
              <w:rPr>
                <w:rFonts w:ascii="Arial" w:eastAsia="Calibri" w:hAnsi="Arial" w:cs="Times New Roman"/>
                <w:sz w:val="20"/>
                <w:lang w:val="en-GB"/>
              </w:rPr>
              <w:t>to read</w:t>
            </w:r>
            <w:proofErr w:type="gramEnd"/>
            <w:r w:rsidRPr="004F3D96">
              <w:rPr>
                <w:rFonts w:ascii="Arial" w:eastAsia="Calibri" w:hAnsi="Arial" w:cs="Times New Roman"/>
                <w:sz w:val="20"/>
                <w:lang w:val="en-GB"/>
              </w:rPr>
              <w:t>? (Y/N)</w:t>
            </w:r>
          </w:p>
        </w:tc>
      </w:tr>
      <w:tr w:rsidR="004F3D96" w:rsidRPr="004F3D96" w:rsidTr="004F3D96">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4F3D96" w:rsidRPr="004F3D96" w:rsidRDefault="004F3D96" w:rsidP="004F3D96">
            <w:pPr>
              <w:spacing w:before="240" w:after="60" w:line="240" w:lineRule="auto"/>
              <w:jc w:val="both"/>
              <w:rPr>
                <w:rFonts w:ascii="Arial" w:eastAsia="Calibri" w:hAnsi="Arial" w:cs="Times New Roman"/>
                <w:sz w:val="20"/>
                <w:lang w:val="en-GB"/>
              </w:rPr>
            </w:pPr>
          </w:p>
          <w:p w:rsidR="004F3D96" w:rsidRPr="004F3D96" w:rsidRDefault="004F3D96" w:rsidP="004F3D96">
            <w:pPr>
              <w:spacing w:before="240" w:after="60" w:line="240" w:lineRule="auto"/>
              <w:jc w:val="both"/>
              <w:rPr>
                <w:rFonts w:ascii="Arial" w:eastAsia="Calibri" w:hAnsi="Arial" w:cs="Times New Roman"/>
                <w:sz w:val="20"/>
                <w:lang w:val="en-GB"/>
              </w:rPr>
            </w:pP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Summary: </w:t>
            </w:r>
          </w:p>
        </w:tc>
      </w:tr>
      <w:tr w:rsidR="004F3D96" w:rsidRPr="009A3A38" w:rsidTr="00D2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9"/>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24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This ECO Bulletin provides a summary update on aspects of progress in spectrum management outside the CEPT. The items in this bulletin include:</w:t>
            </w:r>
          </w:p>
          <w:p w:rsidR="001F27FB" w:rsidRDefault="001F27FB" w:rsidP="00481D8C">
            <w:pPr>
              <w:numPr>
                <w:ilvl w:val="0"/>
                <w:numId w:val="1"/>
              </w:numPr>
              <w:spacing w:after="120" w:line="240" w:lineRule="auto"/>
              <w:contextualSpacing/>
              <w:jc w:val="both"/>
              <w:rPr>
                <w:rFonts w:ascii="Arial" w:eastAsia="Calibri" w:hAnsi="Arial" w:cs="Times New Roman"/>
                <w:sz w:val="20"/>
                <w:lang w:val="en-GB"/>
              </w:rPr>
            </w:pPr>
            <w:r w:rsidRPr="001F27FB">
              <w:rPr>
                <w:rFonts w:ascii="Arial" w:eastAsia="Calibri" w:hAnsi="Arial" w:cs="Times New Roman"/>
                <w:sz w:val="20"/>
                <w:lang w:val="en-GB"/>
              </w:rPr>
              <w:t xml:space="preserve">Update from APT </w:t>
            </w:r>
            <w:r w:rsidR="00D2735D">
              <w:rPr>
                <w:rFonts w:ascii="Arial" w:eastAsia="Calibri" w:hAnsi="Arial" w:cs="Times New Roman"/>
                <w:sz w:val="20"/>
                <w:lang w:val="en-GB"/>
              </w:rPr>
              <w:t xml:space="preserve">AWG </w:t>
            </w:r>
            <w:r w:rsidRPr="001F27FB">
              <w:rPr>
                <w:rFonts w:ascii="Arial" w:eastAsia="Calibri" w:hAnsi="Arial" w:cs="Times New Roman"/>
                <w:sz w:val="20"/>
                <w:lang w:val="en-GB"/>
              </w:rPr>
              <w:t>(new and revised APT Reports, questionnaire</w:t>
            </w:r>
            <w:r w:rsidR="00367E17">
              <w:rPr>
                <w:rFonts w:ascii="Arial" w:eastAsia="Calibri" w:hAnsi="Arial" w:cs="Times New Roman"/>
                <w:sz w:val="20"/>
                <w:lang w:val="en-GB"/>
              </w:rPr>
              <w:t xml:space="preserve"> on ITS via satellite </w:t>
            </w:r>
            <w:r w:rsidRPr="001F27FB">
              <w:rPr>
                <w:rFonts w:ascii="Arial" w:eastAsia="Calibri" w:hAnsi="Arial" w:cs="Times New Roman"/>
                <w:sz w:val="20"/>
                <w:lang w:val="en-GB"/>
              </w:rPr>
              <w:t xml:space="preserve">and further on-going work, work on strategic plan); </w:t>
            </w:r>
          </w:p>
          <w:p w:rsidR="00DB0D95" w:rsidRPr="00DB0D95" w:rsidRDefault="00367E17" w:rsidP="00481D8C">
            <w:pPr>
              <w:pStyle w:val="ListParagraph"/>
              <w:numPr>
                <w:ilvl w:val="0"/>
                <w:numId w:val="1"/>
              </w:numPr>
              <w:spacing w:after="120" w:line="240" w:lineRule="auto"/>
              <w:jc w:val="both"/>
              <w:rPr>
                <w:rFonts w:ascii="Arial" w:eastAsia="Calibri" w:hAnsi="Arial" w:cs="Times New Roman"/>
                <w:sz w:val="20"/>
                <w:lang w:val="en-GB"/>
              </w:rPr>
            </w:pPr>
            <w:r>
              <w:rPr>
                <w:rFonts w:ascii="Arial" w:eastAsia="Calibri" w:hAnsi="Arial" w:cs="Times New Roman"/>
                <w:sz w:val="20"/>
                <w:lang w:val="en-GB"/>
              </w:rPr>
              <w:t xml:space="preserve">USA: DoT and </w:t>
            </w:r>
            <w:r w:rsidRPr="00367E17">
              <w:rPr>
                <w:rFonts w:ascii="Arial" w:eastAsia="Calibri" w:hAnsi="Arial" w:cs="Times New Roman"/>
                <w:sz w:val="20"/>
                <w:lang w:val="en-GB"/>
              </w:rPr>
              <w:t>NHTSA (National Highway Traffic Safety Administration)</w:t>
            </w:r>
            <w:r>
              <w:rPr>
                <w:rFonts w:ascii="Arial" w:eastAsia="Calibri" w:hAnsi="Arial" w:cs="Times New Roman"/>
                <w:sz w:val="20"/>
                <w:lang w:val="en-GB"/>
              </w:rPr>
              <w:t xml:space="preserve"> apply technology-neutral policy on Road ITS technologies and in favour of designating additional spectrum;</w:t>
            </w:r>
          </w:p>
          <w:p w:rsidR="00EC690B" w:rsidRDefault="00367E17" w:rsidP="00481D8C">
            <w:pPr>
              <w:numPr>
                <w:ilvl w:val="0"/>
                <w:numId w:val="1"/>
              </w:numPr>
              <w:spacing w:after="60" w:line="240" w:lineRule="auto"/>
              <w:contextualSpacing/>
              <w:jc w:val="both"/>
              <w:rPr>
                <w:rFonts w:ascii="Arial" w:eastAsia="Calibri" w:hAnsi="Arial" w:cs="Times New Roman"/>
                <w:sz w:val="20"/>
                <w:lang w:val="en-GB"/>
              </w:rPr>
            </w:pPr>
            <w:r>
              <w:rPr>
                <w:rFonts w:ascii="Arial" w:eastAsia="Calibri" w:hAnsi="Arial" w:cs="Times New Roman"/>
                <w:sz w:val="20"/>
                <w:lang w:val="en-GB"/>
              </w:rPr>
              <w:t>USA: FCC’s 5G FAST Plan – overview and reactions</w:t>
            </w:r>
            <w:r w:rsidR="00EC690B" w:rsidRPr="00EC690B">
              <w:rPr>
                <w:rFonts w:ascii="Arial" w:eastAsia="Calibri" w:hAnsi="Arial" w:cs="Times New Roman"/>
                <w:sz w:val="20"/>
                <w:lang w:val="en-GB"/>
              </w:rPr>
              <w:t>;</w:t>
            </w:r>
          </w:p>
          <w:p w:rsidR="00367E17" w:rsidRDefault="00367E17" w:rsidP="00481D8C">
            <w:pPr>
              <w:numPr>
                <w:ilvl w:val="0"/>
                <w:numId w:val="1"/>
              </w:numPr>
              <w:spacing w:after="60" w:line="240" w:lineRule="auto"/>
              <w:contextualSpacing/>
              <w:jc w:val="both"/>
              <w:rPr>
                <w:rFonts w:ascii="Arial" w:eastAsia="Calibri" w:hAnsi="Arial" w:cs="Times New Roman"/>
                <w:sz w:val="20"/>
                <w:lang w:val="en-GB"/>
              </w:rPr>
            </w:pPr>
            <w:r>
              <w:rPr>
                <w:rFonts w:ascii="Arial" w:eastAsia="Calibri" w:hAnsi="Arial" w:cs="Times New Roman"/>
                <w:sz w:val="20"/>
                <w:lang w:val="en-GB"/>
              </w:rPr>
              <w:t>USA: FCC’s tentative new proposed rulemaking consultation on 6 GHz WAS/RLAN;</w:t>
            </w:r>
          </w:p>
          <w:p w:rsidR="00367E17" w:rsidRPr="0034479C" w:rsidRDefault="0034479C" w:rsidP="00481D8C">
            <w:pPr>
              <w:pStyle w:val="ListParagraph"/>
              <w:numPr>
                <w:ilvl w:val="0"/>
                <w:numId w:val="1"/>
              </w:numPr>
              <w:spacing w:after="60" w:line="240" w:lineRule="auto"/>
              <w:jc w:val="both"/>
              <w:rPr>
                <w:rFonts w:ascii="Arial" w:eastAsia="Calibri" w:hAnsi="Arial" w:cs="Times New Roman"/>
                <w:sz w:val="20"/>
                <w:lang w:val="en-GB"/>
              </w:rPr>
            </w:pPr>
            <w:r w:rsidRPr="0034479C">
              <w:rPr>
                <w:rFonts w:ascii="Arial" w:eastAsia="Calibri" w:hAnsi="Arial" w:cs="Times New Roman"/>
                <w:sz w:val="20"/>
                <w:lang w:val="en-GB"/>
              </w:rPr>
              <w:t>USA: FCC new report and order on earth stations in-motion (ESIM);</w:t>
            </w:r>
          </w:p>
          <w:p w:rsidR="005C2BAB" w:rsidRDefault="005C2BAB" w:rsidP="00481D8C">
            <w:pPr>
              <w:numPr>
                <w:ilvl w:val="0"/>
                <w:numId w:val="1"/>
              </w:numPr>
              <w:spacing w:after="60" w:line="240" w:lineRule="auto"/>
              <w:contextualSpacing/>
              <w:jc w:val="both"/>
              <w:rPr>
                <w:rFonts w:ascii="Arial" w:eastAsia="Calibri" w:hAnsi="Arial" w:cs="Times New Roman"/>
                <w:sz w:val="20"/>
                <w:lang w:val="en-GB"/>
              </w:rPr>
            </w:pPr>
            <w:r>
              <w:rPr>
                <w:rFonts w:ascii="Arial" w:eastAsia="Calibri" w:hAnsi="Arial" w:cs="Times New Roman"/>
                <w:sz w:val="20"/>
                <w:lang w:val="en-GB"/>
              </w:rPr>
              <w:t xml:space="preserve">USA: C Band </w:t>
            </w:r>
            <w:r w:rsidR="00EF09FF">
              <w:rPr>
                <w:rFonts w:ascii="Arial" w:eastAsia="Calibri" w:hAnsi="Arial" w:cs="Times New Roman"/>
                <w:sz w:val="20"/>
                <w:lang w:val="en-GB"/>
              </w:rPr>
              <w:t>developments - CBRS (3550-3700 MHz)</w:t>
            </w:r>
            <w:r w:rsidR="001E56D9">
              <w:rPr>
                <w:rFonts w:ascii="Arial" w:eastAsia="Calibri" w:hAnsi="Arial" w:cs="Times New Roman"/>
                <w:sz w:val="20"/>
                <w:lang w:val="en-GB"/>
              </w:rPr>
              <w:t>;</w:t>
            </w:r>
          </w:p>
          <w:p w:rsidR="00EF09FF" w:rsidRDefault="00EF09FF" w:rsidP="00481D8C">
            <w:pPr>
              <w:numPr>
                <w:ilvl w:val="0"/>
                <w:numId w:val="1"/>
              </w:numPr>
              <w:spacing w:after="60" w:line="240" w:lineRule="auto"/>
              <w:contextualSpacing/>
              <w:jc w:val="both"/>
              <w:rPr>
                <w:rFonts w:ascii="Arial" w:eastAsia="Calibri" w:hAnsi="Arial" w:cs="Times New Roman"/>
                <w:sz w:val="20"/>
                <w:lang w:val="en-GB"/>
              </w:rPr>
            </w:pPr>
            <w:r>
              <w:rPr>
                <w:rFonts w:ascii="Arial" w:eastAsia="Calibri" w:hAnsi="Arial" w:cs="Times New Roman"/>
                <w:sz w:val="20"/>
                <w:lang w:val="en-GB"/>
              </w:rPr>
              <w:t>USA: C Band developments – 3700-4200 MHz</w:t>
            </w:r>
            <w:r w:rsidR="001E56D9">
              <w:rPr>
                <w:rFonts w:ascii="Arial" w:eastAsia="Calibri" w:hAnsi="Arial" w:cs="Times New Roman"/>
                <w:sz w:val="20"/>
                <w:lang w:val="en-GB"/>
              </w:rPr>
              <w:t xml:space="preserve"> – satellite operators’ alliance;</w:t>
            </w:r>
          </w:p>
          <w:p w:rsidR="001E56D9" w:rsidRPr="001E56D9" w:rsidRDefault="001E56D9" w:rsidP="00481D8C">
            <w:pPr>
              <w:pStyle w:val="ListParagraph"/>
              <w:numPr>
                <w:ilvl w:val="0"/>
                <w:numId w:val="1"/>
              </w:numPr>
              <w:spacing w:after="60" w:line="240" w:lineRule="auto"/>
              <w:jc w:val="both"/>
              <w:rPr>
                <w:rFonts w:ascii="Arial" w:eastAsia="Calibri" w:hAnsi="Arial" w:cs="Times New Roman"/>
                <w:sz w:val="20"/>
                <w:lang w:val="en-GB"/>
              </w:rPr>
            </w:pPr>
            <w:r w:rsidRPr="001E56D9">
              <w:rPr>
                <w:rFonts w:ascii="Arial" w:eastAsia="Calibri" w:hAnsi="Arial" w:cs="Times New Roman"/>
                <w:sz w:val="20"/>
                <w:lang w:val="en-GB"/>
              </w:rPr>
              <w:t>INMARSAT &amp; DEUTSCHE TELEKOM’</w:t>
            </w:r>
            <w:r w:rsidR="00184608">
              <w:rPr>
                <w:rFonts w:ascii="Arial" w:eastAsia="Calibri" w:hAnsi="Arial" w:cs="Times New Roman"/>
                <w:sz w:val="20"/>
                <w:lang w:val="en-GB"/>
              </w:rPr>
              <w:t>s</w:t>
            </w:r>
            <w:r w:rsidRPr="001E56D9">
              <w:rPr>
                <w:rFonts w:ascii="Arial" w:eastAsia="Calibri" w:hAnsi="Arial" w:cs="Times New Roman"/>
                <w:sz w:val="20"/>
                <w:lang w:val="en-GB"/>
              </w:rPr>
              <w:t xml:space="preserve"> (2 GHz MSS) European Aviation Network (EAN) – PANASONIC joins Inmarsat as a strategic partner</w:t>
            </w:r>
            <w:r>
              <w:rPr>
                <w:rFonts w:ascii="Arial" w:eastAsia="Calibri" w:hAnsi="Arial" w:cs="Times New Roman"/>
                <w:sz w:val="20"/>
                <w:lang w:val="en-GB"/>
              </w:rPr>
              <w:t>;</w:t>
            </w:r>
          </w:p>
          <w:p w:rsidR="005C2BAB" w:rsidRDefault="008F239A" w:rsidP="00481D8C">
            <w:pPr>
              <w:numPr>
                <w:ilvl w:val="0"/>
                <w:numId w:val="1"/>
              </w:numPr>
              <w:spacing w:after="60" w:line="240" w:lineRule="auto"/>
              <w:contextualSpacing/>
              <w:jc w:val="both"/>
              <w:rPr>
                <w:rFonts w:ascii="Arial" w:eastAsia="Calibri" w:hAnsi="Arial" w:cs="Times New Roman"/>
                <w:sz w:val="20"/>
                <w:lang w:val="en-GB"/>
              </w:rPr>
            </w:pPr>
            <w:r>
              <w:rPr>
                <w:rFonts w:ascii="Arial" w:eastAsia="Calibri" w:hAnsi="Arial" w:cs="Times New Roman"/>
                <w:sz w:val="20"/>
                <w:lang w:val="en-GB"/>
              </w:rPr>
              <w:t xml:space="preserve">Australia and </w:t>
            </w:r>
            <w:r w:rsidR="005C2BAB">
              <w:rPr>
                <w:rFonts w:ascii="Arial" w:eastAsia="Calibri" w:hAnsi="Arial" w:cs="Times New Roman"/>
                <w:sz w:val="20"/>
                <w:lang w:val="en-GB"/>
              </w:rPr>
              <w:t xml:space="preserve">Canada: </w:t>
            </w:r>
            <w:r w:rsidR="00EF09FF">
              <w:rPr>
                <w:rFonts w:ascii="Arial" w:eastAsia="Calibri" w:hAnsi="Arial" w:cs="Times New Roman"/>
                <w:sz w:val="20"/>
                <w:lang w:val="en-GB"/>
              </w:rPr>
              <w:t>S</w:t>
            </w:r>
            <w:r w:rsidR="005C2BAB">
              <w:rPr>
                <w:rFonts w:ascii="Arial" w:eastAsia="Calibri" w:hAnsi="Arial" w:cs="Times New Roman"/>
                <w:sz w:val="20"/>
                <w:lang w:val="en-GB"/>
              </w:rPr>
              <w:t xml:space="preserve">pectrum </w:t>
            </w:r>
            <w:r w:rsidR="00EF09FF">
              <w:rPr>
                <w:rFonts w:ascii="Arial" w:eastAsia="Calibri" w:hAnsi="Arial" w:cs="Times New Roman"/>
                <w:sz w:val="20"/>
                <w:lang w:val="en-GB"/>
              </w:rPr>
              <w:t>Outlook 2018-2022</w:t>
            </w:r>
            <w:r w:rsidR="001E56D9">
              <w:rPr>
                <w:rFonts w:ascii="Arial" w:eastAsia="Calibri" w:hAnsi="Arial" w:cs="Times New Roman"/>
                <w:sz w:val="20"/>
                <w:lang w:val="en-GB"/>
              </w:rPr>
              <w:t>;</w:t>
            </w:r>
          </w:p>
          <w:p w:rsidR="00CC4D42" w:rsidRDefault="00CC4D42" w:rsidP="00481D8C">
            <w:pPr>
              <w:pStyle w:val="ListParagraph"/>
              <w:numPr>
                <w:ilvl w:val="0"/>
                <w:numId w:val="1"/>
              </w:numPr>
              <w:rPr>
                <w:rFonts w:ascii="Arial" w:eastAsia="Calibri" w:hAnsi="Arial" w:cs="Times New Roman"/>
                <w:sz w:val="20"/>
                <w:lang w:val="en-GB"/>
              </w:rPr>
            </w:pPr>
            <w:r w:rsidRPr="00CC4D42">
              <w:rPr>
                <w:rFonts w:ascii="Arial" w:eastAsia="Calibri" w:hAnsi="Arial" w:cs="Times New Roman"/>
                <w:sz w:val="20"/>
                <w:lang w:val="en-GB"/>
              </w:rPr>
              <w:t xml:space="preserve">5G showcase events </w:t>
            </w:r>
            <w:r w:rsidR="00012298">
              <w:rPr>
                <w:rFonts w:ascii="Arial" w:eastAsia="Calibri" w:hAnsi="Arial" w:cs="Times New Roman"/>
                <w:sz w:val="20"/>
                <w:lang w:val="en-GB"/>
              </w:rPr>
              <w:t xml:space="preserve">and developments </w:t>
            </w:r>
            <w:r w:rsidRPr="00CC4D42">
              <w:rPr>
                <w:rFonts w:ascii="Arial" w:eastAsia="Calibri" w:hAnsi="Arial" w:cs="Times New Roman"/>
                <w:sz w:val="20"/>
                <w:lang w:val="en-GB"/>
              </w:rPr>
              <w:t xml:space="preserve">at the </w:t>
            </w:r>
            <w:r>
              <w:rPr>
                <w:rFonts w:ascii="Arial" w:eastAsia="Calibri" w:hAnsi="Arial" w:cs="Times New Roman"/>
                <w:sz w:val="20"/>
                <w:lang w:val="en-GB"/>
              </w:rPr>
              <w:t>FIFA World C</w:t>
            </w:r>
            <w:r w:rsidRPr="00CC4D42">
              <w:rPr>
                <w:rFonts w:ascii="Arial" w:eastAsia="Calibri" w:hAnsi="Arial" w:cs="Times New Roman"/>
                <w:sz w:val="20"/>
                <w:lang w:val="en-GB"/>
              </w:rPr>
              <w:t xml:space="preserve">up and the </w:t>
            </w:r>
            <w:r>
              <w:rPr>
                <w:rFonts w:ascii="Arial" w:eastAsia="Calibri" w:hAnsi="Arial" w:cs="Times New Roman"/>
                <w:sz w:val="20"/>
                <w:lang w:val="en-GB"/>
              </w:rPr>
              <w:t>A</w:t>
            </w:r>
            <w:r w:rsidRPr="00CC4D42">
              <w:rPr>
                <w:rFonts w:ascii="Arial" w:eastAsia="Calibri" w:hAnsi="Arial" w:cs="Times New Roman"/>
                <w:sz w:val="20"/>
                <w:lang w:val="en-GB"/>
              </w:rPr>
              <w:t xml:space="preserve">sian </w:t>
            </w:r>
            <w:r>
              <w:rPr>
                <w:rFonts w:ascii="Arial" w:eastAsia="Calibri" w:hAnsi="Arial" w:cs="Times New Roman"/>
                <w:sz w:val="20"/>
                <w:lang w:val="en-GB"/>
              </w:rPr>
              <w:t>G</w:t>
            </w:r>
            <w:r w:rsidRPr="00CC4D42">
              <w:rPr>
                <w:rFonts w:ascii="Arial" w:eastAsia="Calibri" w:hAnsi="Arial" w:cs="Times New Roman"/>
                <w:sz w:val="20"/>
                <w:lang w:val="en-GB"/>
              </w:rPr>
              <w:t>ames</w:t>
            </w:r>
            <w:r w:rsidR="00012298">
              <w:rPr>
                <w:rFonts w:ascii="Arial" w:eastAsia="Calibri" w:hAnsi="Arial" w:cs="Times New Roman"/>
                <w:sz w:val="20"/>
                <w:lang w:val="en-GB"/>
              </w:rPr>
              <w:t xml:space="preserve">, </w:t>
            </w:r>
            <w:r w:rsidR="008F239A">
              <w:rPr>
                <w:rFonts w:ascii="Arial" w:eastAsia="Calibri" w:hAnsi="Arial" w:cs="Times New Roman"/>
                <w:sz w:val="20"/>
                <w:lang w:val="en-GB"/>
              </w:rPr>
              <w:t>Qatar</w:t>
            </w:r>
            <w:r w:rsidR="00012298">
              <w:rPr>
                <w:rFonts w:ascii="Arial" w:eastAsia="Calibri" w:hAnsi="Arial" w:cs="Times New Roman"/>
                <w:sz w:val="20"/>
                <w:lang w:val="en-GB"/>
              </w:rPr>
              <w:t>, USA, Japan, South Korea, and China</w:t>
            </w:r>
            <w:r w:rsidR="001E56D9">
              <w:rPr>
                <w:rFonts w:ascii="Arial" w:eastAsia="Calibri" w:hAnsi="Arial" w:cs="Times New Roman"/>
                <w:sz w:val="20"/>
                <w:lang w:val="en-GB"/>
              </w:rPr>
              <w:t>;</w:t>
            </w:r>
          </w:p>
          <w:p w:rsidR="00CC4D42" w:rsidRDefault="005C2BAB" w:rsidP="00481D8C">
            <w:pPr>
              <w:pStyle w:val="ListParagraph"/>
              <w:numPr>
                <w:ilvl w:val="0"/>
                <w:numId w:val="1"/>
              </w:numPr>
              <w:rPr>
                <w:rFonts w:ascii="Arial" w:eastAsia="Calibri" w:hAnsi="Arial" w:cs="Times New Roman"/>
                <w:sz w:val="20"/>
                <w:lang w:val="en-GB"/>
              </w:rPr>
            </w:pPr>
            <w:r w:rsidRPr="009443AD">
              <w:rPr>
                <w:rFonts w:ascii="Arial" w:eastAsia="Calibri" w:hAnsi="Arial" w:cs="Times New Roman"/>
                <w:sz w:val="20"/>
                <w:lang w:val="en-GB"/>
              </w:rPr>
              <w:t xml:space="preserve">5G </w:t>
            </w:r>
            <w:r w:rsidR="00012298">
              <w:rPr>
                <w:rFonts w:ascii="Arial" w:eastAsia="Calibri" w:hAnsi="Arial" w:cs="Times New Roman"/>
                <w:sz w:val="20"/>
                <w:lang w:val="en-GB"/>
              </w:rPr>
              <w:t xml:space="preserve">UE </w:t>
            </w:r>
            <w:r w:rsidRPr="009443AD">
              <w:rPr>
                <w:rFonts w:ascii="Arial" w:eastAsia="Calibri" w:hAnsi="Arial" w:cs="Times New Roman"/>
                <w:sz w:val="20"/>
                <w:lang w:val="en-GB"/>
              </w:rPr>
              <w:t>device announcements</w:t>
            </w:r>
            <w:r w:rsidR="001E56D9">
              <w:rPr>
                <w:rFonts w:ascii="Arial" w:eastAsia="Calibri" w:hAnsi="Arial" w:cs="Times New Roman"/>
                <w:sz w:val="20"/>
                <w:lang w:val="en-GB"/>
              </w:rPr>
              <w:t>;</w:t>
            </w:r>
          </w:p>
          <w:p w:rsidR="005C2BAB" w:rsidRDefault="005C2BAB" w:rsidP="00481D8C">
            <w:pPr>
              <w:pStyle w:val="ListParagraph"/>
              <w:numPr>
                <w:ilvl w:val="0"/>
                <w:numId w:val="1"/>
              </w:numPr>
              <w:rPr>
                <w:rFonts w:ascii="Arial" w:eastAsia="Calibri" w:hAnsi="Arial" w:cs="Times New Roman"/>
                <w:sz w:val="20"/>
                <w:lang w:val="en-GB"/>
              </w:rPr>
            </w:pPr>
            <w:r w:rsidRPr="009443AD">
              <w:rPr>
                <w:rFonts w:ascii="Arial" w:eastAsia="Calibri" w:hAnsi="Arial" w:cs="Times New Roman"/>
                <w:sz w:val="20"/>
                <w:lang w:val="en-GB"/>
              </w:rPr>
              <w:t>USA</w:t>
            </w:r>
            <w:r w:rsidR="009443AD">
              <w:rPr>
                <w:rFonts w:ascii="Arial" w:eastAsia="Calibri" w:hAnsi="Arial" w:cs="Times New Roman"/>
                <w:sz w:val="20"/>
                <w:lang w:val="en-GB"/>
              </w:rPr>
              <w:t>, Puerto Rico, New Zealand</w:t>
            </w:r>
            <w:r w:rsidRPr="009443AD">
              <w:rPr>
                <w:rFonts w:ascii="Arial" w:eastAsia="Calibri" w:hAnsi="Arial" w:cs="Times New Roman"/>
                <w:sz w:val="20"/>
                <w:lang w:val="en-GB"/>
              </w:rPr>
              <w:t xml:space="preserve">: Google Project Loon balloon proposals </w:t>
            </w:r>
            <w:r w:rsidR="009443AD">
              <w:rPr>
                <w:rFonts w:ascii="Arial" w:eastAsia="Calibri" w:hAnsi="Arial" w:cs="Times New Roman"/>
                <w:sz w:val="20"/>
                <w:lang w:val="en-GB"/>
              </w:rPr>
              <w:t xml:space="preserve">and trials </w:t>
            </w:r>
            <w:r w:rsidRPr="009443AD">
              <w:rPr>
                <w:rFonts w:ascii="Arial" w:eastAsia="Calibri" w:hAnsi="Arial" w:cs="Times New Roman"/>
                <w:sz w:val="20"/>
                <w:lang w:val="en-GB"/>
              </w:rPr>
              <w:t>in 700 MHz and 800 MHz</w:t>
            </w:r>
            <w:r w:rsidR="001E56D9">
              <w:rPr>
                <w:rFonts w:ascii="Arial" w:eastAsia="Calibri" w:hAnsi="Arial" w:cs="Times New Roman"/>
                <w:sz w:val="20"/>
                <w:lang w:val="en-GB"/>
              </w:rPr>
              <w:t>;</w:t>
            </w:r>
          </w:p>
          <w:p w:rsidR="001E56D9" w:rsidRDefault="001E56D9" w:rsidP="00481D8C">
            <w:pPr>
              <w:pStyle w:val="ListParagraph"/>
              <w:numPr>
                <w:ilvl w:val="0"/>
                <w:numId w:val="1"/>
              </w:numPr>
              <w:rPr>
                <w:rFonts w:ascii="Arial" w:eastAsia="Calibri" w:hAnsi="Arial" w:cs="Times New Roman"/>
                <w:sz w:val="20"/>
                <w:lang w:val="en-GB"/>
              </w:rPr>
            </w:pPr>
            <w:r w:rsidRPr="00110835">
              <w:rPr>
                <w:rFonts w:ascii="Arial" w:eastAsia="Calibri" w:hAnsi="Arial" w:cs="Times New Roman"/>
                <w:sz w:val="20"/>
                <w:lang w:val="en-GB"/>
              </w:rPr>
              <w:t>M2M over satellite</w:t>
            </w:r>
            <w:r w:rsidR="00110835" w:rsidRPr="00110835">
              <w:rPr>
                <w:rFonts w:ascii="Arial" w:eastAsia="Calibri" w:hAnsi="Arial" w:cs="Times New Roman"/>
                <w:sz w:val="20"/>
                <w:lang w:val="en-GB"/>
              </w:rPr>
              <w:t>: ORBCOMM launches satellite services in China</w:t>
            </w:r>
            <w:r w:rsidR="007449E4">
              <w:rPr>
                <w:rFonts w:ascii="Arial" w:eastAsia="Calibri" w:hAnsi="Arial" w:cs="Times New Roman"/>
                <w:sz w:val="20"/>
                <w:lang w:val="en-GB"/>
              </w:rPr>
              <w:t xml:space="preserve"> (relates to S-PCS below 1 GHz);</w:t>
            </w:r>
          </w:p>
          <w:p w:rsidR="00110835" w:rsidRDefault="00BA0702" w:rsidP="00481D8C">
            <w:pPr>
              <w:pStyle w:val="ListParagraph"/>
              <w:numPr>
                <w:ilvl w:val="0"/>
                <w:numId w:val="1"/>
              </w:numPr>
              <w:rPr>
                <w:rFonts w:ascii="Arial" w:eastAsia="Calibri" w:hAnsi="Arial" w:cs="Times New Roman"/>
                <w:sz w:val="20"/>
                <w:lang w:val="en-GB"/>
              </w:rPr>
            </w:pPr>
            <w:proofErr w:type="spellStart"/>
            <w:r w:rsidRPr="00BA0702">
              <w:rPr>
                <w:rFonts w:ascii="Arial" w:eastAsia="Calibri" w:hAnsi="Arial" w:cs="Times New Roman"/>
                <w:sz w:val="20"/>
                <w:lang w:val="en-GB"/>
              </w:rPr>
              <w:t>Globalstar</w:t>
            </w:r>
            <w:proofErr w:type="spellEnd"/>
            <w:r w:rsidRPr="00BA0702">
              <w:rPr>
                <w:rFonts w:ascii="Arial" w:eastAsia="Calibri" w:hAnsi="Arial" w:cs="Times New Roman"/>
                <w:sz w:val="20"/>
                <w:lang w:val="en-GB"/>
              </w:rPr>
              <w:t xml:space="preserve"> provides evidence about noise rise in 5150-5250 MHz and requests FCC investigations</w:t>
            </w:r>
            <w:r w:rsidR="008D69C0">
              <w:rPr>
                <w:rFonts w:ascii="Arial" w:eastAsia="Calibri" w:hAnsi="Arial" w:cs="Times New Roman"/>
                <w:sz w:val="20"/>
                <w:lang w:val="en-GB"/>
              </w:rPr>
              <w:t xml:space="preserve"> (and Chile changing regulations for 5 </w:t>
            </w:r>
            <w:r w:rsidR="00184608">
              <w:rPr>
                <w:rFonts w:ascii="Arial" w:eastAsia="Calibri" w:hAnsi="Arial" w:cs="Times New Roman"/>
                <w:sz w:val="20"/>
                <w:lang w:val="en-GB"/>
              </w:rPr>
              <w:t>GHz</w:t>
            </w:r>
            <w:r w:rsidR="008D69C0">
              <w:rPr>
                <w:rFonts w:ascii="Arial" w:eastAsia="Calibri" w:hAnsi="Arial" w:cs="Times New Roman"/>
                <w:sz w:val="20"/>
                <w:lang w:val="en-GB"/>
              </w:rPr>
              <w:t xml:space="preserve"> WAS/RLAN)</w:t>
            </w:r>
          </w:p>
          <w:p w:rsidR="00E472B7" w:rsidRDefault="00184608" w:rsidP="00481D8C">
            <w:pPr>
              <w:pStyle w:val="ListParagraph"/>
              <w:numPr>
                <w:ilvl w:val="0"/>
                <w:numId w:val="1"/>
              </w:numPr>
              <w:rPr>
                <w:rFonts w:ascii="Arial" w:eastAsia="Calibri" w:hAnsi="Arial" w:cs="Times New Roman"/>
                <w:sz w:val="20"/>
                <w:lang w:val="en-GB"/>
              </w:rPr>
            </w:pPr>
            <w:r w:rsidRPr="00C37928">
              <w:rPr>
                <w:rFonts w:ascii="Arial" w:eastAsia="Calibri" w:hAnsi="Arial" w:cs="Times New Roman"/>
                <w:sz w:val="20"/>
                <w:lang w:val="en-GB"/>
              </w:rPr>
              <w:t>77-81 GHZ SRR (Short Range Radar) – worldwide overview (USA, Canada, Japan, China)</w:t>
            </w:r>
          </w:p>
          <w:p w:rsidR="001A75CF" w:rsidRDefault="001A75CF" w:rsidP="001A75CF">
            <w:pPr>
              <w:rPr>
                <w:rFonts w:ascii="Arial" w:eastAsia="Calibri" w:hAnsi="Arial" w:cs="Times New Roman"/>
                <w:sz w:val="20"/>
                <w:lang w:val="en-GB"/>
              </w:rPr>
            </w:pPr>
          </w:p>
          <w:p w:rsidR="001A75CF" w:rsidRDefault="001A75CF" w:rsidP="001A75CF">
            <w:pPr>
              <w:rPr>
                <w:rFonts w:ascii="Arial" w:eastAsia="Calibri" w:hAnsi="Arial" w:cs="Times New Roman"/>
                <w:sz w:val="20"/>
                <w:lang w:val="en-GB"/>
              </w:rPr>
            </w:pPr>
          </w:p>
          <w:p w:rsidR="001A75CF" w:rsidRPr="001A75CF" w:rsidRDefault="001A75CF" w:rsidP="001A75CF">
            <w:pPr>
              <w:rPr>
                <w:rFonts w:ascii="Arial" w:eastAsia="Calibri" w:hAnsi="Arial" w:cs="Times New Roman"/>
                <w:sz w:val="20"/>
                <w:lang w:val="en-GB"/>
              </w:rPr>
            </w:pP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lastRenderedPageBreak/>
              <w:t>Proposal:</w:t>
            </w:r>
          </w:p>
        </w:tc>
      </w:tr>
      <w:tr w:rsidR="004F3D96" w:rsidRPr="009A3A38"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 xml:space="preserve">ECC is invited to note this </w:t>
            </w:r>
            <w:r w:rsidR="00367E17">
              <w:rPr>
                <w:rFonts w:ascii="Arial" w:eastAsia="Calibri" w:hAnsi="Arial" w:cs="Times New Roman"/>
                <w:sz w:val="20"/>
                <w:lang w:val="en-GB"/>
              </w:rPr>
              <w:t>B</w:t>
            </w:r>
            <w:r w:rsidRPr="004F3D96">
              <w:rPr>
                <w:rFonts w:ascii="Arial" w:eastAsia="Calibri" w:hAnsi="Arial" w:cs="Times New Roman"/>
                <w:sz w:val="20"/>
                <w:lang w:val="en-GB"/>
              </w:rPr>
              <w:t>ulletin. More detailed input on some of the subjects covered is being input to the groups dealing with the respective subjects.</w:t>
            </w:r>
          </w:p>
          <w:p w:rsidR="00507ECE" w:rsidRPr="004F3D96" w:rsidRDefault="004F3D96" w:rsidP="009A3A38">
            <w:pPr>
              <w:spacing w:before="6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 xml:space="preserve">This includes information related to satellite issues </w:t>
            </w:r>
            <w:r w:rsidR="006A2DF7">
              <w:rPr>
                <w:rFonts w:ascii="Arial" w:eastAsia="Calibri" w:hAnsi="Arial" w:cs="Times New Roman"/>
                <w:sz w:val="20"/>
                <w:lang w:val="en-GB"/>
              </w:rPr>
              <w:t>for FM44</w:t>
            </w:r>
            <w:r w:rsidR="00184608">
              <w:rPr>
                <w:rFonts w:ascii="Arial" w:eastAsia="Calibri" w:hAnsi="Arial" w:cs="Times New Roman"/>
                <w:sz w:val="20"/>
                <w:lang w:val="en-GB"/>
              </w:rPr>
              <w:t xml:space="preserve"> and SE40</w:t>
            </w:r>
            <w:r w:rsidR="006A2DF7">
              <w:rPr>
                <w:rFonts w:ascii="Arial" w:eastAsia="Calibri" w:hAnsi="Arial" w:cs="Times New Roman"/>
                <w:sz w:val="20"/>
                <w:lang w:val="en-GB"/>
              </w:rPr>
              <w:t xml:space="preserve"> </w:t>
            </w:r>
            <w:r w:rsidRPr="004F3D96">
              <w:rPr>
                <w:rFonts w:ascii="Arial" w:eastAsia="Calibri" w:hAnsi="Arial" w:cs="Times New Roman"/>
                <w:sz w:val="20"/>
                <w:lang w:val="en-GB"/>
              </w:rPr>
              <w:t>(</w:t>
            </w:r>
            <w:r w:rsidR="00367E17">
              <w:rPr>
                <w:rFonts w:ascii="Arial" w:eastAsia="Calibri" w:hAnsi="Arial" w:cs="Times New Roman"/>
                <w:sz w:val="20"/>
                <w:lang w:val="en-GB"/>
              </w:rPr>
              <w:t>item 1</w:t>
            </w:r>
            <w:r w:rsidR="00EF09FF">
              <w:rPr>
                <w:rFonts w:ascii="Arial" w:eastAsia="Calibri" w:hAnsi="Arial" w:cs="Times New Roman"/>
                <w:sz w:val="20"/>
                <w:lang w:val="en-GB"/>
              </w:rPr>
              <w:t xml:space="preserve">, </w:t>
            </w:r>
            <w:r w:rsidR="001E56D9">
              <w:rPr>
                <w:rFonts w:ascii="Arial" w:eastAsia="Calibri" w:hAnsi="Arial" w:cs="Times New Roman"/>
                <w:sz w:val="20"/>
                <w:lang w:val="en-GB"/>
              </w:rPr>
              <w:t>7, 9</w:t>
            </w:r>
            <w:r w:rsidR="00110835">
              <w:rPr>
                <w:rFonts w:ascii="Arial" w:eastAsia="Calibri" w:hAnsi="Arial" w:cs="Times New Roman"/>
                <w:sz w:val="20"/>
                <w:lang w:val="en-GB"/>
              </w:rPr>
              <w:t>, 13</w:t>
            </w:r>
            <w:r w:rsidR="00BA0702">
              <w:rPr>
                <w:rFonts w:ascii="Arial" w:eastAsia="Calibri" w:hAnsi="Arial" w:cs="Times New Roman"/>
                <w:sz w:val="20"/>
                <w:lang w:val="en-GB"/>
              </w:rPr>
              <w:t>, and 14</w:t>
            </w:r>
            <w:r w:rsidRPr="004F3D96">
              <w:rPr>
                <w:rFonts w:ascii="Arial" w:eastAsia="Calibri" w:hAnsi="Arial" w:cs="Times New Roman"/>
                <w:sz w:val="20"/>
                <w:lang w:val="en-GB"/>
              </w:rPr>
              <w:t xml:space="preserve">), </w:t>
            </w:r>
            <w:r w:rsidR="00110835">
              <w:rPr>
                <w:rFonts w:ascii="Arial" w:eastAsia="Calibri" w:hAnsi="Arial" w:cs="Times New Roman"/>
                <w:sz w:val="20"/>
                <w:lang w:val="en-GB"/>
              </w:rPr>
              <w:t xml:space="preserve">some for </w:t>
            </w:r>
            <w:r w:rsidRPr="004F3D96">
              <w:rPr>
                <w:rFonts w:ascii="Arial" w:eastAsia="Calibri" w:hAnsi="Arial" w:cs="Times New Roman"/>
                <w:sz w:val="20"/>
                <w:lang w:val="en-GB"/>
              </w:rPr>
              <w:t>CPG, for items in relation to SRD (items 1</w:t>
            </w:r>
            <w:r w:rsidR="00184608">
              <w:rPr>
                <w:rFonts w:ascii="Arial" w:eastAsia="Calibri" w:hAnsi="Arial" w:cs="Times New Roman"/>
                <w:sz w:val="20"/>
                <w:lang w:val="en-GB"/>
              </w:rPr>
              <w:t>, 2, and 15</w:t>
            </w:r>
            <w:r w:rsidR="006A2DF7">
              <w:rPr>
                <w:rFonts w:ascii="Arial" w:eastAsia="Calibri" w:hAnsi="Arial" w:cs="Times New Roman"/>
                <w:sz w:val="20"/>
                <w:lang w:val="en-GB"/>
              </w:rPr>
              <w:t xml:space="preserve">), </w:t>
            </w:r>
            <w:r w:rsidRPr="004F3D96">
              <w:rPr>
                <w:rFonts w:ascii="Arial" w:eastAsia="Calibri" w:hAnsi="Arial" w:cs="Times New Roman"/>
                <w:sz w:val="20"/>
                <w:lang w:val="en-GB"/>
              </w:rPr>
              <w:t xml:space="preserve">for </w:t>
            </w:r>
            <w:r w:rsidR="00507ECE">
              <w:rPr>
                <w:rFonts w:ascii="Arial" w:eastAsia="Calibri" w:hAnsi="Arial" w:cs="Times New Roman"/>
                <w:sz w:val="20"/>
                <w:lang w:val="en-GB"/>
              </w:rPr>
              <w:t xml:space="preserve">ECC </w:t>
            </w:r>
            <w:r w:rsidRPr="004F3D96">
              <w:rPr>
                <w:rFonts w:ascii="Arial" w:eastAsia="Calibri" w:hAnsi="Arial" w:cs="Times New Roman"/>
                <w:sz w:val="20"/>
                <w:lang w:val="en-GB"/>
              </w:rPr>
              <w:t xml:space="preserve">PT1 (items </w:t>
            </w:r>
            <w:r w:rsidR="00507ECE">
              <w:rPr>
                <w:rFonts w:ascii="Arial" w:eastAsia="Calibri" w:hAnsi="Arial" w:cs="Times New Roman"/>
                <w:sz w:val="20"/>
                <w:lang w:val="en-GB"/>
              </w:rPr>
              <w:t>1</w:t>
            </w:r>
            <w:r w:rsidR="00EF09FF">
              <w:rPr>
                <w:rFonts w:ascii="Arial" w:eastAsia="Calibri" w:hAnsi="Arial" w:cs="Times New Roman"/>
                <w:sz w:val="20"/>
                <w:lang w:val="en-GB"/>
              </w:rPr>
              <w:t xml:space="preserve">, </w:t>
            </w:r>
            <w:r w:rsidR="00367E17">
              <w:rPr>
                <w:rFonts w:ascii="Arial" w:eastAsia="Calibri" w:hAnsi="Arial" w:cs="Times New Roman"/>
                <w:sz w:val="20"/>
                <w:lang w:val="en-GB"/>
              </w:rPr>
              <w:t>3</w:t>
            </w:r>
            <w:r w:rsidR="00EF09FF">
              <w:rPr>
                <w:rFonts w:ascii="Arial" w:eastAsia="Calibri" w:hAnsi="Arial" w:cs="Times New Roman"/>
                <w:sz w:val="20"/>
                <w:lang w:val="en-GB"/>
              </w:rPr>
              <w:t xml:space="preserve">, 6, 7, </w:t>
            </w:r>
            <w:r w:rsidR="001E56D9">
              <w:rPr>
                <w:rFonts w:ascii="Arial" w:eastAsia="Calibri" w:hAnsi="Arial" w:cs="Times New Roman"/>
                <w:sz w:val="20"/>
                <w:lang w:val="en-GB"/>
              </w:rPr>
              <w:t>9, and 10</w:t>
            </w:r>
            <w:r w:rsidRPr="004F3D96">
              <w:rPr>
                <w:rFonts w:ascii="Arial" w:eastAsia="Calibri" w:hAnsi="Arial" w:cs="Times New Roman"/>
                <w:sz w:val="20"/>
                <w:lang w:val="en-GB"/>
              </w:rPr>
              <w:t xml:space="preserve">). Item </w:t>
            </w:r>
            <w:r w:rsidR="00367E17">
              <w:rPr>
                <w:rFonts w:ascii="Arial" w:eastAsia="Calibri" w:hAnsi="Arial" w:cs="Times New Roman"/>
                <w:sz w:val="20"/>
                <w:lang w:val="en-GB"/>
              </w:rPr>
              <w:t>1</w:t>
            </w:r>
            <w:r w:rsidR="006A2DF7">
              <w:rPr>
                <w:rFonts w:ascii="Arial" w:eastAsia="Calibri" w:hAnsi="Arial" w:cs="Times New Roman"/>
                <w:sz w:val="20"/>
                <w:lang w:val="en-GB"/>
              </w:rPr>
              <w:t xml:space="preserve"> may be for information in FM</w:t>
            </w:r>
            <w:r w:rsidR="00367E17">
              <w:rPr>
                <w:rFonts w:ascii="Arial" w:eastAsia="Calibri" w:hAnsi="Arial" w:cs="Times New Roman"/>
                <w:sz w:val="20"/>
                <w:lang w:val="en-GB"/>
              </w:rPr>
              <w:t>22 and FM</w:t>
            </w:r>
            <w:r w:rsidR="006A2DF7">
              <w:rPr>
                <w:rFonts w:ascii="Arial" w:eastAsia="Calibri" w:hAnsi="Arial" w:cs="Times New Roman"/>
                <w:sz w:val="20"/>
                <w:lang w:val="en-GB"/>
              </w:rPr>
              <w:t>56</w:t>
            </w:r>
            <w:r w:rsidR="00184608">
              <w:rPr>
                <w:rFonts w:ascii="Arial" w:eastAsia="Calibri" w:hAnsi="Arial" w:cs="Times New Roman"/>
                <w:sz w:val="20"/>
                <w:lang w:val="en-GB"/>
              </w:rPr>
              <w:t>, Items 4 and 14 for FM57</w:t>
            </w:r>
            <w:r w:rsidRPr="004F3D96">
              <w:rPr>
                <w:rFonts w:ascii="Arial" w:eastAsia="Calibri" w:hAnsi="Arial" w:cs="Times New Roman"/>
                <w:sz w:val="20"/>
                <w:lang w:val="en-GB"/>
              </w:rPr>
              <w:t xml:space="preserve">. </w:t>
            </w:r>
            <w:r w:rsidR="00507ECE">
              <w:rPr>
                <w:rFonts w:ascii="Arial" w:eastAsia="Calibri" w:hAnsi="Arial" w:cs="Times New Roman"/>
                <w:sz w:val="20"/>
                <w:lang w:val="en-GB"/>
              </w:rPr>
              <w:t>Several items may be of interest in WG FM, s</w:t>
            </w:r>
            <w:r w:rsidRPr="004F3D96">
              <w:rPr>
                <w:rFonts w:ascii="Arial" w:eastAsia="Calibri" w:hAnsi="Arial" w:cs="Times New Roman"/>
                <w:sz w:val="20"/>
                <w:lang w:val="en-GB"/>
              </w:rPr>
              <w:t>ome elements may be of interest for WG SE</w:t>
            </w:r>
            <w:r w:rsidR="006A2DF7">
              <w:rPr>
                <w:rFonts w:ascii="Arial" w:eastAsia="Calibri" w:hAnsi="Arial" w:cs="Times New Roman"/>
                <w:sz w:val="20"/>
                <w:lang w:val="en-GB"/>
              </w:rPr>
              <w:t>.</w:t>
            </w: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Background:</w:t>
            </w:r>
          </w:p>
        </w:tc>
      </w:tr>
      <w:tr w:rsidR="004F3D96" w:rsidRPr="009A3A38"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240" w:after="60" w:line="240" w:lineRule="auto"/>
              <w:jc w:val="both"/>
              <w:rPr>
                <w:rFonts w:ascii="Arial" w:eastAsia="Calibri" w:hAnsi="Arial" w:cs="Times New Roman"/>
                <w:bCs/>
                <w:sz w:val="20"/>
                <w:szCs w:val="24"/>
                <w:lang w:val="en-GB"/>
              </w:rPr>
            </w:pPr>
            <w:r w:rsidRPr="004F3D96">
              <w:rPr>
                <w:rFonts w:ascii="Arial" w:eastAsia="Calibri" w:hAnsi="Arial" w:cs="Times New Roman"/>
                <w:bCs/>
                <w:sz w:val="20"/>
                <w:szCs w:val="24"/>
                <w:lang w:val="en-GB"/>
              </w:rPr>
              <w:t xml:space="preserve">The Office brings to each ECC meeting a bulletin on activities in radio communications in other world regions, where a regulatory dimension is raised (e.g. by innovative services or technology). </w:t>
            </w:r>
          </w:p>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bCs/>
                <w:sz w:val="20"/>
                <w:szCs w:val="24"/>
                <w:lang w:val="en-GB"/>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4F3D96" w:rsidRDefault="004F3D96">
      <w:pPr>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br w:type="page"/>
      </w:r>
    </w:p>
    <w:p w:rsidR="001F27FB" w:rsidRPr="00F370DA" w:rsidRDefault="001F27FB"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F370DA">
        <w:rPr>
          <w:rFonts w:ascii="Arial" w:eastAsia="Times New Roman" w:hAnsi="Arial" w:cs="Arial"/>
          <w:b/>
          <w:bCs/>
          <w:caps/>
          <w:color w:val="D2232A"/>
          <w:kern w:val="32"/>
          <w:sz w:val="20"/>
          <w:szCs w:val="32"/>
          <w:lang w:val="en-US"/>
        </w:rPr>
        <w:lastRenderedPageBreak/>
        <w:t>News from APT</w:t>
      </w:r>
    </w:p>
    <w:p w:rsidR="00375A62" w:rsidRDefault="001F27FB" w:rsidP="001F27FB">
      <w:pPr>
        <w:spacing w:before="240" w:after="60" w:line="240" w:lineRule="auto"/>
        <w:jc w:val="both"/>
        <w:rPr>
          <w:rFonts w:ascii="Arial" w:eastAsia="Times New Roman" w:hAnsi="Arial" w:cs="Times New Roman"/>
          <w:sz w:val="20"/>
          <w:szCs w:val="16"/>
          <w:lang w:val="en-GB"/>
        </w:rPr>
      </w:pPr>
      <w:r w:rsidRPr="001F27FB">
        <w:rPr>
          <w:rFonts w:ascii="Arial" w:eastAsia="Times New Roman" w:hAnsi="Arial" w:cs="Times New Roman"/>
          <w:sz w:val="20"/>
          <w:szCs w:val="16"/>
          <w:lang w:val="en-GB"/>
        </w:rPr>
        <w:t xml:space="preserve">The Asia-Pacific </w:t>
      </w:r>
      <w:proofErr w:type="spellStart"/>
      <w:r w:rsidRPr="001F27FB">
        <w:rPr>
          <w:rFonts w:ascii="Arial" w:eastAsia="Times New Roman" w:hAnsi="Arial" w:cs="Times New Roman"/>
          <w:sz w:val="20"/>
          <w:szCs w:val="16"/>
          <w:lang w:val="en-GB"/>
        </w:rPr>
        <w:t>Telecommunity</w:t>
      </w:r>
      <w:proofErr w:type="spellEnd"/>
      <w:r w:rsidRPr="001F27FB">
        <w:rPr>
          <w:rFonts w:ascii="Arial" w:eastAsia="Times New Roman" w:hAnsi="Arial" w:cs="Times New Roman"/>
          <w:sz w:val="20"/>
          <w:szCs w:val="16"/>
          <w:lang w:val="en-GB"/>
        </w:rPr>
        <w:t xml:space="preserve"> (APT) organi</w:t>
      </w:r>
      <w:r>
        <w:rPr>
          <w:rFonts w:ascii="Arial" w:eastAsia="Times New Roman" w:hAnsi="Arial" w:cs="Times New Roman"/>
          <w:sz w:val="20"/>
          <w:szCs w:val="16"/>
          <w:lang w:val="en-GB"/>
        </w:rPr>
        <w:t>s</w:t>
      </w:r>
      <w:r w:rsidRPr="001F27FB">
        <w:rPr>
          <w:rFonts w:ascii="Arial" w:eastAsia="Times New Roman" w:hAnsi="Arial" w:cs="Times New Roman"/>
          <w:sz w:val="20"/>
          <w:szCs w:val="16"/>
          <w:lang w:val="en-GB"/>
        </w:rPr>
        <w:t>ed the 2</w:t>
      </w:r>
      <w:r w:rsidR="00E27F65">
        <w:rPr>
          <w:rFonts w:ascii="Arial" w:eastAsia="Times New Roman" w:hAnsi="Arial" w:cs="Times New Roman"/>
          <w:sz w:val="20"/>
          <w:szCs w:val="16"/>
          <w:lang w:val="en-GB"/>
        </w:rPr>
        <w:t>4</w:t>
      </w:r>
      <w:r w:rsidR="00E27F65" w:rsidRPr="00E27F65">
        <w:rPr>
          <w:rFonts w:ascii="Arial" w:eastAsia="Times New Roman" w:hAnsi="Arial" w:cs="Times New Roman"/>
          <w:sz w:val="20"/>
          <w:szCs w:val="16"/>
          <w:vertAlign w:val="superscript"/>
          <w:lang w:val="en-GB"/>
        </w:rPr>
        <w:t>th</w:t>
      </w:r>
      <w:r w:rsidR="00E27F65">
        <w:rPr>
          <w:rFonts w:ascii="Arial" w:eastAsia="Times New Roman" w:hAnsi="Arial" w:cs="Times New Roman"/>
          <w:sz w:val="20"/>
          <w:szCs w:val="16"/>
          <w:lang w:val="en-GB"/>
        </w:rPr>
        <w:t xml:space="preserve"> </w:t>
      </w:r>
      <w:r w:rsidRPr="001F27FB">
        <w:rPr>
          <w:rFonts w:ascii="Arial" w:eastAsia="Times New Roman" w:hAnsi="Arial" w:cs="Times New Roman"/>
          <w:sz w:val="20"/>
          <w:szCs w:val="16"/>
          <w:lang w:val="en-GB"/>
        </w:rPr>
        <w:t xml:space="preserve">Meeting of </w:t>
      </w:r>
      <w:r>
        <w:rPr>
          <w:rFonts w:ascii="Arial" w:eastAsia="Times New Roman" w:hAnsi="Arial" w:cs="Times New Roman"/>
          <w:sz w:val="20"/>
          <w:szCs w:val="16"/>
          <w:lang w:val="en-GB"/>
        </w:rPr>
        <w:t xml:space="preserve">the </w:t>
      </w:r>
      <w:r w:rsidRPr="001F27FB">
        <w:rPr>
          <w:rFonts w:ascii="Arial" w:eastAsia="Times New Roman" w:hAnsi="Arial" w:cs="Times New Roman"/>
          <w:sz w:val="20"/>
          <w:szCs w:val="16"/>
          <w:lang w:val="en-GB"/>
        </w:rPr>
        <w:t>APT Wireless Group (AWG-2</w:t>
      </w:r>
      <w:r w:rsidR="000164D8">
        <w:rPr>
          <w:rFonts w:ascii="Arial" w:eastAsia="Times New Roman" w:hAnsi="Arial" w:cs="Times New Roman"/>
          <w:sz w:val="20"/>
          <w:szCs w:val="16"/>
          <w:lang w:val="en-GB"/>
        </w:rPr>
        <w:t>4</w:t>
      </w:r>
      <w:r w:rsidRPr="001F27FB">
        <w:rPr>
          <w:rFonts w:ascii="Arial" w:eastAsia="Times New Roman" w:hAnsi="Arial" w:cs="Times New Roman"/>
          <w:sz w:val="20"/>
          <w:szCs w:val="16"/>
          <w:lang w:val="en-GB"/>
        </w:rPr>
        <w:t xml:space="preserve">) </w:t>
      </w:r>
      <w:r w:rsidR="000164D8" w:rsidRPr="000164D8">
        <w:rPr>
          <w:rFonts w:ascii="Arial" w:eastAsia="Times New Roman" w:hAnsi="Arial" w:cs="Times New Roman"/>
          <w:sz w:val="20"/>
          <w:szCs w:val="16"/>
          <w:lang w:val="en-GB"/>
        </w:rPr>
        <w:t>held from 17 to 21 September 2018 in Bangkok, Thailand</w:t>
      </w:r>
      <w:r w:rsidRPr="001F27FB">
        <w:rPr>
          <w:rFonts w:ascii="Arial" w:eastAsia="Times New Roman" w:hAnsi="Arial" w:cs="Times New Roman"/>
          <w:sz w:val="20"/>
          <w:szCs w:val="16"/>
          <w:lang w:val="en-GB"/>
        </w:rPr>
        <w:t>.</w:t>
      </w:r>
    </w:p>
    <w:p w:rsidR="00E27F65" w:rsidRDefault="00E27F65" w:rsidP="001F27FB">
      <w:pPr>
        <w:spacing w:before="240" w:after="60" w:line="240" w:lineRule="auto"/>
        <w:jc w:val="both"/>
        <w:rPr>
          <w:rFonts w:ascii="Arial" w:eastAsia="Times New Roman" w:hAnsi="Arial" w:cs="Times New Roman"/>
          <w:sz w:val="20"/>
          <w:szCs w:val="16"/>
          <w:lang w:val="en-GB"/>
        </w:rPr>
      </w:pPr>
      <w:r w:rsidRPr="00E27F65">
        <w:rPr>
          <w:rFonts w:ascii="Arial" w:eastAsia="Times New Roman" w:hAnsi="Arial" w:cs="Times New Roman"/>
          <w:sz w:val="20"/>
          <w:szCs w:val="16"/>
          <w:lang w:val="en-GB"/>
        </w:rPr>
        <w:t xml:space="preserve">AWG consists of </w:t>
      </w:r>
      <w:r>
        <w:rPr>
          <w:rFonts w:ascii="Arial" w:eastAsia="Times New Roman" w:hAnsi="Arial" w:cs="Times New Roman"/>
          <w:sz w:val="20"/>
          <w:szCs w:val="16"/>
          <w:lang w:val="en-GB"/>
        </w:rPr>
        <w:t xml:space="preserve">the </w:t>
      </w:r>
      <w:r w:rsidRPr="00E27F65">
        <w:rPr>
          <w:rFonts w:ascii="Arial" w:eastAsia="Times New Roman" w:hAnsi="Arial" w:cs="Times New Roman"/>
          <w:sz w:val="20"/>
          <w:szCs w:val="16"/>
          <w:lang w:val="en-GB"/>
        </w:rPr>
        <w:t>Plenary and three Working Groups (WGs). Sub-Working Groups (Sub-WG) and Task Groups (TGs) are formed under the WGs.</w:t>
      </w:r>
    </w:p>
    <w:tbl>
      <w:tblPr>
        <w:tblStyle w:val="TableGrid1"/>
        <w:tblW w:w="5000" w:type="pct"/>
        <w:tblInd w:w="0" w:type="dxa"/>
        <w:tblLook w:val="04A0" w:firstRow="1" w:lastRow="0" w:firstColumn="1" w:lastColumn="0" w:noHBand="0" w:noVBand="1"/>
      </w:tblPr>
      <w:tblGrid>
        <w:gridCol w:w="3248"/>
        <w:gridCol w:w="3244"/>
        <w:gridCol w:w="3362"/>
      </w:tblGrid>
      <w:tr w:rsidR="00E27F65" w:rsidRPr="00E27F65" w:rsidTr="00192D2C">
        <w:tc>
          <w:tcPr>
            <w:tcW w:w="1648" w:type="pct"/>
            <w:tcBorders>
              <w:top w:val="single" w:sz="4" w:space="0" w:color="auto"/>
              <w:left w:val="single" w:sz="4" w:space="0" w:color="auto"/>
              <w:bottom w:val="single" w:sz="4" w:space="0" w:color="auto"/>
              <w:right w:val="single" w:sz="4" w:space="0" w:color="auto"/>
            </w:tcBorders>
            <w:shd w:val="clear" w:color="auto" w:fill="D2232A"/>
            <w:hideMark/>
          </w:tcPr>
          <w:p w:rsidR="00E27F65" w:rsidRPr="002671B2" w:rsidRDefault="00E27F65"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bCs/>
                <w:caps/>
                <w:color w:val="FFFFFF" w:themeColor="background1"/>
                <w:shd w:val="clear" w:color="auto" w:fill="EEECE1"/>
                <w:lang w:eastAsia="zh-CN"/>
              </w:rPr>
            </w:pPr>
            <w:r w:rsidRPr="00E83977">
              <w:rPr>
                <w:rFonts w:ascii="Arial" w:eastAsia="MS Mincho" w:hAnsi="Arial" w:cs="Arial"/>
                <w:b/>
                <w:color w:val="FFFFFF" w:themeColor="background1"/>
                <w:lang w:eastAsia="zh-CN"/>
              </w:rPr>
              <w:t>Working Group on Spectrum Aspects</w:t>
            </w:r>
            <w:r w:rsidRPr="002671B2">
              <w:rPr>
                <w:rFonts w:ascii="Arial" w:eastAsia="MS Mincho" w:hAnsi="Arial" w:cs="Arial"/>
                <w:b/>
                <w:bCs/>
                <w:caps/>
                <w:color w:val="FFFFFF" w:themeColor="background1"/>
                <w:shd w:val="clear" w:color="auto" w:fill="EEECE1"/>
                <w:lang w:eastAsia="zh-CN"/>
              </w:rPr>
              <w:t xml:space="preserve"> </w:t>
            </w:r>
          </w:p>
          <w:p w:rsidR="00E27F65" w:rsidRPr="002671B2" w:rsidRDefault="00F119BE"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bCs/>
                <w:caps/>
                <w:color w:val="FFFFFF" w:themeColor="background1"/>
                <w:shd w:val="clear" w:color="auto" w:fill="FFFFFF"/>
                <w:lang w:eastAsia="zh-CN"/>
              </w:rPr>
            </w:pPr>
            <w:r w:rsidRPr="00192D2C">
              <w:rPr>
                <w:rFonts w:ascii="Arial" w:eastAsia="MS Mincho" w:hAnsi="Arial" w:cs="Arial"/>
                <w:b/>
                <w:color w:val="FFFFFF" w:themeColor="background1"/>
                <w:lang w:eastAsia="zh-CN"/>
              </w:rPr>
              <w:t>(</w:t>
            </w:r>
            <w:r w:rsidRPr="00192D2C">
              <w:rPr>
                <w:rFonts w:ascii="Arial" w:eastAsia="MS Mincho" w:hAnsi="Arial" w:cs="Arial"/>
                <w:b/>
                <w:bCs/>
                <w:caps/>
                <w:color w:val="FFFFFF" w:themeColor="background1"/>
                <w:lang w:eastAsia="zh-CN"/>
              </w:rPr>
              <w:t>WG S</w:t>
            </w:r>
            <w:r>
              <w:rPr>
                <w:rFonts w:ascii="Arial" w:eastAsia="MS Mincho" w:hAnsi="Arial" w:cs="Arial"/>
                <w:b/>
                <w:bCs/>
                <w:caps/>
                <w:color w:val="FFFFFF" w:themeColor="background1"/>
                <w:lang w:eastAsia="zh-CN"/>
              </w:rPr>
              <w:t>PEC</w:t>
            </w:r>
            <w:r w:rsidRPr="00192D2C">
              <w:rPr>
                <w:rFonts w:ascii="Arial" w:eastAsia="MS Mincho" w:hAnsi="Arial" w:cs="Arial"/>
                <w:b/>
                <w:bCs/>
                <w:caps/>
                <w:color w:val="FFFFFF" w:themeColor="background1"/>
                <w:lang w:eastAsia="zh-CN"/>
              </w:rPr>
              <w:t>)</w:t>
            </w:r>
          </w:p>
        </w:tc>
        <w:tc>
          <w:tcPr>
            <w:tcW w:w="1646" w:type="pct"/>
            <w:tcBorders>
              <w:top w:val="single" w:sz="4" w:space="0" w:color="auto"/>
              <w:left w:val="single" w:sz="4" w:space="0" w:color="auto"/>
              <w:bottom w:val="single" w:sz="4" w:space="0" w:color="auto"/>
              <w:right w:val="single" w:sz="4" w:space="0" w:color="auto"/>
            </w:tcBorders>
            <w:shd w:val="clear" w:color="auto" w:fill="D2232A"/>
            <w:hideMark/>
          </w:tcPr>
          <w:p w:rsidR="00E27F65" w:rsidRPr="005C2773" w:rsidRDefault="00E27F65"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bCs/>
                <w:caps/>
                <w:color w:val="FFFFFF" w:themeColor="background1"/>
                <w:shd w:val="clear" w:color="auto" w:fill="EEECE1"/>
                <w:lang w:eastAsia="zh-CN"/>
              </w:rPr>
            </w:pPr>
            <w:r w:rsidRPr="005C2773">
              <w:rPr>
                <w:rFonts w:ascii="Arial" w:eastAsia="MS Mincho" w:hAnsi="Arial" w:cs="Arial"/>
                <w:b/>
                <w:color w:val="FFFFFF" w:themeColor="background1"/>
                <w:lang w:eastAsia="zh-CN"/>
              </w:rPr>
              <w:t>Working Group on Technology Aspects</w:t>
            </w:r>
            <w:r w:rsidRPr="005C2773">
              <w:rPr>
                <w:rFonts w:ascii="Arial" w:eastAsia="MS Mincho" w:hAnsi="Arial" w:cs="Arial"/>
                <w:b/>
                <w:bCs/>
                <w:caps/>
                <w:color w:val="FFFFFF" w:themeColor="background1"/>
                <w:shd w:val="clear" w:color="auto" w:fill="EEECE1"/>
                <w:lang w:eastAsia="zh-CN"/>
              </w:rPr>
              <w:t xml:space="preserve"> </w:t>
            </w:r>
          </w:p>
          <w:p w:rsidR="00E27F65" w:rsidRPr="00192D2C" w:rsidRDefault="00F119BE"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bCs/>
                <w:caps/>
                <w:color w:val="FFFFFF" w:themeColor="background1"/>
                <w:shd w:val="clear" w:color="auto" w:fill="FFFFFF"/>
                <w:lang w:eastAsia="zh-CN"/>
              </w:rPr>
            </w:pPr>
            <w:r w:rsidRPr="00192D2C">
              <w:rPr>
                <w:rFonts w:ascii="Arial" w:eastAsia="MS Mincho" w:hAnsi="Arial" w:cs="Arial"/>
                <w:b/>
                <w:color w:val="FFFFFF" w:themeColor="background1"/>
                <w:lang w:eastAsia="zh-CN"/>
              </w:rPr>
              <w:t>(</w:t>
            </w:r>
            <w:r w:rsidRPr="00192D2C">
              <w:rPr>
                <w:rFonts w:ascii="Arial" w:eastAsia="MS Mincho" w:hAnsi="Arial" w:cs="Arial"/>
                <w:b/>
                <w:bCs/>
                <w:caps/>
                <w:color w:val="FFFFFF" w:themeColor="background1"/>
                <w:lang w:eastAsia="zh-CN"/>
              </w:rPr>
              <w:t xml:space="preserve">WG </w:t>
            </w:r>
            <w:r>
              <w:rPr>
                <w:rFonts w:ascii="Arial" w:eastAsia="MS Mincho" w:hAnsi="Arial" w:cs="Arial"/>
                <w:b/>
                <w:bCs/>
                <w:caps/>
                <w:color w:val="FFFFFF" w:themeColor="background1"/>
                <w:lang w:eastAsia="zh-CN"/>
              </w:rPr>
              <w:t>TECH)</w:t>
            </w:r>
          </w:p>
        </w:tc>
        <w:tc>
          <w:tcPr>
            <w:tcW w:w="1707" w:type="pct"/>
            <w:tcBorders>
              <w:top w:val="single" w:sz="4" w:space="0" w:color="auto"/>
              <w:left w:val="single" w:sz="4" w:space="0" w:color="auto"/>
              <w:bottom w:val="single" w:sz="4" w:space="0" w:color="auto"/>
              <w:right w:val="single" w:sz="4" w:space="0" w:color="auto"/>
            </w:tcBorders>
            <w:shd w:val="clear" w:color="auto" w:fill="D2232A"/>
            <w:hideMark/>
          </w:tcPr>
          <w:p w:rsidR="00E27F65" w:rsidRPr="00192D2C" w:rsidRDefault="00E27F65"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color w:val="FFFFFF" w:themeColor="background1"/>
                <w:lang w:eastAsia="zh-CN"/>
              </w:rPr>
            </w:pPr>
            <w:r w:rsidRPr="00192D2C">
              <w:rPr>
                <w:rFonts w:ascii="Arial" w:eastAsia="MS Mincho" w:hAnsi="Arial" w:cs="Arial"/>
                <w:b/>
                <w:color w:val="FFFFFF" w:themeColor="background1"/>
                <w:lang w:eastAsia="zh-CN"/>
              </w:rPr>
              <w:t xml:space="preserve">Working Group on Services and Applications </w:t>
            </w:r>
          </w:p>
          <w:p w:rsidR="00E27F65" w:rsidRPr="00192D2C" w:rsidRDefault="00E27F65" w:rsidP="00F119BE">
            <w:pPr>
              <w:tabs>
                <w:tab w:val="left" w:pos="1134"/>
                <w:tab w:val="left" w:pos="1871"/>
                <w:tab w:val="left" w:pos="2268"/>
              </w:tabs>
              <w:overflowPunct w:val="0"/>
              <w:autoSpaceDE w:val="0"/>
              <w:autoSpaceDN w:val="0"/>
              <w:adjustRightInd w:val="0"/>
              <w:spacing w:before="120" w:after="120"/>
              <w:jc w:val="center"/>
              <w:textAlignment w:val="baseline"/>
              <w:rPr>
                <w:rFonts w:ascii="Arial" w:eastAsia="MS Mincho" w:hAnsi="Arial" w:cs="Arial"/>
                <w:b/>
                <w:bCs/>
                <w:caps/>
                <w:color w:val="FFFFFF" w:themeColor="background1"/>
                <w:shd w:val="clear" w:color="auto" w:fill="FFFFFF"/>
                <w:lang w:eastAsia="zh-CN"/>
              </w:rPr>
            </w:pPr>
            <w:r w:rsidRPr="00192D2C">
              <w:rPr>
                <w:rFonts w:ascii="Arial" w:eastAsia="MS Mincho" w:hAnsi="Arial" w:cs="Arial"/>
                <w:b/>
                <w:color w:val="FFFFFF" w:themeColor="background1"/>
                <w:lang w:eastAsia="zh-CN"/>
              </w:rPr>
              <w:t>(</w:t>
            </w:r>
            <w:r w:rsidRPr="00192D2C">
              <w:rPr>
                <w:rFonts w:ascii="Arial" w:eastAsia="MS Mincho" w:hAnsi="Arial" w:cs="Arial"/>
                <w:b/>
                <w:bCs/>
                <w:caps/>
                <w:color w:val="FFFFFF" w:themeColor="background1"/>
                <w:lang w:eastAsia="zh-CN"/>
              </w:rPr>
              <w:t>WG S&amp;A)</w:t>
            </w:r>
          </w:p>
        </w:tc>
      </w:tr>
      <w:tr w:rsidR="00E27F65" w:rsidRPr="00E27F65" w:rsidTr="00F3563D">
        <w:trPr>
          <w:trHeight w:val="620"/>
        </w:trPr>
        <w:tc>
          <w:tcPr>
            <w:tcW w:w="1648" w:type="pct"/>
            <w:vMerge w:val="restar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rPr>
                <w:lang w:eastAsia="zh-CN"/>
              </w:rPr>
              <w:t>Sub Working Group on Spectrum Arrangement and Harmonization</w:t>
            </w:r>
          </w:p>
          <w:p w:rsidR="00E27F65" w:rsidRPr="00E27F65" w:rsidRDefault="00E27F65" w:rsidP="00192D2C">
            <w:pPr>
              <w:pStyle w:val="ECCTabletext"/>
              <w:rPr>
                <w:b/>
                <w:lang w:eastAsia="zh-CN"/>
              </w:rPr>
            </w:pPr>
            <w:r w:rsidRPr="00E27F65">
              <w:rPr>
                <w:lang w:eastAsia="zh-CN"/>
              </w:rPr>
              <w:t>(Sub-WG SA&amp;H</w:t>
            </w:r>
            <w:r w:rsidRPr="00E27F65">
              <w:rPr>
                <w:b/>
                <w:lang w:eastAsia="zh-CN"/>
              </w:rPr>
              <w:t>)</w:t>
            </w:r>
          </w:p>
        </w:tc>
        <w:tc>
          <w:tcPr>
            <w:tcW w:w="1646" w:type="pct"/>
            <w:tcBorders>
              <w:top w:val="single" w:sz="4" w:space="0" w:color="auto"/>
              <w:left w:val="single" w:sz="4" w:space="0" w:color="auto"/>
              <w:bottom w:val="single" w:sz="4" w:space="0" w:color="auto"/>
              <w:right w:val="single" w:sz="4" w:space="0" w:color="auto"/>
            </w:tcBorders>
            <w:vAlign w:val="center"/>
            <w:hideMark/>
          </w:tcPr>
          <w:p w:rsidR="00E27F65" w:rsidRPr="00E27F65" w:rsidRDefault="00E27F65" w:rsidP="00192D2C">
            <w:pPr>
              <w:pStyle w:val="ECCTabletext"/>
              <w:rPr>
                <w:lang w:eastAsia="zh-CN"/>
              </w:rPr>
            </w:pPr>
            <w:r w:rsidRPr="00E27F65">
              <w:rPr>
                <w:lang w:eastAsia="zh-CN"/>
              </w:rPr>
              <w:t>Sub Working Group on IMT</w:t>
            </w:r>
          </w:p>
          <w:p w:rsidR="00E27F65" w:rsidRPr="00E27F65" w:rsidRDefault="00E27F65" w:rsidP="00192D2C">
            <w:pPr>
              <w:pStyle w:val="ECCTabletext"/>
              <w:rPr>
                <w:bCs/>
                <w:caps/>
                <w:color w:val="000000"/>
                <w:shd w:val="clear" w:color="auto" w:fill="FFFFFF"/>
                <w:lang w:eastAsia="zh-CN"/>
              </w:rPr>
            </w:pPr>
            <w:r w:rsidRPr="00E27F65">
              <w:rPr>
                <w:lang w:eastAsia="zh-CN"/>
              </w:rPr>
              <w:t>(Sub-WG IMT)</w:t>
            </w:r>
          </w:p>
        </w:tc>
        <w:tc>
          <w:tcPr>
            <w:tcW w:w="1707"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t>Task Group on Modern Satellite Applications</w:t>
            </w:r>
            <w:r w:rsidRPr="00E27F65">
              <w:rPr>
                <w:lang w:eastAsia="zh-CN"/>
              </w:rPr>
              <w:t xml:space="preserve"> </w:t>
            </w:r>
          </w:p>
          <w:p w:rsidR="00E27F65" w:rsidRPr="00E27F65" w:rsidRDefault="00E27F65" w:rsidP="00192D2C">
            <w:pPr>
              <w:pStyle w:val="ECCTabletext"/>
              <w:rPr>
                <w:bCs/>
                <w:caps/>
                <w:color w:val="000000"/>
                <w:shd w:val="clear" w:color="auto" w:fill="FFFFFF"/>
                <w:lang w:eastAsia="zh-CN"/>
              </w:rPr>
            </w:pPr>
            <w:r w:rsidRPr="00E27F65">
              <w:rPr>
                <w:lang w:eastAsia="zh-CN"/>
              </w:rPr>
              <w:t>(TG MSA)</w:t>
            </w:r>
          </w:p>
        </w:tc>
      </w:tr>
      <w:tr w:rsidR="00E27F65" w:rsidRPr="009A3A38" w:rsidTr="00F3563D">
        <w:tc>
          <w:tcPr>
            <w:tcW w:w="1648" w:type="pct"/>
            <w:vMerge/>
            <w:tcBorders>
              <w:top w:val="single" w:sz="4" w:space="0" w:color="auto"/>
              <w:left w:val="single" w:sz="4" w:space="0" w:color="auto"/>
              <w:bottom w:val="single" w:sz="4" w:space="0" w:color="auto"/>
              <w:right w:val="single" w:sz="4" w:space="0" w:color="auto"/>
            </w:tcBorders>
            <w:vAlign w:val="center"/>
            <w:hideMark/>
          </w:tcPr>
          <w:p w:rsidR="00E27F65" w:rsidRPr="00E27F65" w:rsidRDefault="00E27F65" w:rsidP="00192D2C">
            <w:pPr>
              <w:pStyle w:val="ECCTabletext"/>
              <w:rPr>
                <w:b/>
                <w:lang w:eastAsia="zh-CN"/>
              </w:rPr>
            </w:pPr>
          </w:p>
        </w:tc>
        <w:tc>
          <w:tcPr>
            <w:tcW w:w="1646" w:type="pct"/>
            <w:tcBorders>
              <w:top w:val="single" w:sz="4" w:space="0" w:color="auto"/>
              <w:left w:val="single" w:sz="4" w:space="0" w:color="auto"/>
              <w:bottom w:val="single" w:sz="4" w:space="0" w:color="auto"/>
              <w:right w:val="single" w:sz="4" w:space="0" w:color="auto"/>
            </w:tcBorders>
          </w:tcPr>
          <w:p w:rsidR="00E27F65" w:rsidRPr="00E27F65" w:rsidRDefault="00E27F65" w:rsidP="00192D2C">
            <w:pPr>
              <w:pStyle w:val="ECCTabletext"/>
              <w:rPr>
                <w:lang w:eastAsia="zh-CN"/>
              </w:rPr>
            </w:pPr>
            <w:r w:rsidRPr="00E27F65">
              <w:rPr>
                <w:lang w:eastAsia="zh-CN"/>
              </w:rPr>
              <w:t>Task Group High Altitude Platform Systems (TG HAPS)</w:t>
            </w:r>
          </w:p>
        </w:tc>
        <w:tc>
          <w:tcPr>
            <w:tcW w:w="1707"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bCs/>
                <w:caps/>
                <w:color w:val="000000"/>
                <w:shd w:val="clear" w:color="auto" w:fill="FFFFFF"/>
                <w:lang w:eastAsia="zh-CN"/>
              </w:rPr>
            </w:pPr>
            <w:r w:rsidRPr="00E27F65">
              <w:t>Task Group on Aeronautical and Maritime</w:t>
            </w:r>
            <w:r w:rsidRPr="00E27F65">
              <w:rPr>
                <w:lang w:eastAsia="zh-CN"/>
              </w:rPr>
              <w:t xml:space="preserve"> (TG A&amp;M)</w:t>
            </w:r>
          </w:p>
        </w:tc>
      </w:tr>
      <w:tr w:rsidR="00E27F65" w:rsidRPr="009A3A38" w:rsidTr="00F3563D">
        <w:tc>
          <w:tcPr>
            <w:tcW w:w="1648" w:type="pct"/>
            <w:vMerge w:val="restar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rPr>
                <w:lang w:eastAsia="zh-CN"/>
              </w:rPr>
              <w:t>Sub Working Group on Sharing Studies</w:t>
            </w:r>
          </w:p>
          <w:p w:rsidR="00E27F65" w:rsidRPr="00E27F65" w:rsidRDefault="00E27F65" w:rsidP="00192D2C">
            <w:pPr>
              <w:pStyle w:val="ECCTabletext"/>
              <w:rPr>
                <w:b/>
                <w:bCs/>
                <w:caps/>
                <w:color w:val="000000"/>
                <w:shd w:val="clear" w:color="auto" w:fill="FFFFFF"/>
                <w:lang w:eastAsia="zh-CN"/>
              </w:rPr>
            </w:pPr>
            <w:r w:rsidRPr="00E27F65">
              <w:rPr>
                <w:lang w:eastAsia="zh-CN"/>
              </w:rPr>
              <w:t>(Sub-WG SS)</w:t>
            </w:r>
          </w:p>
        </w:tc>
        <w:tc>
          <w:tcPr>
            <w:tcW w:w="1646"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bCs/>
                <w:caps/>
                <w:color w:val="000000"/>
                <w:shd w:val="clear" w:color="auto" w:fill="FFFFFF"/>
                <w:lang w:eastAsia="zh-CN"/>
              </w:rPr>
            </w:pPr>
            <w:r w:rsidRPr="00E27F65">
              <w:rPr>
                <w:lang w:eastAsia="zh-CN"/>
              </w:rPr>
              <w:t>Task Group on Fixed Wireless Systems (TG FWS)</w:t>
            </w:r>
          </w:p>
        </w:tc>
        <w:tc>
          <w:tcPr>
            <w:tcW w:w="1707"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t xml:space="preserve">Task Group on </w:t>
            </w:r>
            <w:r w:rsidRPr="00E27F65">
              <w:rPr>
                <w:lang w:eastAsia="zh-CN"/>
              </w:rPr>
              <w:t xml:space="preserve">PPDR </w:t>
            </w:r>
          </w:p>
          <w:p w:rsidR="00E27F65" w:rsidRPr="00E27F65" w:rsidRDefault="00E27F65" w:rsidP="00192D2C">
            <w:pPr>
              <w:pStyle w:val="ECCTabletext"/>
              <w:rPr>
                <w:bCs/>
                <w:caps/>
                <w:color w:val="000000"/>
                <w:shd w:val="clear" w:color="auto" w:fill="FFFFFF"/>
                <w:lang w:eastAsia="zh-CN"/>
              </w:rPr>
            </w:pPr>
            <w:r w:rsidRPr="00E27F65">
              <w:rPr>
                <w:lang w:eastAsia="zh-CN"/>
              </w:rPr>
              <w:t>(TG PPDR)</w:t>
            </w:r>
          </w:p>
        </w:tc>
      </w:tr>
      <w:tr w:rsidR="00E27F65" w:rsidRPr="009A3A38" w:rsidTr="00F3563D">
        <w:tc>
          <w:tcPr>
            <w:tcW w:w="1648" w:type="pct"/>
            <w:vMerge/>
            <w:tcBorders>
              <w:top w:val="single" w:sz="4" w:space="0" w:color="auto"/>
              <w:left w:val="single" w:sz="4" w:space="0" w:color="auto"/>
              <w:bottom w:val="single" w:sz="4" w:space="0" w:color="auto"/>
              <w:right w:val="single" w:sz="4" w:space="0" w:color="auto"/>
            </w:tcBorders>
            <w:vAlign w:val="center"/>
            <w:hideMark/>
          </w:tcPr>
          <w:p w:rsidR="00E27F65" w:rsidRPr="00E27F65" w:rsidRDefault="00E27F65" w:rsidP="00192D2C">
            <w:pPr>
              <w:pStyle w:val="ECCTabletext"/>
              <w:rPr>
                <w:b/>
                <w:bCs/>
                <w:caps/>
                <w:color w:val="000000"/>
                <w:shd w:val="clear" w:color="auto" w:fill="FFFFFF"/>
                <w:lang w:eastAsia="zh-CN"/>
              </w:rPr>
            </w:pPr>
          </w:p>
        </w:tc>
        <w:tc>
          <w:tcPr>
            <w:tcW w:w="1646"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bCs/>
                <w:caps/>
                <w:color w:val="000000"/>
                <w:shd w:val="clear" w:color="auto" w:fill="FFFFFF"/>
                <w:lang w:eastAsia="zh-CN"/>
              </w:rPr>
            </w:pPr>
            <w:r w:rsidRPr="00E27F65">
              <w:rPr>
                <w:lang w:eastAsia="zh-CN"/>
              </w:rPr>
              <w:t>Task Group on Internet of Things (TG IoT)</w:t>
            </w:r>
          </w:p>
        </w:tc>
        <w:tc>
          <w:tcPr>
            <w:tcW w:w="1707"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t xml:space="preserve">Task Group on </w:t>
            </w:r>
            <w:r w:rsidRPr="00E27F65">
              <w:rPr>
                <w:lang w:eastAsia="zh-CN"/>
              </w:rPr>
              <w:t xml:space="preserve">Railway Radiocommunications  </w:t>
            </w:r>
          </w:p>
          <w:p w:rsidR="00E27F65" w:rsidRPr="00E27F65" w:rsidRDefault="00E27F65" w:rsidP="00192D2C">
            <w:pPr>
              <w:pStyle w:val="ECCTabletext"/>
              <w:rPr>
                <w:bCs/>
                <w:caps/>
                <w:color w:val="000000"/>
                <w:shd w:val="clear" w:color="auto" w:fill="FFFFFF"/>
                <w:lang w:eastAsia="zh-CN"/>
              </w:rPr>
            </w:pPr>
            <w:r w:rsidRPr="00E27F65">
              <w:rPr>
                <w:lang w:eastAsia="zh-CN"/>
              </w:rPr>
              <w:t>(TG RR)</w:t>
            </w:r>
          </w:p>
        </w:tc>
      </w:tr>
      <w:tr w:rsidR="00E27F65" w:rsidRPr="00E27F65" w:rsidTr="00F3563D">
        <w:tc>
          <w:tcPr>
            <w:tcW w:w="1648" w:type="pct"/>
            <w:vMerge w:val="restar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rPr>
                <w:lang w:eastAsia="zh-CN"/>
              </w:rPr>
              <w:t>Sub Working Group on Spectrum Monitoring</w:t>
            </w:r>
          </w:p>
          <w:p w:rsidR="00E27F65" w:rsidRPr="00E27F65" w:rsidRDefault="00E27F65" w:rsidP="00192D2C">
            <w:pPr>
              <w:pStyle w:val="ECCTabletext"/>
              <w:rPr>
                <w:b/>
                <w:bCs/>
                <w:caps/>
                <w:color w:val="000000"/>
                <w:shd w:val="clear" w:color="auto" w:fill="FFFFFF"/>
                <w:lang w:eastAsia="zh-CN"/>
              </w:rPr>
            </w:pPr>
            <w:r w:rsidRPr="00E27F65">
              <w:rPr>
                <w:lang w:eastAsia="zh-CN"/>
              </w:rPr>
              <w:t>(Sub-WG SM)</w:t>
            </w:r>
          </w:p>
        </w:tc>
        <w:tc>
          <w:tcPr>
            <w:tcW w:w="1646"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rPr>
                <w:lang w:eastAsia="zh-CN"/>
              </w:rPr>
              <w:t>Task Group on Intelligent Transportation Systems</w:t>
            </w:r>
          </w:p>
          <w:p w:rsidR="00E27F65" w:rsidRPr="00E27F65" w:rsidRDefault="00E27F65" w:rsidP="00192D2C">
            <w:pPr>
              <w:pStyle w:val="ECCTabletext"/>
              <w:rPr>
                <w:bCs/>
                <w:caps/>
                <w:color w:val="000000"/>
                <w:shd w:val="clear" w:color="auto" w:fill="FFFFFF"/>
                <w:lang w:eastAsia="zh-CN"/>
              </w:rPr>
            </w:pPr>
            <w:r w:rsidRPr="00E27F65">
              <w:rPr>
                <w:lang w:eastAsia="zh-CN"/>
              </w:rPr>
              <w:t xml:space="preserve"> (TG ITS) </w:t>
            </w:r>
          </w:p>
        </w:tc>
        <w:tc>
          <w:tcPr>
            <w:tcW w:w="1707" w:type="pct"/>
            <w:vMerge w:val="restart"/>
            <w:tcBorders>
              <w:top w:val="single" w:sz="4" w:space="0" w:color="auto"/>
              <w:left w:val="single" w:sz="4" w:space="0" w:color="auto"/>
              <w:bottom w:val="single" w:sz="4" w:space="0" w:color="auto"/>
              <w:right w:val="single" w:sz="4" w:space="0" w:color="auto"/>
            </w:tcBorders>
          </w:tcPr>
          <w:p w:rsidR="00E27F65" w:rsidRPr="00E27F65" w:rsidRDefault="00E27F65" w:rsidP="00192D2C">
            <w:pPr>
              <w:pStyle w:val="ECCTabletext"/>
              <w:rPr>
                <w:bCs/>
                <w:caps/>
                <w:color w:val="000000"/>
                <w:shd w:val="clear" w:color="auto" w:fill="FFFFFF"/>
                <w:lang w:eastAsia="zh-CN"/>
              </w:rPr>
            </w:pPr>
          </w:p>
        </w:tc>
      </w:tr>
      <w:tr w:rsidR="00E27F65" w:rsidRPr="00E27F65" w:rsidTr="00F3563D">
        <w:tc>
          <w:tcPr>
            <w:tcW w:w="1648" w:type="pct"/>
            <w:vMerge/>
            <w:tcBorders>
              <w:top w:val="single" w:sz="4" w:space="0" w:color="auto"/>
              <w:left w:val="single" w:sz="4" w:space="0" w:color="auto"/>
              <w:bottom w:val="single" w:sz="4" w:space="0" w:color="auto"/>
              <w:right w:val="single" w:sz="4" w:space="0" w:color="auto"/>
            </w:tcBorders>
            <w:vAlign w:val="center"/>
            <w:hideMark/>
          </w:tcPr>
          <w:p w:rsidR="00E27F65" w:rsidRPr="00E27F65" w:rsidRDefault="00E27F65" w:rsidP="00192D2C">
            <w:pPr>
              <w:pStyle w:val="ECCTabletext"/>
              <w:rPr>
                <w:b/>
                <w:bCs/>
                <w:caps/>
                <w:color w:val="000000"/>
                <w:shd w:val="clear" w:color="auto" w:fill="FFFFFF"/>
                <w:lang w:eastAsia="zh-CN"/>
              </w:rPr>
            </w:pPr>
          </w:p>
        </w:tc>
        <w:tc>
          <w:tcPr>
            <w:tcW w:w="1646" w:type="pct"/>
            <w:tcBorders>
              <w:top w:val="single" w:sz="4" w:space="0" w:color="auto"/>
              <w:left w:val="single" w:sz="4" w:space="0" w:color="auto"/>
              <w:bottom w:val="single" w:sz="4" w:space="0" w:color="auto"/>
              <w:right w:val="single" w:sz="4" w:space="0" w:color="auto"/>
            </w:tcBorders>
            <w:hideMark/>
          </w:tcPr>
          <w:p w:rsidR="00E27F65" w:rsidRPr="00E27F65" w:rsidRDefault="00E27F65" w:rsidP="00192D2C">
            <w:pPr>
              <w:pStyle w:val="ECCTabletext"/>
              <w:rPr>
                <w:lang w:eastAsia="zh-CN"/>
              </w:rPr>
            </w:pPr>
            <w:r w:rsidRPr="00E27F65">
              <w:rPr>
                <w:lang w:eastAsia="zh-CN"/>
              </w:rPr>
              <w:t xml:space="preserve">Task Group on Wireless Power Transmission </w:t>
            </w:r>
          </w:p>
          <w:p w:rsidR="00E27F65" w:rsidRPr="00E27F65" w:rsidRDefault="00E27F65" w:rsidP="00192D2C">
            <w:pPr>
              <w:pStyle w:val="ECCTabletext"/>
              <w:rPr>
                <w:bCs/>
                <w:caps/>
                <w:color w:val="000000"/>
                <w:shd w:val="clear" w:color="auto" w:fill="FFFFFF"/>
                <w:lang w:eastAsia="zh-CN"/>
              </w:rPr>
            </w:pPr>
            <w:r w:rsidRPr="00E27F65">
              <w:rPr>
                <w:lang w:eastAsia="zh-CN"/>
              </w:rPr>
              <w:t>(TG WPT)</w:t>
            </w:r>
          </w:p>
        </w:tc>
        <w:tc>
          <w:tcPr>
            <w:tcW w:w="1707" w:type="pct"/>
            <w:vMerge/>
            <w:tcBorders>
              <w:top w:val="single" w:sz="4" w:space="0" w:color="auto"/>
              <w:left w:val="single" w:sz="4" w:space="0" w:color="auto"/>
              <w:bottom w:val="single" w:sz="4" w:space="0" w:color="auto"/>
              <w:right w:val="single" w:sz="4" w:space="0" w:color="auto"/>
            </w:tcBorders>
            <w:vAlign w:val="center"/>
            <w:hideMark/>
          </w:tcPr>
          <w:p w:rsidR="00E27F65" w:rsidRPr="00E27F65" w:rsidRDefault="00E27F65" w:rsidP="00192D2C">
            <w:pPr>
              <w:pStyle w:val="ECCTabletext"/>
              <w:rPr>
                <w:bCs/>
                <w:caps/>
                <w:color w:val="000000"/>
                <w:shd w:val="clear" w:color="auto" w:fill="FFFFFF"/>
                <w:lang w:eastAsia="zh-CN"/>
              </w:rPr>
            </w:pPr>
          </w:p>
        </w:tc>
      </w:tr>
    </w:tbl>
    <w:p w:rsidR="00E27F65" w:rsidRPr="00E27F65" w:rsidRDefault="00E27F65" w:rsidP="00192D2C">
      <w:pPr>
        <w:pStyle w:val="ECCTabletext"/>
        <w:rPr>
          <w:b/>
          <w:bCs/>
          <w:color w:val="000000"/>
          <w:kern w:val="2"/>
          <w:lang w:val="en-US" w:eastAsia="ja-JP"/>
        </w:rPr>
      </w:pPr>
    </w:p>
    <w:p w:rsidR="001F27FB" w:rsidRPr="001F27FB" w:rsidRDefault="001F27FB" w:rsidP="00192D2C">
      <w:pPr>
        <w:pStyle w:val="ECCTabletext"/>
        <w:rPr>
          <w:rFonts w:eastAsia="Times New Roman"/>
          <w:b/>
          <w:bCs/>
          <w:color w:val="D2232A"/>
        </w:rPr>
      </w:pPr>
      <w:r w:rsidRPr="001F27FB">
        <w:rPr>
          <w:rFonts w:eastAsia="Times New Roman"/>
          <w:b/>
          <w:bCs/>
          <w:color w:val="D2232A"/>
          <w:lang w:val="en-US"/>
        </w:rPr>
        <w:t>New or revised APT Reports (approved and published in 0</w:t>
      </w:r>
      <w:r w:rsidR="00375A62">
        <w:rPr>
          <w:rFonts w:eastAsia="Times New Roman"/>
          <w:b/>
          <w:bCs/>
          <w:color w:val="D2232A"/>
          <w:lang w:val="en-US"/>
        </w:rPr>
        <w:t>4</w:t>
      </w:r>
      <w:r w:rsidRPr="001F27FB">
        <w:rPr>
          <w:rFonts w:eastAsia="Times New Roman"/>
          <w:b/>
          <w:bCs/>
          <w:color w:val="D2232A"/>
          <w:lang w:val="en-US"/>
        </w:rPr>
        <w:t>/201</w:t>
      </w:r>
      <w:r w:rsidR="00375A62">
        <w:rPr>
          <w:rFonts w:eastAsia="Times New Roman"/>
          <w:b/>
          <w:bCs/>
          <w:color w:val="D2232A"/>
          <w:lang w:val="en-US"/>
        </w:rPr>
        <w:t>8</w:t>
      </w:r>
      <w:r w:rsidRPr="001F27FB">
        <w:rPr>
          <w:rFonts w:eastAsia="Times New Roman"/>
          <w:b/>
          <w:bCs/>
          <w:color w:val="D2232A"/>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794"/>
        <w:gridCol w:w="5953"/>
      </w:tblGrid>
      <w:tr w:rsidR="001F27FB" w:rsidRPr="001F27FB" w:rsidTr="00A73945">
        <w:trPr>
          <w:tblHeader/>
        </w:trPr>
        <w:tc>
          <w:tcPr>
            <w:tcW w:w="3794" w:type="dxa"/>
            <w:tcBorders>
              <w:top w:val="single" w:sz="4" w:space="0" w:color="D2232A"/>
              <w:left w:val="single" w:sz="4" w:space="0" w:color="D2232A"/>
              <w:bottom w:val="single" w:sz="4" w:space="0" w:color="D2232A"/>
              <w:right w:val="nil"/>
            </w:tcBorders>
            <w:shd w:val="clear" w:color="auto" w:fill="D2232A"/>
            <w:vAlign w:val="center"/>
          </w:tcPr>
          <w:p w:rsidR="001F27FB" w:rsidRPr="001F27FB" w:rsidRDefault="001F27FB" w:rsidP="001F27FB">
            <w:pPr>
              <w:spacing w:before="120" w:after="120" w:line="240" w:lineRule="auto"/>
              <w:jc w:val="center"/>
              <w:rPr>
                <w:rFonts w:ascii="Arial" w:eastAsia="Times New Roman" w:hAnsi="Arial" w:cs="Times New Roman"/>
                <w:b/>
                <w:color w:val="FFFFFF"/>
                <w:sz w:val="20"/>
                <w:szCs w:val="20"/>
                <w:lang w:val="en-GB"/>
              </w:rPr>
            </w:pPr>
            <w:r w:rsidRPr="001F27FB">
              <w:rPr>
                <w:rFonts w:ascii="Arial" w:eastAsia="Times New Roman" w:hAnsi="Arial" w:cs="Times New Roman"/>
                <w:b/>
                <w:color w:val="FFFFFF"/>
                <w:sz w:val="20"/>
                <w:szCs w:val="20"/>
                <w:lang w:val="en-GB"/>
              </w:rPr>
              <w:t xml:space="preserve">Reference </w:t>
            </w:r>
          </w:p>
        </w:tc>
        <w:tc>
          <w:tcPr>
            <w:tcW w:w="5953" w:type="dxa"/>
            <w:tcBorders>
              <w:top w:val="single" w:sz="4" w:space="0" w:color="D2232A"/>
              <w:left w:val="nil"/>
              <w:bottom w:val="single" w:sz="4" w:space="0" w:color="D2232A"/>
              <w:right w:val="nil"/>
            </w:tcBorders>
            <w:shd w:val="clear" w:color="auto" w:fill="D2232A"/>
            <w:vAlign w:val="center"/>
          </w:tcPr>
          <w:p w:rsidR="001F27FB" w:rsidRPr="001F27FB" w:rsidRDefault="001F27FB" w:rsidP="001F27FB">
            <w:pPr>
              <w:spacing w:before="120" w:after="120" w:line="240" w:lineRule="auto"/>
              <w:jc w:val="center"/>
              <w:rPr>
                <w:rFonts w:ascii="Arial" w:eastAsia="Times New Roman" w:hAnsi="Arial" w:cs="Times New Roman"/>
                <w:b/>
                <w:color w:val="FFFFFF"/>
                <w:sz w:val="20"/>
                <w:szCs w:val="20"/>
                <w:lang w:val="en-GB"/>
              </w:rPr>
            </w:pPr>
            <w:r w:rsidRPr="001F27FB">
              <w:rPr>
                <w:rFonts w:ascii="Arial" w:eastAsia="Times New Roman" w:hAnsi="Arial" w:cs="Times New Roman"/>
                <w:b/>
                <w:color w:val="FFFFFF"/>
                <w:sz w:val="20"/>
                <w:szCs w:val="20"/>
                <w:lang w:val="en-GB"/>
              </w:rPr>
              <w:t>Topic</w:t>
            </w:r>
          </w:p>
        </w:tc>
      </w:tr>
      <w:tr w:rsidR="001F27FB" w:rsidRPr="009A3A38" w:rsidTr="00A73945">
        <w:tc>
          <w:tcPr>
            <w:tcW w:w="3794" w:type="dxa"/>
            <w:tcBorders>
              <w:top w:val="single" w:sz="4" w:space="0" w:color="D2232A"/>
              <w:left w:val="single" w:sz="4" w:space="0" w:color="D2232A"/>
              <w:bottom w:val="single" w:sz="4" w:space="0" w:color="D2232A"/>
              <w:right w:val="single" w:sz="4" w:space="0" w:color="D2232A"/>
            </w:tcBorders>
          </w:tcPr>
          <w:p w:rsidR="001F27FB" w:rsidRPr="001F27FB" w:rsidRDefault="00DE5259" w:rsidP="00F119BE">
            <w:pPr>
              <w:spacing w:before="60" w:after="60" w:line="234" w:lineRule="atLeast"/>
              <w:rPr>
                <w:rFonts w:ascii="Arial" w:eastAsia="Calibri" w:hAnsi="Arial" w:cs="Times New Roman"/>
                <w:color w:val="0000FF"/>
                <w:sz w:val="20"/>
                <w:u w:val="single"/>
                <w:lang w:val="en-GB"/>
              </w:rPr>
            </w:pPr>
            <w:hyperlink r:id="rId10" w:history="1">
              <w:r w:rsidR="00F354C1" w:rsidRPr="00F354C1">
                <w:rPr>
                  <w:rFonts w:ascii="Arial" w:hAnsi="Arial" w:cs="Arial"/>
                  <w:color w:val="0062A0"/>
                  <w:u w:val="single"/>
                  <w:shd w:val="clear" w:color="auto" w:fill="FFFFFF"/>
                </w:rPr>
                <w:t>APT/AWF/OP-02(Rev.3)</w:t>
              </w:r>
            </w:hyperlink>
          </w:p>
        </w:tc>
        <w:tc>
          <w:tcPr>
            <w:tcW w:w="5953" w:type="dxa"/>
            <w:tcBorders>
              <w:top w:val="single" w:sz="4" w:space="0" w:color="D2232A"/>
              <w:left w:val="single" w:sz="4" w:space="0" w:color="D2232A"/>
              <w:bottom w:val="single" w:sz="4" w:space="0" w:color="D2232A"/>
              <w:right w:val="single" w:sz="4" w:space="0" w:color="D2232A"/>
            </w:tcBorders>
          </w:tcPr>
          <w:p w:rsidR="001F27FB" w:rsidRPr="001F27FB" w:rsidRDefault="00F354C1" w:rsidP="00F119BE">
            <w:pPr>
              <w:spacing w:before="60" w:after="60" w:line="240" w:lineRule="auto"/>
              <w:jc w:val="both"/>
              <w:rPr>
                <w:rFonts w:ascii="Arial" w:eastAsia="Calibri" w:hAnsi="Arial" w:cs="Times New Roman"/>
                <w:sz w:val="20"/>
                <w:lang w:val="en-GB"/>
              </w:rPr>
            </w:pPr>
            <w:r>
              <w:rPr>
                <w:rFonts w:ascii="Arial" w:eastAsia="Calibri" w:hAnsi="Arial" w:cs="Times New Roman"/>
                <w:sz w:val="20"/>
                <w:lang w:val="en-GB"/>
              </w:rPr>
              <w:t xml:space="preserve">Revision of </w:t>
            </w:r>
            <w:r w:rsidRPr="00F354C1">
              <w:rPr>
                <w:rFonts w:ascii="Arial" w:eastAsia="Calibri" w:hAnsi="Arial" w:cs="Times New Roman"/>
                <w:sz w:val="20"/>
                <w:lang w:val="en-GB"/>
              </w:rPr>
              <w:t>APT Guideline on "Technical Conditions for the Use of Mobi</w:t>
            </w:r>
            <w:r>
              <w:rPr>
                <w:rFonts w:ascii="Arial" w:eastAsia="Calibri" w:hAnsi="Arial" w:cs="Times New Roman"/>
                <w:sz w:val="20"/>
                <w:lang w:val="en-GB"/>
              </w:rPr>
              <w:t>l</w:t>
            </w:r>
            <w:r w:rsidRPr="00F354C1">
              <w:rPr>
                <w:rFonts w:ascii="Arial" w:eastAsia="Calibri" w:hAnsi="Arial" w:cs="Times New Roman"/>
                <w:sz w:val="20"/>
                <w:lang w:val="en-GB"/>
              </w:rPr>
              <w:t xml:space="preserve">e Phones </w:t>
            </w:r>
            <w:proofErr w:type="spellStart"/>
            <w:r w:rsidRPr="00F354C1">
              <w:rPr>
                <w:rFonts w:ascii="Arial" w:eastAsia="Calibri" w:hAnsi="Arial" w:cs="Times New Roman"/>
                <w:sz w:val="20"/>
                <w:lang w:val="en-GB"/>
              </w:rPr>
              <w:t>Onboard</w:t>
            </w:r>
            <w:proofErr w:type="spellEnd"/>
            <w:r w:rsidRPr="00F354C1">
              <w:rPr>
                <w:rFonts w:ascii="Arial" w:eastAsia="Calibri" w:hAnsi="Arial" w:cs="Times New Roman"/>
                <w:sz w:val="20"/>
                <w:lang w:val="en-GB"/>
              </w:rPr>
              <w:t xml:space="preserve"> Aircraft"</w:t>
            </w:r>
          </w:p>
        </w:tc>
      </w:tr>
      <w:tr w:rsidR="001F27FB" w:rsidRPr="009A3A38" w:rsidTr="00A73945">
        <w:tc>
          <w:tcPr>
            <w:tcW w:w="3794" w:type="dxa"/>
            <w:tcBorders>
              <w:top w:val="single" w:sz="4" w:space="0" w:color="D2232A"/>
              <w:left w:val="single" w:sz="4" w:space="0" w:color="D2232A"/>
              <w:bottom w:val="single" w:sz="4" w:space="0" w:color="D2232A"/>
              <w:right w:val="single" w:sz="4" w:space="0" w:color="D2232A"/>
            </w:tcBorders>
          </w:tcPr>
          <w:p w:rsidR="001F27FB" w:rsidRPr="001F27FB" w:rsidRDefault="00DE5259" w:rsidP="00F119BE">
            <w:pPr>
              <w:spacing w:before="60" w:after="60" w:line="234" w:lineRule="atLeast"/>
              <w:rPr>
                <w:rFonts w:ascii="Arial" w:eastAsia="Calibri" w:hAnsi="Arial" w:cs="Times New Roman"/>
                <w:color w:val="0000FF"/>
                <w:sz w:val="20"/>
                <w:u w:val="single"/>
                <w:lang w:val="en-GB"/>
              </w:rPr>
            </w:pPr>
            <w:hyperlink r:id="rId11" w:history="1">
              <w:r w:rsidR="00F354C1" w:rsidRPr="00F354C1">
                <w:rPr>
                  <w:rFonts w:ascii="Arial" w:hAnsi="Arial" w:cs="Arial"/>
                  <w:color w:val="0062A0"/>
                  <w:u w:val="single"/>
                  <w:shd w:val="clear" w:color="auto" w:fill="FFFFFF"/>
                </w:rPr>
                <w:t>APT/AWG/REP-07(Rev.6)</w:t>
              </w:r>
            </w:hyperlink>
          </w:p>
        </w:tc>
        <w:tc>
          <w:tcPr>
            <w:tcW w:w="5953" w:type="dxa"/>
            <w:tcBorders>
              <w:top w:val="single" w:sz="4" w:space="0" w:color="D2232A"/>
              <w:left w:val="single" w:sz="4" w:space="0" w:color="D2232A"/>
              <w:bottom w:val="single" w:sz="4" w:space="0" w:color="D2232A"/>
              <w:right w:val="single" w:sz="4" w:space="0" w:color="D2232A"/>
            </w:tcBorders>
          </w:tcPr>
          <w:p w:rsidR="001F27FB" w:rsidRPr="001F27FB" w:rsidRDefault="00F354C1" w:rsidP="00F119BE">
            <w:pPr>
              <w:spacing w:before="60" w:after="60" w:line="240" w:lineRule="auto"/>
              <w:jc w:val="both"/>
              <w:rPr>
                <w:rFonts w:ascii="Arial" w:eastAsia="Calibri" w:hAnsi="Arial" w:cs="Times New Roman"/>
                <w:sz w:val="20"/>
                <w:lang w:val="en-GB"/>
              </w:rPr>
            </w:pPr>
            <w:r>
              <w:rPr>
                <w:rFonts w:ascii="Arial" w:eastAsia="Calibri" w:hAnsi="Arial" w:cs="Times New Roman"/>
                <w:sz w:val="20"/>
                <w:lang w:val="en-GB"/>
              </w:rPr>
              <w:t xml:space="preserve">Revision of </w:t>
            </w:r>
            <w:r w:rsidRPr="00F354C1">
              <w:rPr>
                <w:rFonts w:ascii="Arial" w:eastAsia="Calibri" w:hAnsi="Arial" w:cs="Times New Roman"/>
                <w:sz w:val="20"/>
                <w:lang w:val="en-GB"/>
              </w:rPr>
              <w:t>APT Report on Survey on Operation of Short-Range Devices (SRD)</w:t>
            </w:r>
            <w:r w:rsidR="00F3563D">
              <w:rPr>
                <w:rFonts w:ascii="Arial" w:eastAsia="Calibri" w:hAnsi="Arial" w:cs="Times New Roman"/>
                <w:sz w:val="20"/>
                <w:lang w:val="en-GB"/>
              </w:rPr>
              <w:t xml:space="preserve"> (similar to Rec. 70-03)</w:t>
            </w:r>
          </w:p>
        </w:tc>
      </w:tr>
      <w:tr w:rsidR="001F27FB" w:rsidRPr="009A3A38" w:rsidTr="00A73945">
        <w:tc>
          <w:tcPr>
            <w:tcW w:w="3794" w:type="dxa"/>
            <w:tcBorders>
              <w:top w:val="single" w:sz="4" w:space="0" w:color="D2232A"/>
              <w:left w:val="single" w:sz="4" w:space="0" w:color="D2232A"/>
              <w:bottom w:val="single" w:sz="4" w:space="0" w:color="D2232A"/>
              <w:right w:val="single" w:sz="4" w:space="0" w:color="D2232A"/>
            </w:tcBorders>
          </w:tcPr>
          <w:p w:rsidR="001F27FB" w:rsidRPr="001F27FB" w:rsidRDefault="00DE5259" w:rsidP="00F119BE">
            <w:pPr>
              <w:spacing w:before="60" w:after="60" w:line="234" w:lineRule="atLeast"/>
              <w:rPr>
                <w:rFonts w:ascii="Arial" w:eastAsia="Calibri" w:hAnsi="Arial" w:cs="Times New Roman"/>
                <w:color w:val="0000FF"/>
                <w:sz w:val="20"/>
                <w:u w:val="single"/>
                <w:lang w:val="en-GB"/>
              </w:rPr>
            </w:pPr>
            <w:hyperlink r:id="rId12" w:history="1">
              <w:r w:rsidR="00F354C1" w:rsidRPr="00F354C1">
                <w:rPr>
                  <w:rFonts w:ascii="Arial" w:hAnsi="Arial" w:cs="Arial"/>
                  <w:color w:val="0062A0"/>
                  <w:u w:val="single"/>
                  <w:shd w:val="clear" w:color="auto" w:fill="FFFFFF"/>
                </w:rPr>
                <w:t>APT/AWG/REP-15(Rev.5)</w:t>
              </w:r>
            </w:hyperlink>
          </w:p>
        </w:tc>
        <w:tc>
          <w:tcPr>
            <w:tcW w:w="5953" w:type="dxa"/>
            <w:tcBorders>
              <w:top w:val="single" w:sz="4" w:space="0" w:color="D2232A"/>
              <w:left w:val="single" w:sz="4" w:space="0" w:color="D2232A"/>
              <w:bottom w:val="single" w:sz="4" w:space="0" w:color="D2232A"/>
              <w:right w:val="single" w:sz="4" w:space="0" w:color="D2232A"/>
            </w:tcBorders>
          </w:tcPr>
          <w:p w:rsidR="001F27FB" w:rsidRPr="001F27FB" w:rsidRDefault="00F354C1" w:rsidP="00F119BE">
            <w:pPr>
              <w:spacing w:before="60" w:after="60" w:line="240" w:lineRule="auto"/>
              <w:jc w:val="both"/>
              <w:rPr>
                <w:rFonts w:ascii="Arial" w:eastAsia="Calibri" w:hAnsi="Arial" w:cs="Times New Roman"/>
                <w:sz w:val="20"/>
                <w:lang w:val="en-GB"/>
              </w:rPr>
            </w:pPr>
            <w:r>
              <w:rPr>
                <w:rFonts w:ascii="Arial" w:eastAsia="Calibri" w:hAnsi="Arial" w:cs="Times New Roman"/>
                <w:sz w:val="20"/>
                <w:lang w:val="en-GB"/>
              </w:rPr>
              <w:t xml:space="preserve">Revision of </w:t>
            </w:r>
            <w:r w:rsidRPr="00F354C1">
              <w:rPr>
                <w:rFonts w:ascii="Arial" w:eastAsia="Calibri" w:hAnsi="Arial" w:cs="Times New Roman"/>
                <w:sz w:val="20"/>
                <w:lang w:val="en-GB"/>
              </w:rPr>
              <w:t>APT Report on "Information of Mobile Operator's Frequencies, Technologies and License Durations in Asia Pacific Countries"</w:t>
            </w:r>
            <w:r w:rsidR="000164D8">
              <w:rPr>
                <w:rFonts w:ascii="Arial" w:eastAsia="Calibri" w:hAnsi="Arial" w:cs="Times New Roman"/>
                <w:sz w:val="20"/>
                <w:lang w:val="en-GB"/>
              </w:rPr>
              <w:t xml:space="preserve"> (similar to ECO Report 03)</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pPr>
            <w:hyperlink r:id="rId13" w:history="1">
              <w:r w:rsidR="00E27F65" w:rsidRPr="00E27F65">
                <w:rPr>
                  <w:rFonts w:ascii="Arial" w:hAnsi="Arial" w:cs="Arial"/>
                  <w:color w:val="0062A0"/>
                  <w:u w:val="single"/>
                  <w:shd w:val="clear" w:color="auto" w:fill="FFFFFF"/>
                </w:rPr>
                <w:t>APT/AWG/REP-84</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Default="00F354C1" w:rsidP="00F119BE">
            <w:pPr>
              <w:spacing w:before="60" w:after="60" w:line="240" w:lineRule="auto"/>
              <w:jc w:val="both"/>
              <w:rPr>
                <w:rFonts w:ascii="Arial" w:eastAsia="Calibri" w:hAnsi="Arial" w:cs="Times New Roman"/>
                <w:sz w:val="20"/>
                <w:lang w:val="en-GB"/>
              </w:rPr>
            </w:pPr>
            <w:r>
              <w:rPr>
                <w:rFonts w:ascii="Arial" w:eastAsia="Calibri" w:hAnsi="Arial" w:cs="Times New Roman"/>
                <w:sz w:val="20"/>
                <w:lang w:val="en-GB"/>
              </w:rPr>
              <w:t xml:space="preserve">New </w:t>
            </w:r>
            <w:r w:rsidRPr="00F354C1">
              <w:rPr>
                <w:rFonts w:ascii="Arial" w:eastAsia="Calibri" w:hAnsi="Arial" w:cs="Times New Roman"/>
                <w:sz w:val="20"/>
                <w:lang w:val="en-GB"/>
              </w:rPr>
              <w:t>APT Report on Survey on Regulatory Information for Implementation of IMT Network in the Asia Pacific region</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rPr>
                <w:color w:val="365F91" w:themeColor="accent1" w:themeShade="BF"/>
                <w:lang w:val="en-US"/>
              </w:rPr>
            </w:pPr>
            <w:hyperlink r:id="rId14" w:history="1">
              <w:r w:rsidR="00E27F65" w:rsidRPr="00E27F65">
                <w:rPr>
                  <w:rFonts w:ascii="Arial" w:hAnsi="Arial" w:cs="Arial"/>
                  <w:color w:val="0062A0"/>
                  <w:u w:val="single"/>
                  <w:shd w:val="clear" w:color="auto" w:fill="FFFFFF"/>
                </w:rPr>
                <w:t>APT/AWG/REP-85</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Pr="00F354C1" w:rsidRDefault="00F354C1" w:rsidP="00F119BE">
            <w:pPr>
              <w:spacing w:before="60" w:after="60" w:line="240" w:lineRule="auto"/>
              <w:jc w:val="both"/>
              <w:rPr>
                <w:rFonts w:ascii="Arial" w:eastAsia="Calibri" w:hAnsi="Arial" w:cs="Times New Roman"/>
                <w:sz w:val="20"/>
                <w:lang w:val="en-US"/>
              </w:rPr>
            </w:pPr>
            <w:r>
              <w:rPr>
                <w:rFonts w:ascii="Arial" w:eastAsia="Calibri" w:hAnsi="Arial" w:cs="Times New Roman"/>
                <w:sz w:val="20"/>
                <w:lang w:val="en-US"/>
              </w:rPr>
              <w:t xml:space="preserve">New </w:t>
            </w:r>
            <w:r w:rsidRPr="00F354C1">
              <w:rPr>
                <w:rFonts w:ascii="Arial" w:eastAsia="Calibri" w:hAnsi="Arial" w:cs="Times New Roman"/>
                <w:sz w:val="20"/>
                <w:lang w:val="en-US"/>
              </w:rPr>
              <w:t>APT Report on Technologies of Fixed Wireless System to Provide Remote Connectivity</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rPr>
                <w:color w:val="365F91" w:themeColor="accent1" w:themeShade="BF"/>
                <w:lang w:val="en-US"/>
              </w:rPr>
            </w:pPr>
            <w:hyperlink r:id="rId15" w:history="1">
              <w:r w:rsidR="00E27F65" w:rsidRPr="00E27F65">
                <w:rPr>
                  <w:rFonts w:ascii="Arial" w:hAnsi="Arial" w:cs="Arial"/>
                  <w:color w:val="0062A0"/>
                  <w:u w:val="single"/>
                  <w:shd w:val="clear" w:color="auto" w:fill="FFFFFF"/>
                </w:rPr>
                <w:t>APT/AWG/REP-86</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Pr="00F354C1" w:rsidRDefault="00F354C1" w:rsidP="00F119BE">
            <w:pPr>
              <w:spacing w:before="60" w:after="60" w:line="240" w:lineRule="auto"/>
              <w:jc w:val="both"/>
              <w:rPr>
                <w:rFonts w:ascii="Arial" w:eastAsia="Calibri" w:hAnsi="Arial" w:cs="Times New Roman"/>
                <w:sz w:val="20"/>
                <w:lang w:val="en-US"/>
              </w:rPr>
            </w:pPr>
            <w:r>
              <w:rPr>
                <w:rFonts w:ascii="Arial" w:eastAsia="Calibri" w:hAnsi="Arial" w:cs="Times New Roman"/>
                <w:sz w:val="20"/>
                <w:lang w:val="en-US"/>
              </w:rPr>
              <w:t xml:space="preserve">New </w:t>
            </w:r>
            <w:r w:rsidRPr="00F354C1">
              <w:rPr>
                <w:rFonts w:ascii="Arial" w:eastAsia="Calibri" w:hAnsi="Arial" w:cs="Times New Roman"/>
                <w:sz w:val="20"/>
                <w:lang w:val="en-US"/>
              </w:rPr>
              <w:t>APT Report on "Survey on Current status and future plan of implementation and deployment of Internet of Things in Asia Pacific region Countries"</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rPr>
                <w:color w:val="365F91" w:themeColor="accent1" w:themeShade="BF"/>
                <w:lang w:val="en-US"/>
              </w:rPr>
            </w:pPr>
            <w:hyperlink r:id="rId16" w:history="1">
              <w:r w:rsidR="00E27F65" w:rsidRPr="00E27F65">
                <w:rPr>
                  <w:rFonts w:ascii="Arial" w:hAnsi="Arial" w:cs="Arial"/>
                  <w:color w:val="0062A0"/>
                  <w:u w:val="single"/>
                  <w:shd w:val="clear" w:color="auto" w:fill="FFFFFF"/>
                </w:rPr>
                <w:t>APT/AWG/REP-87</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Default="00E27F65" w:rsidP="00F119BE">
            <w:pPr>
              <w:spacing w:before="60" w:after="60" w:line="240" w:lineRule="auto"/>
              <w:jc w:val="both"/>
              <w:rPr>
                <w:rFonts w:ascii="Arial" w:eastAsia="Calibri" w:hAnsi="Arial" w:cs="Times New Roman"/>
                <w:sz w:val="20"/>
                <w:lang w:val="en-US"/>
              </w:rPr>
            </w:pPr>
            <w:r>
              <w:rPr>
                <w:rFonts w:ascii="Arial" w:eastAsia="Calibri" w:hAnsi="Arial" w:cs="Times New Roman"/>
                <w:sz w:val="20"/>
                <w:lang w:val="en-US"/>
              </w:rPr>
              <w:t xml:space="preserve">New </w:t>
            </w:r>
            <w:r w:rsidRPr="00E27F65">
              <w:rPr>
                <w:rFonts w:ascii="Arial" w:eastAsia="Calibri" w:hAnsi="Arial" w:cs="Times New Roman"/>
                <w:sz w:val="20"/>
                <w:lang w:val="en-US"/>
              </w:rPr>
              <w:t xml:space="preserve">APT Survey Report for 100 to 300 </w:t>
            </w:r>
            <w:r w:rsidR="00F3563D">
              <w:rPr>
                <w:rFonts w:ascii="Arial" w:eastAsia="Calibri" w:hAnsi="Arial" w:cs="Times New Roman"/>
                <w:sz w:val="20"/>
                <w:lang w:val="en-US"/>
              </w:rPr>
              <w:t>k</w:t>
            </w:r>
            <w:r w:rsidRPr="00E27F65">
              <w:rPr>
                <w:rFonts w:ascii="Arial" w:eastAsia="Calibri" w:hAnsi="Arial" w:cs="Times New Roman"/>
                <w:sz w:val="20"/>
                <w:lang w:val="en-US"/>
              </w:rPr>
              <w:t>H</w:t>
            </w:r>
            <w:r w:rsidR="00F3563D">
              <w:rPr>
                <w:rFonts w:ascii="Arial" w:eastAsia="Calibri" w:hAnsi="Arial" w:cs="Times New Roman"/>
                <w:sz w:val="20"/>
                <w:lang w:val="en-US"/>
              </w:rPr>
              <w:t>z</w:t>
            </w:r>
            <w:r w:rsidRPr="00E27F65">
              <w:rPr>
                <w:rFonts w:ascii="Arial" w:eastAsia="Calibri" w:hAnsi="Arial" w:cs="Times New Roman"/>
                <w:sz w:val="20"/>
                <w:lang w:val="en-US"/>
              </w:rPr>
              <w:t xml:space="preserve"> band Non-beam WPT</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rPr>
                <w:color w:val="365F91" w:themeColor="accent1" w:themeShade="BF"/>
                <w:lang w:val="en-US"/>
              </w:rPr>
            </w:pPr>
            <w:hyperlink r:id="rId17" w:history="1">
              <w:r w:rsidR="00E27F65" w:rsidRPr="00E27F65">
                <w:rPr>
                  <w:rFonts w:ascii="Arial" w:hAnsi="Arial" w:cs="Arial"/>
                  <w:color w:val="0062A0"/>
                  <w:u w:val="single"/>
                  <w:shd w:val="clear" w:color="auto" w:fill="FFFFFF"/>
                </w:rPr>
                <w:t>APT/AWG/REP-88</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Default="00E27F65" w:rsidP="00F119BE">
            <w:pPr>
              <w:spacing w:before="60" w:after="60" w:line="240" w:lineRule="auto"/>
              <w:jc w:val="both"/>
              <w:rPr>
                <w:rFonts w:ascii="Arial" w:eastAsia="Calibri" w:hAnsi="Arial" w:cs="Times New Roman"/>
                <w:sz w:val="20"/>
                <w:lang w:val="en-US"/>
              </w:rPr>
            </w:pPr>
            <w:r>
              <w:rPr>
                <w:rFonts w:ascii="Arial" w:eastAsia="Calibri" w:hAnsi="Arial" w:cs="Times New Roman"/>
                <w:sz w:val="20"/>
                <w:lang w:val="en-US"/>
              </w:rPr>
              <w:t xml:space="preserve">New </w:t>
            </w:r>
            <w:r w:rsidRPr="00E27F65">
              <w:rPr>
                <w:rFonts w:ascii="Arial" w:eastAsia="Calibri" w:hAnsi="Arial" w:cs="Times New Roman"/>
                <w:sz w:val="20"/>
                <w:lang w:val="en-US"/>
              </w:rPr>
              <w:t xml:space="preserve">APT Report on Narrowband PPDR Applications and </w:t>
            </w:r>
            <w:r w:rsidRPr="00E27F65">
              <w:rPr>
                <w:rFonts w:ascii="Arial" w:eastAsia="Calibri" w:hAnsi="Arial" w:cs="Times New Roman"/>
                <w:sz w:val="20"/>
                <w:lang w:val="en-US"/>
              </w:rPr>
              <w:lastRenderedPageBreak/>
              <w:t>Systems in bans below 1 GHZ</w:t>
            </w:r>
          </w:p>
        </w:tc>
      </w:tr>
      <w:tr w:rsidR="00F354C1" w:rsidRPr="009A3A38" w:rsidTr="00A73945">
        <w:tc>
          <w:tcPr>
            <w:tcW w:w="3794" w:type="dxa"/>
            <w:tcBorders>
              <w:top w:val="single" w:sz="4" w:space="0" w:color="D2232A"/>
              <w:left w:val="single" w:sz="4" w:space="0" w:color="D2232A"/>
              <w:bottom w:val="single" w:sz="4" w:space="0" w:color="D2232A"/>
              <w:right w:val="single" w:sz="4" w:space="0" w:color="D2232A"/>
            </w:tcBorders>
          </w:tcPr>
          <w:p w:rsidR="00F354C1" w:rsidRPr="00F354C1" w:rsidRDefault="00DE5259" w:rsidP="00F119BE">
            <w:pPr>
              <w:spacing w:before="60" w:after="60" w:line="234" w:lineRule="atLeast"/>
              <w:rPr>
                <w:color w:val="365F91" w:themeColor="accent1" w:themeShade="BF"/>
                <w:lang w:val="en-US"/>
              </w:rPr>
            </w:pPr>
            <w:hyperlink r:id="rId18" w:history="1">
              <w:r w:rsidR="00E27F65" w:rsidRPr="00E27F65">
                <w:rPr>
                  <w:rFonts w:ascii="Arial" w:hAnsi="Arial" w:cs="Arial"/>
                  <w:color w:val="0062A0"/>
                  <w:u w:val="single"/>
                  <w:shd w:val="clear" w:color="auto" w:fill="FFFFFF"/>
                </w:rPr>
                <w:t>APT/AWG/REP-89</w:t>
              </w:r>
            </w:hyperlink>
          </w:p>
        </w:tc>
        <w:tc>
          <w:tcPr>
            <w:tcW w:w="5953" w:type="dxa"/>
            <w:tcBorders>
              <w:top w:val="single" w:sz="4" w:space="0" w:color="D2232A"/>
              <w:left w:val="single" w:sz="4" w:space="0" w:color="D2232A"/>
              <w:bottom w:val="single" w:sz="4" w:space="0" w:color="D2232A"/>
              <w:right w:val="single" w:sz="4" w:space="0" w:color="D2232A"/>
            </w:tcBorders>
          </w:tcPr>
          <w:p w:rsidR="00F354C1" w:rsidRDefault="00E27F65" w:rsidP="00F119BE">
            <w:pPr>
              <w:spacing w:before="60" w:after="60" w:line="240" w:lineRule="auto"/>
              <w:jc w:val="both"/>
              <w:rPr>
                <w:rFonts w:ascii="Arial" w:eastAsia="Calibri" w:hAnsi="Arial" w:cs="Times New Roman"/>
                <w:sz w:val="20"/>
                <w:lang w:val="en-US"/>
              </w:rPr>
            </w:pPr>
            <w:r>
              <w:rPr>
                <w:rFonts w:ascii="Arial" w:eastAsia="Calibri" w:hAnsi="Arial" w:cs="Times New Roman"/>
                <w:sz w:val="20"/>
                <w:lang w:val="en-US"/>
              </w:rPr>
              <w:t xml:space="preserve">New </w:t>
            </w:r>
            <w:r w:rsidRPr="00E27F65">
              <w:rPr>
                <w:rFonts w:ascii="Arial" w:eastAsia="Calibri" w:hAnsi="Arial" w:cs="Times New Roman"/>
                <w:sz w:val="20"/>
                <w:lang w:val="en-US"/>
              </w:rPr>
              <w:t>APT Report on Integration of Satellite Technologies into the next generation access technologies ecosystem</w:t>
            </w:r>
          </w:p>
        </w:tc>
      </w:tr>
    </w:tbl>
    <w:p w:rsidR="001F27FB" w:rsidRDefault="001F27FB" w:rsidP="001F27FB">
      <w:pPr>
        <w:tabs>
          <w:tab w:val="left" w:pos="340"/>
        </w:tabs>
        <w:spacing w:before="60" w:after="0" w:line="288" w:lineRule="auto"/>
        <w:contextualSpacing/>
        <w:jc w:val="both"/>
        <w:rPr>
          <w:rFonts w:ascii="Arial" w:eastAsia="Calibri" w:hAnsi="Arial" w:cs="Times New Roman"/>
          <w:sz w:val="20"/>
          <w:lang w:val="en-GB"/>
        </w:rPr>
      </w:pPr>
    </w:p>
    <w:p w:rsidR="00661B82" w:rsidRDefault="00661B82" w:rsidP="001F27FB">
      <w:pPr>
        <w:tabs>
          <w:tab w:val="left" w:pos="340"/>
        </w:tabs>
        <w:spacing w:before="60" w:after="0" w:line="288" w:lineRule="auto"/>
        <w:contextualSpacing/>
        <w:jc w:val="both"/>
        <w:rPr>
          <w:rFonts w:ascii="Arial" w:eastAsia="Calibri" w:hAnsi="Arial" w:cs="Times New Roman"/>
          <w:sz w:val="20"/>
          <w:lang w:val="en-GB"/>
        </w:rPr>
      </w:pPr>
      <w:r>
        <w:rPr>
          <w:rFonts w:ascii="Arial" w:eastAsia="Calibri" w:hAnsi="Arial" w:cs="Times New Roman"/>
          <w:sz w:val="20"/>
          <w:lang w:val="en-GB"/>
        </w:rPr>
        <w:t xml:space="preserve">APT AWG also adopted an updated </w:t>
      </w:r>
      <w:hyperlink r:id="rId19" w:history="1">
        <w:proofErr w:type="spellStart"/>
        <w:r w:rsidRPr="00661B82">
          <w:rPr>
            <w:rStyle w:val="Hyperlink"/>
            <w:rFonts w:ascii="Arial" w:eastAsia="Calibri" w:hAnsi="Arial" w:cs="Times New Roman"/>
            <w:sz w:val="20"/>
            <w:lang w:val="en-GB"/>
          </w:rPr>
          <w:t>Workplan</w:t>
        </w:r>
        <w:proofErr w:type="spellEnd"/>
        <w:r w:rsidRPr="00661B82">
          <w:rPr>
            <w:rStyle w:val="Hyperlink"/>
            <w:rFonts w:ascii="Arial" w:eastAsia="Calibri" w:hAnsi="Arial" w:cs="Times New Roman"/>
            <w:sz w:val="20"/>
            <w:lang w:val="en-GB"/>
          </w:rPr>
          <w:t xml:space="preserve"> of AWG</w:t>
        </w:r>
      </w:hyperlink>
      <w:r>
        <w:rPr>
          <w:rFonts w:ascii="Arial" w:eastAsia="Calibri" w:hAnsi="Arial" w:cs="Times New Roman"/>
          <w:sz w:val="20"/>
          <w:lang w:val="en-GB"/>
        </w:rPr>
        <w:t xml:space="preserve">: </w:t>
      </w:r>
    </w:p>
    <w:p w:rsidR="00661B82" w:rsidRDefault="00661B82" w:rsidP="001F27FB">
      <w:pPr>
        <w:tabs>
          <w:tab w:val="left" w:pos="340"/>
        </w:tabs>
        <w:spacing w:before="60" w:after="0" w:line="288" w:lineRule="auto"/>
        <w:contextualSpacing/>
        <w:jc w:val="both"/>
        <w:rPr>
          <w:rFonts w:ascii="Arial" w:eastAsia="Calibri" w:hAnsi="Arial" w:cs="Times New Roman"/>
          <w:sz w:val="20"/>
          <w:lang w:val="en-GB"/>
        </w:rPr>
      </w:pPr>
    </w:p>
    <w:p w:rsidR="00661B82" w:rsidRDefault="00661B82" w:rsidP="001F27FB">
      <w:pPr>
        <w:tabs>
          <w:tab w:val="left" w:pos="340"/>
        </w:tabs>
        <w:spacing w:before="60" w:after="0" w:line="288" w:lineRule="auto"/>
        <w:contextualSpacing/>
        <w:jc w:val="both"/>
        <w:rPr>
          <w:rFonts w:ascii="Arial" w:eastAsia="Calibri" w:hAnsi="Arial" w:cs="Times New Roman"/>
          <w:sz w:val="20"/>
          <w:lang w:val="en-GB"/>
        </w:rPr>
      </w:pPr>
      <w:r>
        <w:rPr>
          <w:rFonts w:ascii="Arial" w:eastAsia="Calibri" w:hAnsi="Arial" w:cs="Times New Roman"/>
          <w:sz w:val="20"/>
          <w:lang w:val="en-GB"/>
        </w:rPr>
        <w:t xml:space="preserve">This </w:t>
      </w:r>
      <w:proofErr w:type="spellStart"/>
      <w:r>
        <w:rPr>
          <w:rFonts w:ascii="Arial" w:eastAsia="Calibri" w:hAnsi="Arial" w:cs="Times New Roman"/>
          <w:sz w:val="20"/>
          <w:lang w:val="en-GB"/>
        </w:rPr>
        <w:t>workplan</w:t>
      </w:r>
      <w:proofErr w:type="spellEnd"/>
      <w:r>
        <w:rPr>
          <w:rFonts w:ascii="Arial" w:eastAsia="Calibri" w:hAnsi="Arial" w:cs="Times New Roman"/>
          <w:sz w:val="20"/>
          <w:lang w:val="en-GB"/>
        </w:rPr>
        <w:t xml:space="preserve"> includes</w:t>
      </w:r>
      <w:r w:rsidR="006B1A3F">
        <w:rPr>
          <w:rFonts w:ascii="Arial" w:eastAsia="Calibri" w:hAnsi="Arial" w:cs="Times New Roman"/>
          <w:sz w:val="20"/>
          <w:lang w:val="en-GB"/>
        </w:rPr>
        <w:t>,</w:t>
      </w:r>
      <w:r w:rsidR="00DB7117">
        <w:rPr>
          <w:rFonts w:ascii="Arial" w:eastAsia="Calibri" w:hAnsi="Arial" w:cs="Times New Roman"/>
          <w:sz w:val="20"/>
          <w:lang w:val="en-GB"/>
        </w:rPr>
        <w:t xml:space="preserve"> amongst others</w:t>
      </w:r>
      <w:r>
        <w:rPr>
          <w:rFonts w:ascii="Arial" w:eastAsia="Calibri" w:hAnsi="Arial" w:cs="Times New Roman"/>
          <w:sz w:val="20"/>
          <w:lang w:val="en-GB"/>
        </w:rPr>
        <w:t>:</w:t>
      </w:r>
    </w:p>
    <w:tbl>
      <w:tblPr>
        <w:tblStyle w:val="TableGrid3"/>
        <w:tblW w:w="5000" w:type="pct"/>
        <w:tblInd w:w="0" w:type="dxa"/>
        <w:tblLook w:val="04A0" w:firstRow="1" w:lastRow="0" w:firstColumn="1" w:lastColumn="0" w:noHBand="0" w:noVBand="1"/>
      </w:tblPr>
      <w:tblGrid>
        <w:gridCol w:w="642"/>
        <w:gridCol w:w="3524"/>
        <w:gridCol w:w="1750"/>
        <w:gridCol w:w="2440"/>
        <w:gridCol w:w="1498"/>
      </w:tblGrid>
      <w:tr w:rsidR="00F3563D" w:rsidRPr="00F3563D" w:rsidTr="00192D2C">
        <w:trPr>
          <w:tblHeader/>
        </w:trPr>
        <w:tc>
          <w:tcPr>
            <w:tcW w:w="325" w:type="pct"/>
            <w:tcBorders>
              <w:top w:val="single" w:sz="4" w:space="0" w:color="000000"/>
              <w:left w:val="single" w:sz="4" w:space="0" w:color="000000"/>
              <w:bottom w:val="single" w:sz="4" w:space="0" w:color="000000"/>
              <w:right w:val="single" w:sz="4" w:space="0" w:color="000000"/>
            </w:tcBorders>
            <w:shd w:val="clear" w:color="auto" w:fill="D2232A"/>
            <w:hideMark/>
          </w:tcPr>
          <w:p w:rsidR="00F3563D" w:rsidRPr="00F3563D" w:rsidRDefault="00F3563D" w:rsidP="00F119BE">
            <w:pPr>
              <w:spacing w:before="120" w:after="120"/>
              <w:jc w:val="center"/>
              <w:rPr>
                <w:rFonts w:ascii="Arial" w:hAnsi="Arial" w:cs="Arial"/>
                <w:b/>
                <w:color w:val="FFFFFF" w:themeColor="background1"/>
                <w:lang w:val="en-US" w:eastAsia="ja-JP" w:bidi="th-TH"/>
              </w:rPr>
            </w:pPr>
            <w:r w:rsidRPr="00F3563D">
              <w:rPr>
                <w:rFonts w:ascii="Arial" w:hAnsi="Arial" w:cs="Arial"/>
                <w:b/>
                <w:color w:val="FFFFFF" w:themeColor="background1"/>
                <w:lang w:val="en-US" w:eastAsia="ja-JP" w:bidi="th-TH"/>
              </w:rPr>
              <w:t>No.</w:t>
            </w:r>
          </w:p>
        </w:tc>
        <w:tc>
          <w:tcPr>
            <w:tcW w:w="1788" w:type="pct"/>
            <w:tcBorders>
              <w:top w:val="single" w:sz="4" w:space="0" w:color="000000"/>
              <w:left w:val="single" w:sz="4" w:space="0" w:color="000000"/>
              <w:bottom w:val="single" w:sz="4" w:space="0" w:color="000000"/>
              <w:right w:val="single" w:sz="4" w:space="0" w:color="000000"/>
            </w:tcBorders>
            <w:shd w:val="clear" w:color="auto" w:fill="D2232A"/>
            <w:hideMark/>
          </w:tcPr>
          <w:p w:rsidR="00F3563D" w:rsidRPr="00F3563D" w:rsidRDefault="00F3563D" w:rsidP="00F119BE">
            <w:pPr>
              <w:spacing w:before="120" w:after="120"/>
              <w:jc w:val="center"/>
              <w:rPr>
                <w:rFonts w:ascii="Arial" w:hAnsi="Arial" w:cs="Arial"/>
                <w:b/>
                <w:color w:val="FFFFFF" w:themeColor="background1"/>
                <w:lang w:val="en-US" w:eastAsia="ja-JP" w:bidi="th-TH"/>
              </w:rPr>
            </w:pPr>
            <w:r w:rsidRPr="00F3563D">
              <w:rPr>
                <w:rFonts w:ascii="Arial" w:hAnsi="Arial" w:cs="Arial"/>
                <w:b/>
                <w:color w:val="FFFFFF" w:themeColor="background1"/>
                <w:lang w:val="en-US" w:eastAsia="ja-JP" w:bidi="th-TH"/>
              </w:rPr>
              <w:t>Work Item</w:t>
            </w:r>
          </w:p>
        </w:tc>
        <w:tc>
          <w:tcPr>
            <w:tcW w:w="888" w:type="pct"/>
            <w:tcBorders>
              <w:top w:val="single" w:sz="4" w:space="0" w:color="000000"/>
              <w:left w:val="single" w:sz="4" w:space="0" w:color="000000"/>
              <w:bottom w:val="single" w:sz="4" w:space="0" w:color="000000"/>
              <w:right w:val="single" w:sz="4" w:space="0" w:color="000000"/>
            </w:tcBorders>
            <w:shd w:val="clear" w:color="auto" w:fill="D2232A"/>
            <w:hideMark/>
          </w:tcPr>
          <w:p w:rsidR="00F3563D" w:rsidRPr="00F3563D" w:rsidRDefault="00F3563D" w:rsidP="00F119BE">
            <w:pPr>
              <w:spacing w:before="120" w:after="120"/>
              <w:jc w:val="center"/>
              <w:rPr>
                <w:rFonts w:ascii="Arial" w:hAnsi="Arial" w:cs="Arial"/>
                <w:b/>
                <w:color w:val="FFFFFF" w:themeColor="background1"/>
                <w:lang w:val="en-US" w:eastAsia="ja-JP" w:bidi="th-TH"/>
              </w:rPr>
            </w:pPr>
            <w:r w:rsidRPr="00F3563D">
              <w:rPr>
                <w:rFonts w:ascii="Arial" w:hAnsi="Arial" w:cs="Arial"/>
                <w:b/>
                <w:color w:val="FFFFFF" w:themeColor="background1"/>
                <w:lang w:val="en-US" w:eastAsia="ja-JP" w:bidi="th-TH"/>
              </w:rPr>
              <w:t>Responsible Group</w:t>
            </w:r>
          </w:p>
        </w:tc>
        <w:tc>
          <w:tcPr>
            <w:tcW w:w="1238" w:type="pct"/>
            <w:tcBorders>
              <w:top w:val="single" w:sz="4" w:space="0" w:color="000000"/>
              <w:left w:val="single" w:sz="4" w:space="0" w:color="000000"/>
              <w:bottom w:val="single" w:sz="4" w:space="0" w:color="000000"/>
              <w:right w:val="single" w:sz="4" w:space="0" w:color="000000"/>
            </w:tcBorders>
            <w:shd w:val="clear" w:color="auto" w:fill="D2232A"/>
            <w:hideMark/>
          </w:tcPr>
          <w:p w:rsidR="00F3563D" w:rsidRPr="00F3563D" w:rsidRDefault="00F3563D" w:rsidP="00F119BE">
            <w:pPr>
              <w:spacing w:before="120" w:after="120"/>
              <w:jc w:val="center"/>
              <w:rPr>
                <w:rFonts w:ascii="Arial" w:hAnsi="Arial" w:cs="Arial"/>
                <w:b/>
                <w:color w:val="FFFFFF" w:themeColor="background1"/>
                <w:lang w:val="en-US" w:eastAsia="ja-JP" w:bidi="th-TH"/>
              </w:rPr>
            </w:pPr>
            <w:r w:rsidRPr="00F3563D">
              <w:rPr>
                <w:rFonts w:ascii="Arial" w:hAnsi="Arial" w:cs="Arial"/>
                <w:b/>
                <w:color w:val="FFFFFF" w:themeColor="background1"/>
                <w:lang w:val="en-US" w:eastAsia="ja-JP" w:bidi="th-TH"/>
              </w:rPr>
              <w:t>Expected Deliverable</w:t>
            </w:r>
          </w:p>
        </w:tc>
        <w:tc>
          <w:tcPr>
            <w:tcW w:w="760" w:type="pct"/>
            <w:tcBorders>
              <w:top w:val="single" w:sz="4" w:space="0" w:color="000000"/>
              <w:left w:val="single" w:sz="4" w:space="0" w:color="000000"/>
              <w:bottom w:val="single" w:sz="4" w:space="0" w:color="000000"/>
              <w:right w:val="single" w:sz="4" w:space="0" w:color="000000"/>
            </w:tcBorders>
            <w:shd w:val="clear" w:color="auto" w:fill="D2232A"/>
            <w:hideMark/>
          </w:tcPr>
          <w:p w:rsidR="00F3563D" w:rsidRPr="00F3563D" w:rsidRDefault="00F3563D" w:rsidP="00F119BE">
            <w:pPr>
              <w:spacing w:before="120" w:after="120"/>
              <w:jc w:val="center"/>
              <w:rPr>
                <w:rFonts w:ascii="Arial" w:hAnsi="Arial" w:cs="Arial"/>
                <w:b/>
                <w:color w:val="FFFFFF" w:themeColor="background1"/>
                <w:lang w:val="en-US" w:eastAsia="ja-JP" w:bidi="th-TH"/>
              </w:rPr>
            </w:pPr>
            <w:r w:rsidRPr="00F3563D">
              <w:rPr>
                <w:rFonts w:ascii="Arial" w:hAnsi="Arial" w:cs="Arial"/>
                <w:b/>
                <w:color w:val="FFFFFF" w:themeColor="background1"/>
                <w:lang w:val="en-US" w:eastAsia="ja-JP" w:bidi="th-TH"/>
              </w:rPr>
              <w:t>Completion Target</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1</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rFonts w:eastAsia="BatangChe"/>
                <w:lang w:eastAsia="ko-KR"/>
              </w:rPr>
            </w:pPr>
            <w:r w:rsidRPr="00F3563D">
              <w:rPr>
                <w:rFonts w:eastAsia="BatangChe"/>
                <w:lang w:eastAsia="ko-KR"/>
              </w:rPr>
              <w:t>Studies on frequency arrangements in the band 1427-1518 MHz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SA&amp;H</w:t>
            </w:r>
          </w:p>
        </w:tc>
        <w:tc>
          <w:tcPr>
            <w:tcW w:w="1238" w:type="pct"/>
            <w:tcBorders>
              <w:top w:val="single" w:sz="4" w:space="0" w:color="000000"/>
              <w:left w:val="single" w:sz="4" w:space="0" w:color="000000"/>
              <w:bottom w:val="single" w:sz="4" w:space="0" w:color="000000"/>
              <w:right w:val="single" w:sz="4" w:space="0" w:color="000000"/>
            </w:tcBorders>
          </w:tcPr>
          <w:p w:rsidR="00F3563D" w:rsidRPr="00F3563D" w:rsidRDefault="00F3563D" w:rsidP="00F119BE">
            <w:pPr>
              <w:pStyle w:val="ECCTabletext"/>
              <w:rPr>
                <w:lang w:eastAsia="ja-JP" w:bidi="th-TH"/>
              </w:rPr>
            </w:pPr>
            <w:r w:rsidRPr="00F3563D">
              <w:rPr>
                <w:lang w:eastAsia="ja-JP" w:bidi="th-TH"/>
              </w:rPr>
              <w:t>Report</w:t>
            </w:r>
          </w:p>
          <w:p w:rsidR="00F3563D" w:rsidRPr="00F3563D" w:rsidRDefault="00F3563D" w:rsidP="00F119BE">
            <w:pPr>
              <w:pStyle w:val="ECCTabletext"/>
              <w:rPr>
                <w:lang w:eastAsia="ja-JP" w:bidi="th-TH"/>
              </w:rPr>
            </w:pP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2</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rFonts w:eastAsia="BatangChe"/>
                <w:lang w:eastAsia="ko-KR"/>
              </w:rPr>
            </w:pPr>
            <w:r w:rsidRPr="00F3563D">
              <w:rPr>
                <w:rFonts w:eastAsia="BatangChe"/>
                <w:lang w:eastAsia="ko-KR"/>
              </w:rPr>
              <w:t>Harmonized frequency arrangement in the band 3</w:t>
            </w:r>
            <w:r w:rsidRPr="00F3563D">
              <w:rPr>
                <w:rFonts w:eastAsia="SimSun"/>
                <w:lang w:eastAsia="zh-CN"/>
              </w:rPr>
              <w:t xml:space="preserve"> 3</w:t>
            </w:r>
            <w:r w:rsidRPr="00F3563D">
              <w:rPr>
                <w:rFonts w:eastAsia="BatangChe"/>
                <w:lang w:eastAsia="ko-KR"/>
              </w:rPr>
              <w:t>00 – 3</w:t>
            </w:r>
            <w:r w:rsidRPr="00F3563D">
              <w:rPr>
                <w:rFonts w:eastAsia="SimSun"/>
                <w:lang w:eastAsia="zh-CN"/>
              </w:rPr>
              <w:t xml:space="preserve"> 4</w:t>
            </w:r>
            <w:r w:rsidRPr="00F3563D">
              <w:rPr>
                <w:rFonts w:eastAsia="BatangChe"/>
                <w:lang w:eastAsia="ko-KR"/>
              </w:rPr>
              <w:t>00 M</w:t>
            </w:r>
            <w:r w:rsidRPr="00F3563D">
              <w:rPr>
                <w:rFonts w:eastAsia="SimSun"/>
                <w:lang w:eastAsia="zh-CN"/>
              </w:rPr>
              <w:t>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SA&amp;H</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p w:rsidR="00F3563D" w:rsidRPr="00F3563D" w:rsidRDefault="00F3563D" w:rsidP="00F119BE">
            <w:pPr>
              <w:pStyle w:val="ECCTabletext"/>
              <w:rPr>
                <w:lang w:eastAsia="ja-JP" w:bidi="th-TH"/>
              </w:rPr>
            </w:pPr>
            <w:r w:rsidRPr="00F3563D">
              <w:rPr>
                <w:lang w:eastAsia="ja-JP" w:bidi="th-TH"/>
              </w:rPr>
              <w:t>Recommendation</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rPr>
          <w:trHeight w:val="208"/>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3</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rFonts w:eastAsia="BatangChe"/>
                <w:lang w:eastAsia="ko-KR"/>
              </w:rPr>
            </w:pPr>
            <w:r w:rsidRPr="00F3563D">
              <w:rPr>
                <w:rFonts w:eastAsia="BatangChe"/>
                <w:lang w:eastAsia="ko-KR"/>
              </w:rPr>
              <w:t>Frequency arrangement in the band 4</w:t>
            </w:r>
            <w:r w:rsidRPr="00F3563D">
              <w:rPr>
                <w:rFonts w:eastAsia="SimSun"/>
                <w:lang w:eastAsia="zh-CN"/>
              </w:rPr>
              <w:t xml:space="preserve"> 8</w:t>
            </w:r>
            <w:r w:rsidRPr="00F3563D">
              <w:rPr>
                <w:rFonts w:eastAsia="BatangChe"/>
                <w:lang w:eastAsia="ko-KR"/>
              </w:rPr>
              <w:t>00 – 4</w:t>
            </w:r>
            <w:r w:rsidRPr="00F3563D">
              <w:rPr>
                <w:rFonts w:eastAsia="SimSun"/>
                <w:lang w:eastAsia="zh-CN"/>
              </w:rPr>
              <w:t xml:space="preserve"> 99</w:t>
            </w:r>
            <w:r w:rsidRPr="00F3563D">
              <w:rPr>
                <w:rFonts w:eastAsia="BatangChe"/>
                <w:lang w:eastAsia="ko-KR"/>
              </w:rPr>
              <w:t>0 M</w:t>
            </w:r>
            <w:r w:rsidRPr="00F3563D">
              <w:rPr>
                <w:rFonts w:eastAsia="SimSun"/>
                <w:lang w:eastAsia="zh-CN"/>
              </w:rPr>
              <w:t>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SA&amp;H</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p w:rsidR="00F3563D" w:rsidRPr="00F3563D" w:rsidRDefault="00F3563D" w:rsidP="00F119BE">
            <w:pPr>
              <w:pStyle w:val="ECCTabletext"/>
              <w:rPr>
                <w:lang w:eastAsia="ja-JP" w:bidi="th-TH"/>
              </w:rPr>
            </w:pPr>
            <w:r w:rsidRPr="00F3563D">
              <w:rPr>
                <w:lang w:eastAsia="ja-JP" w:bidi="th-TH"/>
              </w:rPr>
              <w:t>Recommendation</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rPr>
          <w:trHeight w:val="208"/>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4</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rFonts w:eastAsia="BatangChe"/>
                <w:lang w:eastAsia="ko-KR"/>
              </w:rPr>
            </w:pPr>
            <w:r w:rsidRPr="00F3563D">
              <w:rPr>
                <w:rFonts w:eastAsia="BatangChe"/>
                <w:lang w:eastAsia="ko-KR"/>
              </w:rPr>
              <w:t xml:space="preserve">Frequency ranges for non-beam WPT for mobile devices  </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SA&amp;H</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Recommendation</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5</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Sharing and compatibility studies for selected frequency bands below 6GHz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Sharing</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 Liaison Statements</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6</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Sharing and compatibility studies for IMT above 24GHz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Sharing</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 Liaison Statements</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7</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rFonts w:eastAsia="MS Gothic"/>
                <w:kern w:val="2"/>
                <w:lang w:eastAsia="ja-JP"/>
              </w:rPr>
              <w:t>Studies related to techniques and technical conditions for Licensed-Assisted Access (LAA) and 5G New Radio - Shared Spectrum (5G NR-SS) as national solutions for accessing shared spectrum</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rFonts w:eastAsia="MS Gothic"/>
                <w:kern w:val="2"/>
                <w:lang w:eastAsia="ko-KR" w:bidi="th-TH"/>
              </w:rPr>
              <w:t>Sub-WG Sharing Studies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8</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 xml:space="preserve">Spectrum monitoring techniques and methods under multi-path environment </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SM</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9</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 on mitigation measures to improve coexistence of 4G-LTE and 5G-NR operating in the 3400 - 3600 MHz band and other systems operating in adjacent spectrum</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rFonts w:eastAsia="MS Gothic"/>
                <w:kern w:val="2"/>
                <w:lang w:eastAsia="ko-KR" w:bidi="th-TH"/>
              </w:rPr>
              <w:t>Sub-WG Sharing Studies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AWG-28</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10</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Study on Technical and Operational Measures for Coexistence between Terrestrial and Satellite IMT Systems Deployed in 1 980-2 010 MHz/2 170-2 200 MHz in the Asia-Pacific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rFonts w:eastAsia="MS Gothic"/>
                <w:kern w:val="2"/>
                <w:lang w:eastAsia="ko-KR" w:bidi="th-TH"/>
              </w:rPr>
            </w:pPr>
            <w:r w:rsidRPr="00F3563D">
              <w:rPr>
                <w:rFonts w:eastAsia="MS Gothic"/>
                <w:kern w:val="2"/>
                <w:lang w:eastAsia="ko-KR" w:bidi="th-TH"/>
              </w:rPr>
              <w:t>Sub-WG Sharing Studies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AWG-27</w:t>
            </w:r>
          </w:p>
        </w:tc>
      </w:tr>
      <w:tr w:rsidR="00F3563D" w:rsidRPr="00F3563D" w:rsidTr="00C37928">
        <w:trPr>
          <w:trHeight w:val="1684"/>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11</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kern w:val="2"/>
                <w:lang w:eastAsia="ja-JP"/>
              </w:rPr>
            </w:pPr>
            <w:r w:rsidRPr="00F3563D">
              <w:rPr>
                <w:bCs/>
                <w:kern w:val="2"/>
                <w:lang w:eastAsia="ja-JP"/>
              </w:rPr>
              <w:t>Survey of usage and future plan of frequency bands in relation to studies on WRC-19 agenda item 1.13 in Asia-Pacific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Sub-WG IMT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lastRenderedPageBreak/>
              <w:t>12</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kern w:val="2"/>
                <w:lang w:eastAsia="ja-JP"/>
              </w:rPr>
            </w:pPr>
            <w:r w:rsidRPr="00F3563D">
              <w:rPr>
                <w:kern w:val="2"/>
                <w:lang w:eastAsia="ja-JP"/>
              </w:rPr>
              <w:t>Implementation Public Safety LTE (PS-LTE) Networks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 xml:space="preserve">Sub-WG IMT (jointly with TG PPDR) </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 xml:space="preserve">Report </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13</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pStyle w:val="ECCTabletext"/>
              <w:rPr>
                <w:kern w:val="2"/>
                <w:lang w:eastAsia="ja-JP"/>
              </w:rPr>
            </w:pPr>
            <w:r w:rsidRPr="00F3563D">
              <w:rPr>
                <w:kern w:val="2"/>
                <w:shd w:val="clear" w:color="auto" w:fill="FFFFFF"/>
                <w:lang w:eastAsia="ja-JP"/>
              </w:rPr>
              <w:t>Necessary technical conditions to support technology neutrality and spectrum efficiency for implementation of IMT networks in bands identified for IMT</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Sub-WG IMT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192D2C">
            <w:pPr>
              <w:pStyle w:val="ECCTabletext"/>
              <w:rPr>
                <w:lang w:eastAsia="ja-JP" w:bidi="th-TH"/>
              </w:rPr>
            </w:pPr>
            <w:r w:rsidRPr="00F3563D">
              <w:rPr>
                <w:lang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14</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eastAsia="MS Gothic" w:hAnsi="Arial" w:cs="Arial"/>
                <w:kern w:val="2"/>
                <w:lang w:val="en-US" w:eastAsia="ja-JP"/>
              </w:rPr>
            </w:pPr>
            <w:r w:rsidRPr="00F3563D">
              <w:rPr>
                <w:rFonts w:ascii="Arial" w:hAnsi="Arial" w:cs="Arial"/>
                <w:kern w:val="2"/>
                <w:shd w:val="clear" w:color="auto" w:fill="FFFFFF"/>
                <w:lang w:val="en-US" w:eastAsia="ja-JP"/>
              </w:rPr>
              <w:t>Current status and future plan of implementation and deployment of IMT-2020 (5G) in Asia-Pacific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Sub-WG IMT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15</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eastAsia="SimSun" w:hAnsi="Arial" w:cs="Arial"/>
                <w:kern w:val="2"/>
                <w:lang w:val="en-US" w:eastAsia="zh-CN"/>
              </w:rPr>
            </w:pPr>
            <w:r w:rsidRPr="00F3563D">
              <w:rPr>
                <w:rFonts w:ascii="Arial" w:eastAsia="SimSun" w:hAnsi="Arial" w:cs="Arial"/>
                <w:kern w:val="2"/>
                <w:lang w:val="en-US" w:eastAsia="zh-CN"/>
              </w:rPr>
              <w:t>Studies on implementation aspects of IMT-2020 in the frequency bands below 6 GHz in Asia-Pacific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Sub-WG IMT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16</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eastAsia="SimSun" w:hAnsi="Arial" w:cs="Arial"/>
                <w:kern w:val="2"/>
                <w:lang w:val="en-US" w:eastAsia="zh-CN"/>
              </w:rPr>
            </w:pPr>
            <w:r w:rsidRPr="00F3563D">
              <w:rPr>
                <w:rFonts w:ascii="Arial" w:hAnsi="Arial" w:cs="Arial"/>
                <w:kern w:val="2"/>
                <w:lang w:val="en-US" w:eastAsia="ja-JP"/>
              </w:rPr>
              <w:t>Studies on 5G implementation in frequency bands above 24.25 GHz</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Sub-WG IMT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Recommendation/Report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17</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eastAsia="SimSun" w:hAnsi="Arial" w:cs="Arial"/>
                <w:kern w:val="2"/>
                <w:lang w:val="en-US" w:eastAsia="zh-CN"/>
              </w:rPr>
            </w:pPr>
            <w:r w:rsidRPr="00F3563D">
              <w:rPr>
                <w:rFonts w:ascii="Arial" w:eastAsia="SimSun" w:hAnsi="Arial" w:cs="Arial"/>
                <w:kern w:val="2"/>
                <w:lang w:val="en-US" w:eastAsia="zh-CN"/>
              </w:rPr>
              <w:t>Models for FWS link performance degradation due to wind</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FWS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AWG-27</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18</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hAnsi="Arial" w:cs="Arial"/>
                <w:kern w:val="2"/>
                <w:lang w:val="en-US" w:eastAsia="ja-JP"/>
              </w:rPr>
              <w:t>Cellular based V2X for ITS applications in APT countries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ITS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AWG-28</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19</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ja-JP"/>
              </w:rPr>
            </w:pPr>
            <w:proofErr w:type="spellStart"/>
            <w:r w:rsidRPr="00F3563D">
              <w:rPr>
                <w:rFonts w:ascii="Arial" w:hAnsi="Arial" w:cs="Arial"/>
                <w:bCs/>
                <w:kern w:val="2"/>
                <w:lang w:val="en-US" w:eastAsia="ko-KR"/>
              </w:rPr>
              <w:t>Millimetre</w:t>
            </w:r>
            <w:proofErr w:type="spellEnd"/>
            <w:r w:rsidRPr="00F3563D">
              <w:rPr>
                <w:rFonts w:ascii="Arial" w:hAnsi="Arial" w:cs="Arial"/>
                <w:bCs/>
                <w:kern w:val="2"/>
                <w:lang w:val="en-US" w:eastAsia="ko-KR"/>
              </w:rPr>
              <w:t xml:space="preserve"> wave ITS applications in APT countries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ITS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AWG-28</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20</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ja-JP"/>
              </w:rPr>
            </w:pPr>
            <w:r w:rsidRPr="00F3563D">
              <w:rPr>
                <w:rFonts w:ascii="Arial" w:hAnsi="Arial" w:cs="Arial"/>
                <w:kern w:val="2"/>
                <w:lang w:val="en-US" w:eastAsia="ja-JP"/>
              </w:rPr>
              <w:t>Vehicle Mounted Earth Stations (VMES) in Ku-Band GSO FSS Networks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ITS</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21</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ja-JP"/>
              </w:rPr>
            </w:pPr>
            <w:r w:rsidRPr="00F3563D">
              <w:rPr>
                <w:rFonts w:ascii="Arial" w:hAnsi="Arial" w:cs="Arial"/>
                <w:kern w:val="2"/>
                <w:lang w:val="en-US" w:eastAsia="ja-JP"/>
              </w:rPr>
              <w:t>LPWAN for IoT based on non-cellular technologies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IoT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22</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ja-JP"/>
              </w:rPr>
            </w:pPr>
            <w:r w:rsidRPr="00F3563D">
              <w:rPr>
                <w:rFonts w:ascii="Arial" w:hAnsi="Arial" w:cs="Arial"/>
                <w:kern w:val="2"/>
                <w:lang w:val="en-US" w:eastAsia="ja-JP"/>
              </w:rPr>
              <w:t>Technology and spectrum management technics for IoT networks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IoT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23</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hAnsi="Arial" w:cs="Arial"/>
                <w:color w:val="000000"/>
                <w:lang w:val="en-US" w:eastAsia="ja-JP" w:bidi="th-TH"/>
              </w:rPr>
              <w:t>Radio Frequency Beam WPT</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WPT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24</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ko-KR"/>
              </w:rPr>
            </w:pPr>
            <w:r w:rsidRPr="00F3563D">
              <w:rPr>
                <w:rFonts w:ascii="Arial" w:hAnsi="Arial" w:cs="Arial"/>
                <w:kern w:val="2"/>
                <w:lang w:val="en-US" w:eastAsia="ko-KR"/>
              </w:rPr>
              <w:t>Impact study for Non-Beam WPT for Mobile Devices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WPT</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25</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ko-KR"/>
              </w:rPr>
            </w:pPr>
            <w:r w:rsidRPr="00F3563D">
              <w:rPr>
                <w:rFonts w:ascii="Arial" w:eastAsia="MS Gothic" w:hAnsi="Arial" w:cs="Arial"/>
                <w:kern w:val="2"/>
                <w:lang w:val="en-US" w:eastAsia="ko-KR"/>
              </w:rPr>
              <w:t>Current and future usage</w:t>
            </w:r>
            <w:r w:rsidRPr="00F3563D">
              <w:rPr>
                <w:rFonts w:ascii="Arial" w:eastAsia="MS Gothic" w:hAnsi="Arial" w:cs="Arial"/>
                <w:kern w:val="2"/>
                <w:lang w:val="en-US" w:eastAsia="zh-CN"/>
              </w:rPr>
              <w:t xml:space="preserve"> </w:t>
            </w:r>
            <w:r w:rsidRPr="00F3563D">
              <w:rPr>
                <w:rFonts w:ascii="Arial" w:eastAsia="MS Gothic" w:hAnsi="Arial" w:cs="Arial"/>
                <w:kern w:val="2"/>
                <w:lang w:val="en-US" w:eastAsia="ja-JP"/>
              </w:rPr>
              <w:t>of unmanned aircraft</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A&amp;M</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 xml:space="preserve">Report </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26</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ko-KR"/>
              </w:rPr>
            </w:pPr>
            <w:r w:rsidRPr="00F3563D">
              <w:rPr>
                <w:rFonts w:ascii="Arial" w:hAnsi="Arial" w:cs="Arial"/>
                <w:kern w:val="2"/>
                <w:lang w:val="en-US" w:eastAsia="ko-KR"/>
              </w:rPr>
              <w:t>Broadband Wireless Air-to-Ground Communications Links with Passenger Aircraft</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A&amp;M</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27</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kern w:val="2"/>
                <w:lang w:val="en-US" w:eastAsia="ko-KR"/>
              </w:rPr>
            </w:pPr>
            <w:r w:rsidRPr="00F3563D">
              <w:rPr>
                <w:rFonts w:ascii="Arial" w:hAnsi="Arial" w:cs="Arial"/>
                <w:kern w:val="2"/>
                <w:lang w:val="en-US" w:eastAsia="ko-KR"/>
              </w:rPr>
              <w:t>Implementation of the bands 108 – 117.975 MHz, 328.6-335.4 MHz and 960-1164 MHz for the aeronautical radionavigation systems in APT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A&amp;M</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AWG-26</w:t>
            </w:r>
          </w:p>
        </w:tc>
      </w:tr>
      <w:tr w:rsidR="00F3563D" w:rsidRPr="00F3563D" w:rsidTr="00C37928">
        <w:trPr>
          <w:trHeight w:val="136"/>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both"/>
              <w:rPr>
                <w:rFonts w:ascii="Arial" w:hAnsi="Arial" w:cs="Arial"/>
                <w:color w:val="000000"/>
                <w:lang w:val="en-US" w:eastAsia="ja-JP" w:bidi="th-TH"/>
              </w:rPr>
            </w:pPr>
            <w:r w:rsidRPr="00F3563D">
              <w:rPr>
                <w:rFonts w:ascii="Arial" w:hAnsi="Arial" w:cs="Arial"/>
                <w:color w:val="000000"/>
                <w:lang w:val="en-US" w:eastAsia="ja-JP" w:bidi="th-TH"/>
              </w:rPr>
              <w:t>28</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hAnsi="Arial" w:cs="Arial"/>
                <w:kern w:val="2"/>
                <w:lang w:val="en-US" w:eastAsia="ko-KR"/>
              </w:rPr>
              <w:t xml:space="preserve">Study of usage of the bands 457.5125-457.5875 MHz and 467.5125-467.5875 MHz by the maritime mobile service in Asia </w:t>
            </w:r>
            <w:r w:rsidRPr="00F3563D">
              <w:rPr>
                <w:rFonts w:ascii="Arial" w:hAnsi="Arial" w:cs="Arial"/>
                <w:kern w:val="2"/>
                <w:lang w:val="en-US" w:eastAsia="ko-KR"/>
              </w:rPr>
              <w:lastRenderedPageBreak/>
              <w:t>Pacific region</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lastRenderedPageBreak/>
              <w:t>TG A&amp;M</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AWG-27</w:t>
            </w:r>
          </w:p>
        </w:tc>
      </w:tr>
      <w:tr w:rsidR="00F3563D" w:rsidRPr="00F3563D" w:rsidTr="00C37928">
        <w:trPr>
          <w:trHeight w:val="136"/>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lastRenderedPageBreak/>
              <w:t>29</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hAnsi="Arial" w:cs="Arial"/>
                <w:color w:val="000000"/>
                <w:lang w:val="en-US" w:eastAsia="ja-JP" w:bidi="th-TH"/>
              </w:rPr>
              <w:t>Implementation of Public Safety LTE (PS-LTE) networks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Sub-WG IMT (jointly with TG PPDR)</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rPr>
          <w:trHeight w:val="136"/>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30</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eastAsia="MS Gothic" w:hAnsi="Arial" w:cs="Arial"/>
                <w:bCs/>
                <w:kern w:val="2"/>
                <w:lang w:val="en-US" w:eastAsia="ko-KR"/>
              </w:rPr>
              <w:t>System deployment and relevant testing studies of Railway Radiocommunication System between Train and Trackside (RSTT) in APT countries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RR</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r w:rsidR="00F3563D" w:rsidRPr="00F3563D" w:rsidTr="00C37928">
        <w:trPr>
          <w:trHeight w:val="136"/>
        </w:trPr>
        <w:tc>
          <w:tcPr>
            <w:tcW w:w="325"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31</w:t>
            </w:r>
          </w:p>
        </w:tc>
        <w:tc>
          <w:tcPr>
            <w:tcW w:w="17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119BE">
            <w:pPr>
              <w:spacing w:before="60" w:after="60"/>
              <w:rPr>
                <w:rFonts w:ascii="Arial" w:hAnsi="Arial" w:cs="Arial"/>
                <w:color w:val="000000"/>
                <w:lang w:val="en-US" w:eastAsia="ja-JP" w:bidi="th-TH"/>
              </w:rPr>
            </w:pPr>
            <w:r w:rsidRPr="00F3563D">
              <w:rPr>
                <w:rFonts w:ascii="Arial" w:hAnsi="Arial" w:cs="Arial"/>
                <w:kern w:val="2"/>
                <w:lang w:val="en-US" w:eastAsia="zh-CN"/>
              </w:rPr>
              <w:t>R</w:t>
            </w:r>
            <w:r w:rsidRPr="00F3563D">
              <w:rPr>
                <w:rFonts w:ascii="Arial" w:eastAsia="MS Gothic" w:hAnsi="Arial" w:cs="Arial"/>
                <w:kern w:val="2"/>
                <w:lang w:val="en-US" w:eastAsia="ko-KR"/>
              </w:rPr>
              <w:t>ailway radiocommunication system for passengers’ access to information and Internet services</w:t>
            </w:r>
          </w:p>
        </w:tc>
        <w:tc>
          <w:tcPr>
            <w:tcW w:w="88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TG RR</w:t>
            </w:r>
          </w:p>
        </w:tc>
        <w:tc>
          <w:tcPr>
            <w:tcW w:w="1238"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F3563D">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Report</w:t>
            </w:r>
          </w:p>
        </w:tc>
        <w:tc>
          <w:tcPr>
            <w:tcW w:w="760" w:type="pct"/>
            <w:tcBorders>
              <w:top w:val="single" w:sz="4" w:space="0" w:color="000000"/>
              <w:left w:val="single" w:sz="4" w:space="0" w:color="000000"/>
              <w:bottom w:val="single" w:sz="4" w:space="0" w:color="000000"/>
              <w:right w:val="single" w:sz="4" w:space="0" w:color="000000"/>
            </w:tcBorders>
            <w:hideMark/>
          </w:tcPr>
          <w:p w:rsidR="00F3563D" w:rsidRPr="00F3563D" w:rsidRDefault="00F3563D" w:rsidP="00276849">
            <w:pPr>
              <w:spacing w:before="100" w:beforeAutospacing="1" w:after="100" w:afterAutospacing="1"/>
              <w:jc w:val="center"/>
              <w:rPr>
                <w:rFonts w:ascii="Arial" w:hAnsi="Arial" w:cs="Arial"/>
                <w:color w:val="000000"/>
                <w:lang w:val="en-US" w:eastAsia="ja-JP" w:bidi="th-TH"/>
              </w:rPr>
            </w:pPr>
            <w:r w:rsidRPr="00F3563D">
              <w:rPr>
                <w:rFonts w:ascii="Arial" w:hAnsi="Arial" w:cs="Arial"/>
                <w:color w:val="000000"/>
                <w:lang w:val="en-US" w:eastAsia="ja-JP" w:bidi="th-TH"/>
              </w:rPr>
              <w:t>AWG-25</w:t>
            </w:r>
          </w:p>
        </w:tc>
      </w:tr>
    </w:tbl>
    <w:p w:rsidR="00A73945" w:rsidRDefault="00A73945" w:rsidP="00A73945">
      <w:pPr>
        <w:tabs>
          <w:tab w:val="left" w:pos="340"/>
        </w:tabs>
        <w:spacing w:before="60" w:after="0" w:line="288" w:lineRule="auto"/>
        <w:jc w:val="both"/>
        <w:rPr>
          <w:rFonts w:ascii="Arial" w:eastAsia="Calibri" w:hAnsi="Arial" w:cs="Times New Roman"/>
          <w:sz w:val="20"/>
          <w:lang w:val="en-GB"/>
        </w:rPr>
      </w:pPr>
    </w:p>
    <w:p w:rsidR="00A73945" w:rsidRPr="00375A62" w:rsidRDefault="00A73945" w:rsidP="00276849">
      <w:pPr>
        <w:spacing w:after="120"/>
        <w:rPr>
          <w:rFonts w:ascii="Arial" w:hAnsi="Arial" w:cs="Arial"/>
          <w:sz w:val="20"/>
          <w:szCs w:val="20"/>
          <w:lang w:val="en-US" w:eastAsia="da-DK"/>
        </w:rPr>
      </w:pPr>
      <w:r w:rsidRPr="00375A62">
        <w:rPr>
          <w:rFonts w:ascii="Arial" w:hAnsi="Arial" w:cs="Arial"/>
          <w:sz w:val="20"/>
          <w:szCs w:val="20"/>
          <w:lang w:val="en-US" w:eastAsia="da-DK"/>
        </w:rPr>
        <w:t xml:space="preserve">The following </w:t>
      </w:r>
      <w:r w:rsidR="00273168" w:rsidRPr="00375A62">
        <w:rPr>
          <w:rFonts w:ascii="Arial" w:hAnsi="Arial" w:cs="Arial"/>
          <w:sz w:val="20"/>
          <w:szCs w:val="20"/>
          <w:lang w:val="en-US" w:eastAsia="da-DK"/>
        </w:rPr>
        <w:t>questionnaire</w:t>
      </w:r>
      <w:r w:rsidR="000164D8">
        <w:rPr>
          <w:rFonts w:ascii="Arial" w:hAnsi="Arial" w:cs="Arial"/>
          <w:sz w:val="20"/>
          <w:szCs w:val="20"/>
          <w:lang w:val="en-US" w:eastAsia="da-DK"/>
        </w:rPr>
        <w:t xml:space="preserve"> was</w:t>
      </w:r>
      <w:r w:rsidRPr="00375A62">
        <w:rPr>
          <w:rFonts w:ascii="Arial" w:hAnsi="Arial" w:cs="Arial"/>
          <w:sz w:val="20"/>
          <w:szCs w:val="20"/>
          <w:lang w:val="en-US" w:eastAsia="da-DK"/>
        </w:rPr>
        <w:t xml:space="preserve"> distributed following AWG-2</w:t>
      </w:r>
      <w:r w:rsidR="00E27F65">
        <w:rPr>
          <w:rFonts w:ascii="Arial" w:hAnsi="Arial" w:cs="Arial"/>
          <w:sz w:val="20"/>
          <w:szCs w:val="20"/>
          <w:lang w:val="en-US" w:eastAsia="da-DK"/>
        </w:rPr>
        <w:t>4</w:t>
      </w:r>
      <w:r w:rsidRPr="00375A62">
        <w:rPr>
          <w:rFonts w:ascii="Arial" w:hAnsi="Arial" w:cs="Arial"/>
          <w:sz w:val="20"/>
          <w:szCs w:val="20"/>
          <w:lang w:val="en-US" w:eastAsia="da-DK"/>
        </w:rPr>
        <w:t>:</w:t>
      </w:r>
    </w:p>
    <w:p w:rsidR="00E27F65" w:rsidRPr="00D61C13" w:rsidRDefault="00DE5259" w:rsidP="00276849">
      <w:pPr>
        <w:spacing w:after="120"/>
        <w:rPr>
          <w:rFonts w:ascii="Arial" w:hAnsi="Arial" w:cs="Arial"/>
          <w:sz w:val="20"/>
          <w:szCs w:val="20"/>
          <w:lang w:val="en-US"/>
        </w:rPr>
      </w:pPr>
      <w:hyperlink r:id="rId20" w:history="1">
        <w:r w:rsidR="00E27F65" w:rsidRPr="00D61C13">
          <w:rPr>
            <w:rStyle w:val="Hyperlink"/>
            <w:rFonts w:ascii="Arial" w:hAnsi="Arial" w:cs="Arial"/>
            <w:sz w:val="20"/>
            <w:szCs w:val="20"/>
            <w:lang w:val="en-US"/>
          </w:rPr>
          <w:t>Questionnaire on Vehicle-Mounted Earth Stations (VMES) operating with GSO FSS netwo</w:t>
        </w:r>
        <w:r w:rsidR="000164D8" w:rsidRPr="00D61C13">
          <w:rPr>
            <w:rStyle w:val="Hyperlink"/>
            <w:rFonts w:ascii="Arial" w:hAnsi="Arial" w:cs="Arial"/>
            <w:sz w:val="20"/>
            <w:szCs w:val="20"/>
            <w:lang w:val="en-US"/>
          </w:rPr>
          <w:t>r</w:t>
        </w:r>
        <w:r w:rsidR="00E27F65" w:rsidRPr="00D61C13">
          <w:rPr>
            <w:rStyle w:val="Hyperlink"/>
            <w:rFonts w:ascii="Arial" w:hAnsi="Arial" w:cs="Arial"/>
            <w:sz w:val="20"/>
            <w:szCs w:val="20"/>
            <w:lang w:val="en-US"/>
          </w:rPr>
          <w:t>ks in the Ku-band in APT countries</w:t>
        </w:r>
      </w:hyperlink>
    </w:p>
    <w:p w:rsidR="00E27F65" w:rsidRDefault="00E27F65" w:rsidP="00276849">
      <w:pPr>
        <w:spacing w:after="120"/>
        <w:rPr>
          <w:rFonts w:ascii="Arial" w:hAnsi="Arial" w:cs="Arial"/>
          <w:sz w:val="20"/>
          <w:szCs w:val="20"/>
          <w:lang w:val="en-US"/>
        </w:rPr>
      </w:pPr>
      <w:r w:rsidRPr="00D61C13">
        <w:rPr>
          <w:rFonts w:ascii="Arial" w:hAnsi="Arial" w:cs="Arial"/>
          <w:sz w:val="20"/>
          <w:szCs w:val="20"/>
          <w:lang w:val="en-US"/>
        </w:rPr>
        <w:t>One example of the use of this application may be the instantaneous and ubiquitous wide-area delivery of software updates to automobiles worldwide, thus averting expensive and time-wasting recalls of vehicles. This proposed work item is intended to study individual Vehicle-Mounted Earth Stations (VMES; VMES within the family of ITS applications: ‘ITS via satellite’) operating with GSO networks within the fixed satellite service (FSS) allocations 10.7-12.75 GHz (space-to-Earth) and 14.0-14.50 GHz (Earth-to-space), depending on national allocations. The proposal is to develop an APT Report addressing the use of VMES operating with GSO networks in the FSS allocations within the frequency bands 10.7-12.75 GHz (space-to-Earth) and 14.0-14.50 GHz (Earth-to-space).</w:t>
      </w:r>
      <w:r w:rsidR="004E29B2">
        <w:rPr>
          <w:rFonts w:ascii="Arial" w:hAnsi="Arial" w:cs="Arial"/>
          <w:sz w:val="20"/>
          <w:szCs w:val="20"/>
          <w:lang w:val="en-US"/>
        </w:rPr>
        <w:t xml:space="preserve"> This could be of interest for FM44.</w:t>
      </w:r>
    </w:p>
    <w:p w:rsidR="00D61C13" w:rsidRDefault="00D61C13" w:rsidP="00276849">
      <w:pPr>
        <w:spacing w:after="120"/>
        <w:rPr>
          <w:rFonts w:ascii="Arial" w:hAnsi="Arial" w:cs="Arial"/>
          <w:sz w:val="20"/>
          <w:szCs w:val="20"/>
          <w:lang w:val="en-US"/>
        </w:rPr>
      </w:pPr>
      <w:r>
        <w:rPr>
          <w:rFonts w:ascii="Arial" w:hAnsi="Arial" w:cs="Arial"/>
          <w:sz w:val="20"/>
          <w:szCs w:val="20"/>
          <w:lang w:val="en-US"/>
        </w:rPr>
        <w:t>Several working documents (drafts) exist within APT AWG, amongst others</w:t>
      </w:r>
      <w:r w:rsidR="004E29B2">
        <w:rPr>
          <w:rFonts w:ascii="Arial" w:hAnsi="Arial" w:cs="Arial"/>
          <w:sz w:val="20"/>
          <w:szCs w:val="20"/>
          <w:lang w:val="en-US"/>
        </w:rPr>
        <w:t xml:space="preserve"> (in brackets the group inside ECC which could be interested)</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Working Document towards a Preliminary Draft New Report on “Cellular Based V2X for ITS Applications in APT Countries”</w:t>
      </w:r>
      <w:r w:rsidR="004E29B2">
        <w:rPr>
          <w:rFonts w:ascii="Arial" w:hAnsi="Arial" w:cs="Arial"/>
          <w:sz w:val="20"/>
          <w:szCs w:val="20"/>
          <w:lang w:val="en-US"/>
        </w:rPr>
        <w:t xml:space="preserve"> (SRD/MG, SE24)</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Working Document towards a Preliminary Draft New Report on “</w:t>
      </w:r>
      <w:proofErr w:type="spellStart"/>
      <w:r w:rsidRPr="00D61C13">
        <w:rPr>
          <w:rFonts w:ascii="Arial" w:hAnsi="Arial" w:cs="Arial"/>
          <w:sz w:val="20"/>
          <w:szCs w:val="20"/>
          <w:lang w:val="en-US"/>
        </w:rPr>
        <w:t>Milimeter</w:t>
      </w:r>
      <w:proofErr w:type="spellEnd"/>
      <w:r w:rsidRPr="00D61C13">
        <w:rPr>
          <w:rFonts w:ascii="Arial" w:hAnsi="Arial" w:cs="Arial"/>
          <w:sz w:val="20"/>
          <w:szCs w:val="20"/>
          <w:lang w:val="en-US"/>
        </w:rPr>
        <w:t xml:space="preserve"> Wave ITS Applications in APT countries”</w:t>
      </w:r>
      <w:r w:rsidR="004E29B2">
        <w:rPr>
          <w:rFonts w:ascii="Arial" w:hAnsi="Arial" w:cs="Arial"/>
          <w:sz w:val="20"/>
          <w:szCs w:val="20"/>
          <w:lang w:val="en-US"/>
        </w:rPr>
        <w:t xml:space="preserve"> (SRD/MG)</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 xml:space="preserve">Working Document towards a Draft New APT Report on </w:t>
      </w:r>
      <w:r>
        <w:rPr>
          <w:rFonts w:ascii="Arial" w:hAnsi="Arial" w:cs="Arial"/>
          <w:sz w:val="20"/>
          <w:szCs w:val="20"/>
          <w:lang w:val="en-US"/>
        </w:rPr>
        <w:t>“</w:t>
      </w:r>
      <w:r w:rsidRPr="00D61C13">
        <w:rPr>
          <w:rFonts w:ascii="Arial" w:hAnsi="Arial" w:cs="Arial"/>
          <w:sz w:val="20"/>
          <w:szCs w:val="20"/>
          <w:lang w:val="en-US"/>
        </w:rPr>
        <w:t>System deployment and relevant testing studies of Railway Radiocommunication System between Train and Trackside (RSTT) in APT countries</w:t>
      </w:r>
      <w:r>
        <w:rPr>
          <w:rFonts w:ascii="Arial" w:hAnsi="Arial" w:cs="Arial"/>
          <w:sz w:val="20"/>
          <w:szCs w:val="20"/>
          <w:lang w:val="en-US"/>
        </w:rPr>
        <w:t>”</w:t>
      </w:r>
      <w:r w:rsidR="004E29B2">
        <w:rPr>
          <w:rFonts w:ascii="Arial" w:hAnsi="Arial" w:cs="Arial"/>
          <w:sz w:val="20"/>
          <w:szCs w:val="20"/>
          <w:lang w:val="en-US"/>
        </w:rPr>
        <w:t xml:space="preserve"> (FM56)</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 xml:space="preserve">Working Document towards a Preliminary Draft New APT Report on </w:t>
      </w:r>
      <w:r>
        <w:rPr>
          <w:rFonts w:ascii="Arial" w:hAnsi="Arial" w:cs="Arial"/>
          <w:sz w:val="20"/>
          <w:szCs w:val="20"/>
          <w:lang w:val="en-US"/>
        </w:rPr>
        <w:t>“</w:t>
      </w:r>
      <w:r w:rsidRPr="00D61C13">
        <w:rPr>
          <w:rFonts w:ascii="Arial" w:hAnsi="Arial" w:cs="Arial"/>
          <w:sz w:val="20"/>
          <w:szCs w:val="20"/>
          <w:lang w:val="en-US"/>
        </w:rPr>
        <w:t>Railway Radiocommunication System for Passengers' access to information and internet access services</w:t>
      </w:r>
      <w:r>
        <w:rPr>
          <w:rFonts w:ascii="Arial" w:hAnsi="Arial" w:cs="Arial"/>
          <w:sz w:val="20"/>
          <w:szCs w:val="20"/>
          <w:lang w:val="en-US"/>
        </w:rPr>
        <w:t>”</w:t>
      </w:r>
      <w:r w:rsidR="004E29B2">
        <w:rPr>
          <w:rFonts w:ascii="Arial" w:hAnsi="Arial" w:cs="Arial"/>
          <w:sz w:val="20"/>
          <w:szCs w:val="20"/>
          <w:lang w:val="en-US"/>
        </w:rPr>
        <w:t xml:space="preserve"> (FM56)</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 xml:space="preserve">Working Document towards a Preliminary Draft New </w:t>
      </w:r>
      <w:r>
        <w:rPr>
          <w:rFonts w:ascii="Arial" w:hAnsi="Arial" w:cs="Arial"/>
          <w:sz w:val="20"/>
          <w:szCs w:val="20"/>
          <w:lang w:val="en-US"/>
        </w:rPr>
        <w:t xml:space="preserve">APT </w:t>
      </w:r>
      <w:r w:rsidRPr="00D61C13">
        <w:rPr>
          <w:rFonts w:ascii="Arial" w:hAnsi="Arial" w:cs="Arial"/>
          <w:sz w:val="20"/>
          <w:szCs w:val="20"/>
          <w:lang w:val="en-US"/>
        </w:rPr>
        <w:t xml:space="preserve">Report on </w:t>
      </w:r>
      <w:r>
        <w:rPr>
          <w:rFonts w:ascii="Arial" w:hAnsi="Arial" w:cs="Arial"/>
          <w:sz w:val="20"/>
          <w:szCs w:val="20"/>
          <w:lang w:val="en-US"/>
        </w:rPr>
        <w:t>“S</w:t>
      </w:r>
      <w:r w:rsidRPr="00D61C13">
        <w:rPr>
          <w:rFonts w:ascii="Arial" w:hAnsi="Arial" w:cs="Arial"/>
          <w:sz w:val="20"/>
          <w:szCs w:val="20"/>
          <w:lang w:val="en-US"/>
        </w:rPr>
        <w:t>pectrum monitoring techniques and methods under multipath environment</w:t>
      </w:r>
      <w:r>
        <w:rPr>
          <w:rFonts w:ascii="Arial" w:hAnsi="Arial" w:cs="Arial"/>
          <w:sz w:val="20"/>
          <w:szCs w:val="20"/>
          <w:lang w:val="en-US"/>
        </w:rPr>
        <w:t>”</w:t>
      </w:r>
      <w:r w:rsidR="004E29B2">
        <w:rPr>
          <w:rFonts w:ascii="Arial" w:hAnsi="Arial" w:cs="Arial"/>
          <w:sz w:val="20"/>
          <w:szCs w:val="20"/>
          <w:lang w:val="en-US"/>
        </w:rPr>
        <w:t xml:space="preserve"> (FM22)</w:t>
      </w:r>
      <w:r>
        <w:rPr>
          <w:rFonts w:ascii="Arial" w:hAnsi="Arial" w:cs="Arial"/>
          <w:sz w:val="20"/>
          <w:szCs w:val="20"/>
          <w:lang w:val="en-US"/>
        </w:rPr>
        <w:t>;</w:t>
      </w:r>
    </w:p>
    <w:p w:rsidR="00D61C13" w:rsidRDefault="00D61C13" w:rsidP="00481D8C">
      <w:pPr>
        <w:pStyle w:val="ListParagraph"/>
        <w:numPr>
          <w:ilvl w:val="0"/>
          <w:numId w:val="9"/>
        </w:numPr>
        <w:rPr>
          <w:rFonts w:ascii="Arial" w:hAnsi="Arial" w:cs="Arial"/>
          <w:sz w:val="20"/>
          <w:szCs w:val="20"/>
          <w:lang w:val="en-US"/>
        </w:rPr>
      </w:pPr>
      <w:r w:rsidRPr="00D61C13">
        <w:rPr>
          <w:rFonts w:ascii="Arial" w:hAnsi="Arial" w:cs="Arial"/>
          <w:sz w:val="20"/>
          <w:szCs w:val="20"/>
          <w:lang w:val="en-US"/>
        </w:rPr>
        <w:t xml:space="preserve">Working Document towards a preliminary Draft New APT Report on </w:t>
      </w:r>
      <w:r w:rsidR="004E29B2">
        <w:rPr>
          <w:rFonts w:ascii="Arial" w:hAnsi="Arial" w:cs="Arial"/>
          <w:sz w:val="20"/>
          <w:szCs w:val="20"/>
          <w:lang w:val="en-US"/>
        </w:rPr>
        <w:t>“C</w:t>
      </w:r>
      <w:r w:rsidRPr="00D61C13">
        <w:rPr>
          <w:rFonts w:ascii="Arial" w:hAnsi="Arial" w:cs="Arial"/>
          <w:sz w:val="20"/>
          <w:szCs w:val="20"/>
          <w:lang w:val="en-US"/>
        </w:rPr>
        <w:t>urrent status and future plan of implementation and deployment of IMT-2020 (5G) in Asia-Pacific region</w:t>
      </w:r>
      <w:r w:rsidR="004E29B2">
        <w:rPr>
          <w:rFonts w:ascii="Arial" w:hAnsi="Arial" w:cs="Arial"/>
          <w:sz w:val="20"/>
          <w:szCs w:val="20"/>
          <w:lang w:val="en-US"/>
        </w:rPr>
        <w:t>” (ECC PT1);</w:t>
      </w:r>
    </w:p>
    <w:p w:rsidR="004E29B2" w:rsidRDefault="004E29B2" w:rsidP="00481D8C">
      <w:pPr>
        <w:pStyle w:val="ListParagraph"/>
        <w:numPr>
          <w:ilvl w:val="0"/>
          <w:numId w:val="9"/>
        </w:numPr>
        <w:rPr>
          <w:rFonts w:ascii="Arial" w:hAnsi="Arial" w:cs="Arial"/>
          <w:sz w:val="20"/>
          <w:szCs w:val="20"/>
          <w:lang w:val="en-US"/>
        </w:rPr>
      </w:pPr>
      <w:r w:rsidRPr="004E29B2">
        <w:rPr>
          <w:rFonts w:ascii="Arial" w:hAnsi="Arial" w:cs="Arial"/>
          <w:sz w:val="20"/>
          <w:szCs w:val="20"/>
          <w:lang w:val="en-US"/>
        </w:rPr>
        <w:t xml:space="preserve">Working Document towards a Preliminary Draft New Report on </w:t>
      </w:r>
      <w:r>
        <w:rPr>
          <w:rFonts w:ascii="Arial" w:hAnsi="Arial" w:cs="Arial"/>
          <w:sz w:val="20"/>
          <w:szCs w:val="20"/>
          <w:lang w:val="en-US"/>
        </w:rPr>
        <w:t>“M</w:t>
      </w:r>
      <w:r w:rsidRPr="004E29B2">
        <w:rPr>
          <w:rFonts w:ascii="Arial" w:hAnsi="Arial" w:cs="Arial"/>
          <w:sz w:val="20"/>
          <w:szCs w:val="20"/>
          <w:lang w:val="en-US"/>
        </w:rPr>
        <w:t>itigation measures to improve coexistence of 4G-LTE and 5G-NR systems in the 3400 - 3600 GHZ MH</w:t>
      </w:r>
      <w:r>
        <w:rPr>
          <w:rFonts w:ascii="Arial" w:hAnsi="Arial" w:cs="Arial"/>
          <w:sz w:val="20"/>
          <w:szCs w:val="20"/>
          <w:lang w:val="en-US"/>
        </w:rPr>
        <w:t>z</w:t>
      </w:r>
      <w:r w:rsidRPr="004E29B2">
        <w:rPr>
          <w:rFonts w:ascii="Arial" w:hAnsi="Arial" w:cs="Arial"/>
          <w:sz w:val="20"/>
          <w:szCs w:val="20"/>
          <w:lang w:val="en-US"/>
        </w:rPr>
        <w:t xml:space="preserve"> band with other systems operating in adjacent spectrum</w:t>
      </w:r>
      <w:r>
        <w:rPr>
          <w:rFonts w:ascii="Arial" w:hAnsi="Arial" w:cs="Arial"/>
          <w:sz w:val="20"/>
          <w:szCs w:val="20"/>
          <w:lang w:val="en-US"/>
        </w:rPr>
        <w:t>” (ECC PT1);</w:t>
      </w:r>
    </w:p>
    <w:p w:rsidR="00375A62" w:rsidRPr="004E29B2" w:rsidRDefault="004E29B2" w:rsidP="00481D8C">
      <w:pPr>
        <w:pStyle w:val="ListParagraph"/>
        <w:numPr>
          <w:ilvl w:val="0"/>
          <w:numId w:val="9"/>
        </w:numPr>
        <w:tabs>
          <w:tab w:val="left" w:pos="340"/>
        </w:tabs>
        <w:spacing w:before="60" w:after="0" w:line="288" w:lineRule="auto"/>
        <w:jc w:val="both"/>
        <w:rPr>
          <w:rFonts w:ascii="Arial" w:eastAsia="Calibri" w:hAnsi="Arial" w:cs="Times New Roman"/>
          <w:sz w:val="20"/>
          <w:lang w:val="en-US"/>
        </w:rPr>
      </w:pPr>
      <w:r w:rsidRPr="004E29B2">
        <w:rPr>
          <w:rFonts w:ascii="Arial" w:hAnsi="Arial" w:cs="Arial"/>
          <w:sz w:val="20"/>
          <w:szCs w:val="20"/>
          <w:lang w:val="en-US"/>
        </w:rPr>
        <w:t>Working Document towards Preliminary Draft New Report on “Broadband wireless air-to-ground communications links with passenger aircraft”</w:t>
      </w:r>
      <w:r>
        <w:rPr>
          <w:rFonts w:ascii="Arial" w:hAnsi="Arial" w:cs="Arial"/>
          <w:sz w:val="20"/>
          <w:szCs w:val="20"/>
          <w:lang w:val="en-US"/>
        </w:rPr>
        <w:t xml:space="preserve"> (WG FM)</w:t>
      </w:r>
      <w:r w:rsidRPr="004E29B2">
        <w:rPr>
          <w:rFonts w:ascii="Arial" w:hAnsi="Arial" w:cs="Arial"/>
          <w:sz w:val="20"/>
          <w:szCs w:val="20"/>
          <w:lang w:val="en-US"/>
        </w:rPr>
        <w:t>.</w:t>
      </w:r>
      <w:r w:rsidR="009443AD">
        <w:rPr>
          <w:rFonts w:ascii="Arial" w:hAnsi="Arial" w:cs="Arial"/>
          <w:sz w:val="20"/>
          <w:szCs w:val="20"/>
          <w:lang w:val="en-US"/>
        </w:rPr>
        <w:t xml:space="preserve"> This working document includes information from Europe and about a Project using frequencies close to 40 GHz in Japan but no further information about any BB-DA2G projects in Asia under development (e.g. developments in China as reported in the last Bulletin).</w:t>
      </w:r>
    </w:p>
    <w:p w:rsidR="001F27FB" w:rsidRPr="001F27FB" w:rsidRDefault="001F27FB" w:rsidP="001F27FB">
      <w:pPr>
        <w:spacing w:before="240" w:after="60" w:line="240" w:lineRule="auto"/>
        <w:jc w:val="both"/>
        <w:rPr>
          <w:rFonts w:ascii="Arial" w:eastAsia="Calibri" w:hAnsi="Arial" w:cs="Arial"/>
          <w:sz w:val="20"/>
          <w:lang w:val="en-GB"/>
        </w:rPr>
      </w:pPr>
      <w:r w:rsidRPr="001F27FB">
        <w:rPr>
          <w:rFonts w:ascii="Arial" w:eastAsia="Calibri" w:hAnsi="Arial" w:cs="Arial"/>
          <w:sz w:val="20"/>
          <w:lang w:val="en-GB"/>
        </w:rPr>
        <w:lastRenderedPageBreak/>
        <w:t xml:space="preserve">The recent APT e-Newsletters are available under: </w:t>
      </w:r>
      <w:hyperlink r:id="rId21" w:history="1">
        <w:r w:rsidR="00D61C13" w:rsidRPr="00644D65">
          <w:rPr>
            <w:rStyle w:val="Hyperlink"/>
            <w:rFonts w:ascii="Arial" w:eastAsia="Calibri" w:hAnsi="Arial" w:cs="Arial"/>
            <w:sz w:val="20"/>
            <w:lang w:val="en-GB"/>
          </w:rPr>
          <w:t>https://www.apt.int/Publications</w:t>
        </w:r>
      </w:hyperlink>
      <w:r w:rsidR="00D61C13">
        <w:rPr>
          <w:rFonts w:ascii="Arial" w:eastAsia="Calibri" w:hAnsi="Arial" w:cs="Arial"/>
          <w:sz w:val="20"/>
          <w:lang w:val="en-GB"/>
        </w:rPr>
        <w:t xml:space="preserve"> </w:t>
      </w:r>
      <w:r w:rsidRPr="001F27FB">
        <w:rPr>
          <w:rFonts w:ascii="Arial" w:eastAsia="Calibri" w:hAnsi="Arial" w:cs="Arial"/>
          <w:sz w:val="20"/>
          <w:lang w:val="en-GB"/>
        </w:rPr>
        <w:t xml:space="preserve">(last edition from </w:t>
      </w:r>
      <w:r w:rsidR="00D61C13">
        <w:rPr>
          <w:rFonts w:ascii="Arial" w:eastAsia="Calibri" w:hAnsi="Arial" w:cs="Arial"/>
          <w:sz w:val="20"/>
          <w:lang w:val="en-GB"/>
        </w:rPr>
        <w:t>September</w:t>
      </w:r>
      <w:r w:rsidRPr="001F27FB">
        <w:rPr>
          <w:rFonts w:ascii="Arial" w:eastAsia="Calibri" w:hAnsi="Arial" w:cs="Arial"/>
          <w:sz w:val="20"/>
          <w:lang w:val="en-GB"/>
        </w:rPr>
        <w:t xml:space="preserve"> 201</w:t>
      </w:r>
      <w:r w:rsidR="00375A62">
        <w:rPr>
          <w:rFonts w:ascii="Arial" w:eastAsia="Calibri" w:hAnsi="Arial" w:cs="Arial"/>
          <w:sz w:val="20"/>
          <w:lang w:val="en-GB"/>
        </w:rPr>
        <w:t>8</w:t>
      </w:r>
      <w:r w:rsidRPr="001F27FB">
        <w:rPr>
          <w:rFonts w:ascii="Arial" w:eastAsia="Calibri" w:hAnsi="Arial" w:cs="Arial"/>
          <w:sz w:val="20"/>
          <w:lang w:val="en-GB"/>
        </w:rPr>
        <w:t xml:space="preserve">). </w:t>
      </w:r>
    </w:p>
    <w:p w:rsidR="00E676C0" w:rsidRDefault="001F27FB" w:rsidP="001F27FB">
      <w:pPr>
        <w:spacing w:before="240" w:after="60" w:line="240" w:lineRule="auto"/>
        <w:jc w:val="both"/>
        <w:rPr>
          <w:rFonts w:ascii="Arial" w:eastAsia="Calibri" w:hAnsi="Arial" w:cs="Arial"/>
          <w:b/>
          <w:sz w:val="20"/>
          <w:lang w:val="en-GB"/>
        </w:rPr>
      </w:pPr>
      <w:r w:rsidRPr="001F27FB">
        <w:rPr>
          <w:rFonts w:ascii="Arial" w:eastAsia="Calibri" w:hAnsi="Arial" w:cs="Arial"/>
          <w:b/>
          <w:sz w:val="20"/>
          <w:lang w:val="en-GB"/>
        </w:rPr>
        <w:t>(</w:t>
      </w:r>
      <w:proofErr w:type="gramStart"/>
      <w:r w:rsidR="00D2735D">
        <w:rPr>
          <w:rFonts w:ascii="Arial" w:eastAsia="Calibri" w:hAnsi="Arial" w:cs="Arial"/>
          <w:b/>
          <w:sz w:val="20"/>
          <w:lang w:val="en-GB"/>
        </w:rPr>
        <w:t>for</w:t>
      </w:r>
      <w:proofErr w:type="gramEnd"/>
      <w:r w:rsidR="00D2735D">
        <w:rPr>
          <w:rFonts w:ascii="Arial" w:eastAsia="Calibri" w:hAnsi="Arial" w:cs="Arial"/>
          <w:b/>
          <w:sz w:val="20"/>
          <w:lang w:val="en-GB"/>
        </w:rPr>
        <w:t xml:space="preserve"> information in </w:t>
      </w:r>
      <w:r w:rsidRPr="001F27FB">
        <w:rPr>
          <w:rFonts w:ascii="Arial" w:eastAsia="Calibri" w:hAnsi="Arial" w:cs="Arial"/>
          <w:b/>
          <w:sz w:val="20"/>
          <w:lang w:val="en-GB"/>
        </w:rPr>
        <w:t>ECC PT1, WG FM (incl. PTs and SRD/MG), WG SE</w:t>
      </w:r>
      <w:r w:rsidR="00D2735D">
        <w:rPr>
          <w:rFonts w:ascii="Arial" w:eastAsia="Calibri" w:hAnsi="Arial" w:cs="Arial"/>
          <w:b/>
          <w:sz w:val="20"/>
          <w:lang w:val="en-GB"/>
        </w:rPr>
        <w:t>, and CPG</w:t>
      </w:r>
      <w:r w:rsidRPr="001F27FB">
        <w:rPr>
          <w:rFonts w:ascii="Arial" w:eastAsia="Calibri" w:hAnsi="Arial" w:cs="Arial"/>
          <w:b/>
          <w:sz w:val="20"/>
          <w:lang w:val="en-GB"/>
        </w:rPr>
        <w:t>)</w:t>
      </w:r>
    </w:p>
    <w:p w:rsidR="001F27FB" w:rsidRDefault="004E29B2"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t>USA</w:t>
      </w:r>
      <w:r w:rsidR="00375A62">
        <w:rPr>
          <w:rFonts w:ascii="Arial" w:eastAsia="Times New Roman" w:hAnsi="Arial" w:cs="Arial"/>
          <w:b/>
          <w:bCs/>
          <w:caps/>
          <w:color w:val="D2232A"/>
          <w:kern w:val="32"/>
          <w:sz w:val="20"/>
          <w:szCs w:val="32"/>
          <w:lang w:val="en-US"/>
        </w:rPr>
        <w:t xml:space="preserve"> – </w:t>
      </w:r>
      <w:r w:rsidR="00E676C0">
        <w:rPr>
          <w:rFonts w:ascii="Arial" w:eastAsia="Times New Roman" w:hAnsi="Arial" w:cs="Arial"/>
          <w:b/>
          <w:bCs/>
          <w:caps/>
          <w:color w:val="D2232A"/>
          <w:kern w:val="32"/>
          <w:sz w:val="20"/>
          <w:szCs w:val="32"/>
          <w:lang w:val="en-US"/>
        </w:rPr>
        <w:t xml:space="preserve">on </w:t>
      </w:r>
      <w:r w:rsidR="00684360">
        <w:rPr>
          <w:rFonts w:ascii="Arial" w:eastAsia="Times New Roman" w:hAnsi="Arial" w:cs="Arial"/>
          <w:b/>
          <w:bCs/>
          <w:caps/>
          <w:color w:val="D2232A"/>
          <w:kern w:val="32"/>
          <w:sz w:val="20"/>
          <w:szCs w:val="32"/>
          <w:lang w:val="en-US"/>
        </w:rPr>
        <w:t>5.9 GHz ITS</w:t>
      </w:r>
    </w:p>
    <w:p w:rsidR="00E676C0" w:rsidRPr="009A3A38" w:rsidRDefault="00684360" w:rsidP="00192D2C">
      <w:pPr>
        <w:spacing w:line="240" w:lineRule="auto"/>
        <w:jc w:val="both"/>
        <w:rPr>
          <w:rFonts w:ascii="Arial" w:eastAsia="Calibri" w:hAnsi="Arial" w:cs="Arial"/>
          <w:sz w:val="20"/>
          <w:szCs w:val="20"/>
          <w:lang w:val="en-GB"/>
        </w:rPr>
      </w:pPr>
      <w:r w:rsidRPr="009A3A38">
        <w:rPr>
          <w:rFonts w:ascii="Arial" w:hAnsi="Arial" w:cs="Arial"/>
          <w:sz w:val="20"/>
          <w:szCs w:val="20"/>
          <w:lang w:val="en-GB"/>
        </w:rPr>
        <w:t xml:space="preserve">In the USA, </w:t>
      </w:r>
      <w:r w:rsidR="00E676C0" w:rsidRPr="009A3A38">
        <w:rPr>
          <w:rFonts w:ascii="Arial" w:hAnsi="Arial" w:cs="Arial"/>
          <w:sz w:val="20"/>
          <w:szCs w:val="20"/>
          <w:lang w:val="en-GB"/>
        </w:rPr>
        <w:t>t</w:t>
      </w:r>
      <w:r w:rsidRPr="009A3A38">
        <w:rPr>
          <w:rFonts w:ascii="Arial" w:hAnsi="Arial" w:cs="Arial"/>
          <w:sz w:val="20"/>
          <w:szCs w:val="20"/>
          <w:lang w:val="en-GB"/>
        </w:rPr>
        <w:t xml:space="preserve">he Department of Transportation (DoT) and the NHTSA </w:t>
      </w:r>
      <w:r w:rsidR="00E676C0" w:rsidRPr="009A3A38">
        <w:rPr>
          <w:rFonts w:ascii="Arial" w:hAnsi="Arial" w:cs="Arial"/>
          <w:sz w:val="20"/>
          <w:szCs w:val="20"/>
          <w:lang w:val="en-GB"/>
        </w:rPr>
        <w:t xml:space="preserve">(National Highway Traffic Safety Administration) </w:t>
      </w:r>
      <w:r w:rsidRPr="009A3A38">
        <w:rPr>
          <w:rFonts w:ascii="Arial" w:hAnsi="Arial" w:cs="Arial"/>
          <w:sz w:val="20"/>
          <w:szCs w:val="20"/>
          <w:lang w:val="en-GB"/>
        </w:rPr>
        <w:t>have not made any final decision (i.e. decision postponed) on the proposed rulemaking concerning a V2V mandate which was in consultation in 2017</w:t>
      </w:r>
      <w:r w:rsidR="00E676C0" w:rsidRPr="009A3A38">
        <w:rPr>
          <w:rFonts w:ascii="Arial" w:hAnsi="Arial" w:cs="Arial"/>
          <w:sz w:val="20"/>
          <w:szCs w:val="20"/>
          <w:lang w:val="en-GB"/>
        </w:rPr>
        <w:t xml:space="preserve">. </w:t>
      </w:r>
      <w:r w:rsidRPr="009A3A38">
        <w:rPr>
          <w:rFonts w:ascii="Arial" w:eastAsia="Calibri" w:hAnsi="Arial" w:cs="Arial"/>
          <w:sz w:val="20"/>
          <w:szCs w:val="20"/>
          <w:lang w:val="en-GB"/>
        </w:rPr>
        <w:t xml:space="preserve">V2V is however kept in the DOT’s significant rulemaking report. </w:t>
      </w:r>
    </w:p>
    <w:p w:rsidR="00684360" w:rsidRPr="008D69C0" w:rsidRDefault="00684360" w:rsidP="00192D2C">
      <w:pPr>
        <w:spacing w:line="240" w:lineRule="auto"/>
        <w:jc w:val="both"/>
        <w:rPr>
          <w:rFonts w:ascii="Arial" w:eastAsia="Calibri" w:hAnsi="Arial" w:cs="Arial"/>
          <w:sz w:val="20"/>
        </w:rPr>
      </w:pPr>
      <w:r w:rsidRPr="00684360">
        <w:rPr>
          <w:rFonts w:ascii="Arial" w:eastAsia="Calibri" w:hAnsi="Arial" w:cs="Arial"/>
          <w:sz w:val="20"/>
          <w:lang w:val="en-GB"/>
        </w:rPr>
        <w:t xml:space="preserve">More recently, NHSTA has indicated its support for a technology neutral policy approach whereby the market decides whether </w:t>
      </w:r>
      <w:r w:rsidR="00E676C0">
        <w:rPr>
          <w:rFonts w:ascii="Arial" w:eastAsia="Calibri" w:hAnsi="Arial" w:cs="Arial"/>
          <w:sz w:val="20"/>
          <w:lang w:val="en-GB"/>
        </w:rPr>
        <w:t xml:space="preserve">ITS-G5 or LTE-V2X </w:t>
      </w:r>
      <w:r w:rsidRPr="00684360">
        <w:rPr>
          <w:rFonts w:ascii="Arial" w:eastAsia="Calibri" w:hAnsi="Arial" w:cs="Arial"/>
          <w:sz w:val="20"/>
          <w:lang w:val="en-GB"/>
        </w:rPr>
        <w:t>(or both) will be the preferred solution for V2X communications</w:t>
      </w:r>
      <w:r w:rsidR="00E676C0">
        <w:rPr>
          <w:rFonts w:ascii="Arial" w:eastAsia="Calibri" w:hAnsi="Arial" w:cs="Arial"/>
          <w:sz w:val="20"/>
          <w:lang w:val="en-GB"/>
        </w:rPr>
        <w:t xml:space="preserve">; see the statement from Ms </w:t>
      </w:r>
      <w:r w:rsidRPr="00684360">
        <w:rPr>
          <w:rFonts w:ascii="Arial" w:eastAsia="Calibri" w:hAnsi="Arial" w:cs="Arial"/>
          <w:sz w:val="20"/>
          <w:lang w:val="en-GB"/>
        </w:rPr>
        <w:t>Heidi King, Deputy Administrator NHSTA, “Spectrum and Connectivity in supporting Transportation Safety</w:t>
      </w:r>
      <w:r w:rsidR="00E676C0">
        <w:rPr>
          <w:rFonts w:ascii="Arial" w:eastAsia="Calibri" w:hAnsi="Arial" w:cs="Arial"/>
          <w:sz w:val="20"/>
          <w:lang w:val="en-GB"/>
        </w:rPr>
        <w:t>”; k</w:t>
      </w:r>
      <w:r w:rsidRPr="00684360">
        <w:rPr>
          <w:rFonts w:ascii="Arial" w:eastAsia="Calibri" w:hAnsi="Arial" w:cs="Arial"/>
          <w:sz w:val="20"/>
          <w:lang w:val="en-GB"/>
        </w:rPr>
        <w:t xml:space="preserve">eynote remarks at the International Symposium on Advanced Radio Technologies 2018 Conference, </w:t>
      </w:r>
      <w:r w:rsidR="00E676C0">
        <w:rPr>
          <w:rFonts w:ascii="Arial" w:eastAsia="Calibri" w:hAnsi="Arial" w:cs="Arial"/>
          <w:sz w:val="20"/>
          <w:lang w:val="en-GB"/>
        </w:rPr>
        <w:t xml:space="preserve">25 </w:t>
      </w:r>
      <w:r w:rsidRPr="00684360">
        <w:rPr>
          <w:rFonts w:ascii="Arial" w:eastAsia="Calibri" w:hAnsi="Arial" w:cs="Arial"/>
          <w:sz w:val="20"/>
          <w:lang w:val="en-GB"/>
        </w:rPr>
        <w:t xml:space="preserve">July 2018. </w:t>
      </w:r>
      <w:hyperlink r:id="rId22" w:history="1">
        <w:r w:rsidR="00E676C0" w:rsidRPr="008D69C0">
          <w:rPr>
            <w:rStyle w:val="Hyperlink"/>
            <w:rFonts w:ascii="Arial" w:eastAsia="Calibri" w:hAnsi="Arial" w:cs="Arial"/>
            <w:sz w:val="20"/>
          </w:rPr>
          <w:t>https://www.nhtsa.gov/speeches-presentations/prepared-keynote-remarks-international-symposium-advanced-radio-technologies</w:t>
        </w:r>
      </w:hyperlink>
    </w:p>
    <w:p w:rsidR="00E676C0" w:rsidRDefault="00E676C0" w:rsidP="00192D2C">
      <w:pPr>
        <w:spacing w:line="240" w:lineRule="auto"/>
        <w:jc w:val="both"/>
        <w:rPr>
          <w:rFonts w:ascii="Arial" w:eastAsia="Calibri" w:hAnsi="Arial" w:cs="Arial"/>
          <w:sz w:val="20"/>
          <w:lang w:val="en-GB"/>
        </w:rPr>
      </w:pPr>
      <w:r>
        <w:rPr>
          <w:rFonts w:ascii="Arial" w:eastAsia="Calibri" w:hAnsi="Arial" w:cs="Arial"/>
          <w:sz w:val="20"/>
          <w:lang w:val="en-GB"/>
        </w:rPr>
        <w:t>Key statements in the speed have been:</w:t>
      </w:r>
    </w:p>
    <w:p w:rsidR="00E676C0" w:rsidRPr="00E676C0" w:rsidRDefault="00E676C0" w:rsidP="00192D2C">
      <w:pPr>
        <w:spacing w:line="240" w:lineRule="auto"/>
        <w:jc w:val="both"/>
        <w:rPr>
          <w:rFonts w:ascii="Arial" w:eastAsia="Calibri" w:hAnsi="Arial" w:cs="Arial"/>
          <w:i/>
          <w:sz w:val="20"/>
          <w:lang w:val="en-GB"/>
        </w:rPr>
      </w:pPr>
      <w:r w:rsidRPr="00E676C0">
        <w:rPr>
          <w:rFonts w:ascii="Arial" w:eastAsia="Calibri" w:hAnsi="Arial" w:cs="Arial"/>
          <w:i/>
          <w:sz w:val="20"/>
          <w:lang w:val="en-GB"/>
        </w:rPr>
        <w:t xml:space="preserve">“Further, as many of you know, device-to-device communications technologies themselves are improving and changing at a fast pace — including continued advancements in DSRC (i.e. ITS-G5) as well as emerging C-V2X and even all new 5G protocols to support high-performance, direct communications between devices. The market will eventually sort out which of these may be the preferred solution for V2X communications, or even if they might </w:t>
      </w:r>
      <w:proofErr w:type="gramStart"/>
      <w:r w:rsidRPr="00E676C0">
        <w:rPr>
          <w:rFonts w:ascii="Arial" w:eastAsia="Calibri" w:hAnsi="Arial" w:cs="Arial"/>
          <w:i/>
          <w:sz w:val="20"/>
          <w:lang w:val="en-GB"/>
        </w:rPr>
        <w:t>exist</w:t>
      </w:r>
      <w:proofErr w:type="gramEnd"/>
      <w:r w:rsidRPr="00E676C0">
        <w:rPr>
          <w:rFonts w:ascii="Arial" w:eastAsia="Calibri" w:hAnsi="Arial" w:cs="Arial"/>
          <w:i/>
          <w:sz w:val="20"/>
          <w:lang w:val="en-GB"/>
        </w:rPr>
        <w:t xml:space="preserve"> side-by-side while supporting varying transportation applications.  The Department of Transportation sees great advantages in having spectrum available to allow these technologies to mature — and, avoiding policies that would force a premature, or less-considered, decision on technologies.”…</w:t>
      </w:r>
    </w:p>
    <w:p w:rsidR="00E676C0" w:rsidRPr="00E676C0" w:rsidRDefault="00E676C0" w:rsidP="00192D2C">
      <w:pPr>
        <w:spacing w:line="240" w:lineRule="auto"/>
        <w:jc w:val="both"/>
        <w:rPr>
          <w:rFonts w:ascii="Arial" w:eastAsia="Calibri" w:hAnsi="Arial" w:cs="Arial"/>
          <w:i/>
          <w:sz w:val="20"/>
          <w:lang w:val="en-GB"/>
        </w:rPr>
      </w:pPr>
      <w:r w:rsidRPr="00E676C0">
        <w:rPr>
          <w:rFonts w:ascii="Arial" w:eastAsia="Calibri" w:hAnsi="Arial" w:cs="Arial"/>
          <w:i/>
          <w:sz w:val="20"/>
          <w:lang w:val="en-GB"/>
        </w:rPr>
        <w:t>“Finally, if it is not clear already from my earlier comments about the wisdom of the marketplace, the US DoT remains technology-neutral relative to communications protocols that support V2X technology. Our historical research focused on DSRC (i.e. ITS G5) because that was the only technology available … but we are also working with industry partners to explore the new, emerging cellular V2V (CV2X) capabilities…..We are also working with NTIA to better understand leading-edge 5G communications — and to stay involved in related requirements and standards-development activities.”</w:t>
      </w:r>
    </w:p>
    <w:p w:rsidR="004F3D96" w:rsidRDefault="004F3D96" w:rsidP="00192D2C">
      <w:pPr>
        <w:spacing w:before="240" w:after="240" w:line="240" w:lineRule="auto"/>
        <w:jc w:val="both"/>
        <w:rPr>
          <w:rFonts w:ascii="Arial" w:eastAsia="Calibri" w:hAnsi="Arial" w:cs="Arial"/>
          <w:b/>
          <w:sz w:val="20"/>
          <w:lang w:val="en-US"/>
        </w:rPr>
      </w:pPr>
      <w:r w:rsidRPr="004F3D96">
        <w:rPr>
          <w:rFonts w:ascii="Arial" w:eastAsia="Calibri" w:hAnsi="Arial" w:cs="Arial"/>
          <w:b/>
          <w:sz w:val="20"/>
          <w:lang w:val="en-US"/>
        </w:rPr>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WG</w:t>
      </w:r>
      <w:r w:rsidR="00507ECE">
        <w:rPr>
          <w:rFonts w:ascii="Arial" w:eastAsia="Calibri" w:hAnsi="Arial" w:cs="Arial"/>
          <w:b/>
          <w:sz w:val="20"/>
          <w:lang w:val="en-US"/>
        </w:rPr>
        <w:t xml:space="preserve"> </w:t>
      </w:r>
      <w:r w:rsidRPr="004F3D96">
        <w:rPr>
          <w:rFonts w:ascii="Arial" w:eastAsia="Calibri" w:hAnsi="Arial" w:cs="Arial"/>
          <w:b/>
          <w:sz w:val="20"/>
          <w:lang w:val="en-US"/>
        </w:rPr>
        <w:t>FM</w:t>
      </w:r>
      <w:r w:rsidR="00E676C0">
        <w:rPr>
          <w:rFonts w:ascii="Arial" w:eastAsia="Calibri" w:hAnsi="Arial" w:cs="Arial"/>
          <w:b/>
          <w:sz w:val="20"/>
          <w:lang w:val="en-US"/>
        </w:rPr>
        <w:t xml:space="preserve"> and SRD/MG</w:t>
      </w:r>
      <w:r w:rsidRPr="004F3D96">
        <w:rPr>
          <w:rFonts w:ascii="Arial" w:eastAsia="Calibri" w:hAnsi="Arial" w:cs="Arial"/>
          <w:b/>
          <w:sz w:val="20"/>
          <w:lang w:val="en-US"/>
        </w:rPr>
        <w:t>)</w:t>
      </w:r>
    </w:p>
    <w:p w:rsidR="00AC6730" w:rsidRDefault="00AC6730"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t xml:space="preserve">USA: FCC 5G FAST Plan </w:t>
      </w:r>
    </w:p>
    <w:p w:rsidR="00AC6730" w:rsidRDefault="00AC6730" w:rsidP="00AC6730">
      <w:pPr>
        <w:spacing w:after="0" w:line="240" w:lineRule="auto"/>
        <w:rPr>
          <w:rFonts w:ascii="Arial" w:eastAsia="Calibri" w:hAnsi="Arial" w:cs="Arial"/>
          <w:sz w:val="20"/>
          <w:szCs w:val="20"/>
          <w:lang w:val="en-US" w:eastAsia="da-DK"/>
        </w:rPr>
      </w:pPr>
      <w:r w:rsidRPr="00AC6730">
        <w:rPr>
          <w:rFonts w:ascii="Arial" w:eastAsia="Calibri" w:hAnsi="Arial" w:cs="Arial"/>
          <w:sz w:val="20"/>
          <w:szCs w:val="20"/>
          <w:lang w:val="en-US" w:eastAsia="da-DK"/>
        </w:rPr>
        <w:t>The FCC 5G FAST Plan (</w:t>
      </w:r>
      <w:r w:rsidR="001F11FD">
        <w:rPr>
          <w:rFonts w:ascii="Arial" w:eastAsia="Calibri" w:hAnsi="Arial" w:cs="Arial"/>
          <w:sz w:val="20"/>
          <w:szCs w:val="20"/>
          <w:lang w:val="en-US" w:eastAsia="da-DK"/>
        </w:rPr>
        <w:t xml:space="preserve">overview document under: </w:t>
      </w:r>
      <w:hyperlink r:id="rId23" w:history="1">
        <w:r w:rsidR="001F11FD" w:rsidRPr="00644D65">
          <w:rPr>
            <w:rStyle w:val="Hyperlink"/>
            <w:rFonts w:ascii="Arial" w:eastAsia="Calibri" w:hAnsi="Arial" w:cs="Arial"/>
            <w:sz w:val="20"/>
            <w:szCs w:val="20"/>
            <w:lang w:val="en-US" w:eastAsia="da-DK"/>
          </w:rPr>
          <w:t>https://docs.fcc.gov/public/attachments/DOC-354326A1.docx</w:t>
        </w:r>
      </w:hyperlink>
      <w:r w:rsidR="0063672D">
        <w:rPr>
          <w:rFonts w:ascii="Arial" w:eastAsia="Calibri" w:hAnsi="Arial" w:cs="Arial"/>
          <w:sz w:val="20"/>
          <w:szCs w:val="20"/>
          <w:lang w:val="en-US" w:eastAsia="da-DK"/>
        </w:rPr>
        <w:t>; 1 October 2018</w:t>
      </w:r>
      <w:r w:rsidRPr="00AC6730">
        <w:rPr>
          <w:rFonts w:ascii="Arial" w:eastAsia="Calibri" w:hAnsi="Arial" w:cs="Arial"/>
          <w:sz w:val="20"/>
          <w:szCs w:val="20"/>
          <w:lang w:val="en-US" w:eastAsia="da-DK"/>
        </w:rPr>
        <w:t>)</w:t>
      </w:r>
      <w:r w:rsidR="009A3A38">
        <w:rPr>
          <w:rFonts w:ascii="Arial" w:eastAsia="Calibri" w:hAnsi="Arial" w:cs="Arial"/>
          <w:sz w:val="20"/>
          <w:szCs w:val="20"/>
          <w:lang w:val="en-US" w:eastAsia="da-DK"/>
        </w:rPr>
        <w:t>.</w:t>
      </w:r>
    </w:p>
    <w:p w:rsidR="001F11FD" w:rsidRDefault="001F11FD" w:rsidP="00AC6730">
      <w:pPr>
        <w:spacing w:after="0" w:line="240" w:lineRule="auto"/>
        <w:rPr>
          <w:rFonts w:ascii="Arial" w:eastAsia="Calibri" w:hAnsi="Arial" w:cs="Arial"/>
          <w:sz w:val="20"/>
          <w:szCs w:val="20"/>
          <w:lang w:val="en-US" w:eastAsia="da-DK"/>
        </w:rPr>
      </w:pPr>
    </w:p>
    <w:p w:rsidR="001F11FD" w:rsidRPr="0063672D" w:rsidRDefault="001F11FD" w:rsidP="00AC6730">
      <w:pPr>
        <w:spacing w:after="0" w:line="240" w:lineRule="auto"/>
        <w:rPr>
          <w:rFonts w:ascii="Arial" w:hAnsi="Arial" w:cs="Arial"/>
          <w:sz w:val="20"/>
          <w:szCs w:val="20"/>
          <w:lang w:val="en-US"/>
        </w:rPr>
      </w:pPr>
      <w:r w:rsidRPr="0063672D">
        <w:rPr>
          <w:rFonts w:ascii="Arial" w:hAnsi="Arial" w:cs="Arial"/>
          <w:sz w:val="20"/>
          <w:szCs w:val="20"/>
          <w:lang w:val="en-US"/>
        </w:rPr>
        <w:t>The FCC is taking action to make additional spectrum available for 5G services:</w:t>
      </w:r>
    </w:p>
    <w:p w:rsidR="00C81770" w:rsidRPr="00C81770" w:rsidRDefault="001F11FD" w:rsidP="00481D8C">
      <w:pPr>
        <w:pStyle w:val="ListParagraph"/>
        <w:numPr>
          <w:ilvl w:val="0"/>
          <w:numId w:val="10"/>
        </w:numPr>
        <w:spacing w:after="60" w:line="240" w:lineRule="auto"/>
        <w:rPr>
          <w:rFonts w:ascii="Arial" w:hAnsi="Arial" w:cs="Arial"/>
          <w:sz w:val="20"/>
          <w:szCs w:val="20"/>
          <w:lang w:val="en-US"/>
        </w:rPr>
      </w:pPr>
      <w:r w:rsidRPr="0063672D">
        <w:rPr>
          <w:rFonts w:ascii="Arial" w:hAnsi="Arial" w:cs="Arial"/>
          <w:sz w:val="20"/>
          <w:szCs w:val="20"/>
          <w:lang w:val="en-US"/>
        </w:rPr>
        <w:t xml:space="preserve">High-band: The FCC has made auctioning high-band, </w:t>
      </w:r>
      <w:proofErr w:type="spellStart"/>
      <w:r w:rsidR="00BF1C90" w:rsidRPr="0063672D">
        <w:rPr>
          <w:rFonts w:ascii="Arial" w:hAnsi="Arial" w:cs="Arial"/>
          <w:sz w:val="20"/>
          <w:szCs w:val="20"/>
          <w:lang w:val="en-US"/>
        </w:rPr>
        <w:t>millimet</w:t>
      </w:r>
      <w:r w:rsidR="00BF1C90">
        <w:rPr>
          <w:rFonts w:ascii="Arial" w:hAnsi="Arial" w:cs="Arial"/>
          <w:sz w:val="20"/>
          <w:szCs w:val="20"/>
          <w:lang w:val="en-US"/>
        </w:rPr>
        <w:t>re</w:t>
      </w:r>
      <w:proofErr w:type="spellEnd"/>
      <w:r w:rsidRPr="0063672D">
        <w:rPr>
          <w:rFonts w:ascii="Arial" w:hAnsi="Arial" w:cs="Arial"/>
          <w:sz w:val="20"/>
          <w:szCs w:val="20"/>
          <w:lang w:val="en-US"/>
        </w:rPr>
        <w:t xml:space="preserve">-wave spectrum a priority. The FCC will hold its first 5G spectrum auctions this year in the </w:t>
      </w:r>
      <w:r w:rsidR="00C81770" w:rsidRPr="00C81770">
        <w:rPr>
          <w:rFonts w:ascii="Arial" w:hAnsi="Arial" w:cs="Arial"/>
          <w:sz w:val="20"/>
          <w:szCs w:val="20"/>
          <w:lang w:val="en-US"/>
        </w:rPr>
        <w:t>27.5-28.35 GHz</w:t>
      </w:r>
      <w:r w:rsidRPr="0063672D">
        <w:rPr>
          <w:rFonts w:ascii="Arial" w:hAnsi="Arial" w:cs="Arial"/>
          <w:sz w:val="20"/>
          <w:szCs w:val="20"/>
          <w:lang w:val="en-US"/>
        </w:rPr>
        <w:t xml:space="preserve"> </w:t>
      </w:r>
      <w:r w:rsidR="00C81770">
        <w:rPr>
          <w:rFonts w:ascii="Arial" w:hAnsi="Arial" w:cs="Arial"/>
          <w:sz w:val="20"/>
          <w:szCs w:val="20"/>
          <w:lang w:val="en-US"/>
        </w:rPr>
        <w:t xml:space="preserve">as well as </w:t>
      </w:r>
      <w:r w:rsidR="00C81770" w:rsidRPr="00C81770">
        <w:rPr>
          <w:rFonts w:ascii="Arial" w:hAnsi="Arial" w:cs="Arial"/>
          <w:sz w:val="20"/>
          <w:szCs w:val="20"/>
          <w:lang w:val="en-US"/>
        </w:rPr>
        <w:t>24.25-24.45</w:t>
      </w:r>
      <w:r w:rsidR="00C81770">
        <w:rPr>
          <w:rFonts w:ascii="Arial" w:hAnsi="Arial" w:cs="Arial"/>
          <w:sz w:val="20"/>
          <w:szCs w:val="20"/>
          <w:lang w:val="en-US"/>
        </w:rPr>
        <w:t xml:space="preserve"> MHz and </w:t>
      </w:r>
      <w:r w:rsidR="00C81770" w:rsidRPr="00C81770">
        <w:rPr>
          <w:rFonts w:ascii="Arial" w:hAnsi="Arial" w:cs="Arial"/>
          <w:sz w:val="20"/>
          <w:szCs w:val="20"/>
          <w:lang w:val="en-US"/>
        </w:rPr>
        <w:t>24.75-25.25 GHz</w:t>
      </w:r>
      <w:r w:rsidR="00C81770">
        <w:rPr>
          <w:rFonts w:ascii="Arial" w:hAnsi="Arial" w:cs="Arial"/>
          <w:sz w:val="20"/>
          <w:szCs w:val="20"/>
          <w:lang w:val="en-US"/>
        </w:rPr>
        <w:t xml:space="preserve"> </w:t>
      </w:r>
      <w:r w:rsidRPr="0063672D">
        <w:rPr>
          <w:rFonts w:ascii="Arial" w:hAnsi="Arial" w:cs="Arial"/>
          <w:sz w:val="20"/>
          <w:szCs w:val="20"/>
          <w:lang w:val="en-US"/>
        </w:rPr>
        <w:t xml:space="preserve">bands. </w:t>
      </w:r>
      <w:r w:rsidR="00C81770" w:rsidRPr="00C81770">
        <w:rPr>
          <w:rFonts w:ascii="Arial" w:hAnsi="Arial" w:cs="Arial"/>
          <w:sz w:val="20"/>
          <w:szCs w:val="20"/>
          <w:lang w:val="en-US"/>
        </w:rPr>
        <w:t xml:space="preserve">The 28 GHz and 24 GHz band </w:t>
      </w:r>
      <w:proofErr w:type="spellStart"/>
      <w:r w:rsidR="00C81770" w:rsidRPr="00C81770">
        <w:rPr>
          <w:rFonts w:ascii="Arial" w:hAnsi="Arial" w:cs="Arial"/>
          <w:sz w:val="20"/>
          <w:szCs w:val="20"/>
          <w:lang w:val="en-US"/>
        </w:rPr>
        <w:t>licences</w:t>
      </w:r>
      <w:proofErr w:type="spellEnd"/>
      <w:r w:rsidR="00C81770" w:rsidRPr="00C81770">
        <w:rPr>
          <w:rFonts w:ascii="Arial" w:hAnsi="Arial" w:cs="Arial"/>
          <w:sz w:val="20"/>
          <w:szCs w:val="20"/>
          <w:lang w:val="en-US"/>
        </w:rPr>
        <w:t xml:space="preserve"> will be offered in two auctions with separate application and bidding processes, and concurrent application windows. The bidding for 28 GHz will commence on </w:t>
      </w:r>
      <w:r w:rsidR="00C81770">
        <w:rPr>
          <w:rFonts w:ascii="Arial" w:hAnsi="Arial" w:cs="Arial"/>
          <w:sz w:val="20"/>
          <w:szCs w:val="20"/>
          <w:lang w:val="en-US"/>
        </w:rPr>
        <w:t xml:space="preserve">14 </w:t>
      </w:r>
      <w:r w:rsidR="00C81770" w:rsidRPr="00C81770">
        <w:rPr>
          <w:rFonts w:ascii="Arial" w:hAnsi="Arial" w:cs="Arial"/>
          <w:sz w:val="20"/>
          <w:szCs w:val="20"/>
          <w:lang w:val="en-US"/>
        </w:rPr>
        <w:t xml:space="preserve">November 2018, and the bidding for 24 GHz will commence after the 28 GHz bidding concludes. The auctions will use different bidding formats to account for differences in the </w:t>
      </w:r>
      <w:proofErr w:type="spellStart"/>
      <w:r w:rsidR="00C81770" w:rsidRPr="00C81770">
        <w:rPr>
          <w:rFonts w:ascii="Arial" w:hAnsi="Arial" w:cs="Arial"/>
          <w:sz w:val="20"/>
          <w:szCs w:val="20"/>
          <w:lang w:val="en-US"/>
        </w:rPr>
        <w:t>licences</w:t>
      </w:r>
      <w:proofErr w:type="spellEnd"/>
      <w:r w:rsidR="00C81770" w:rsidRPr="00C81770">
        <w:rPr>
          <w:rFonts w:ascii="Arial" w:hAnsi="Arial" w:cs="Arial"/>
          <w:sz w:val="20"/>
          <w:szCs w:val="20"/>
          <w:lang w:val="en-US"/>
        </w:rPr>
        <w:t>:</w:t>
      </w:r>
    </w:p>
    <w:p w:rsidR="00C81770" w:rsidRPr="00C81770" w:rsidRDefault="00C81770" w:rsidP="00481D8C">
      <w:pPr>
        <w:pStyle w:val="ListParagraph"/>
        <w:numPr>
          <w:ilvl w:val="1"/>
          <w:numId w:val="3"/>
        </w:numPr>
        <w:spacing w:after="60" w:line="240" w:lineRule="auto"/>
        <w:rPr>
          <w:rFonts w:ascii="Arial" w:hAnsi="Arial" w:cs="Arial"/>
          <w:sz w:val="20"/>
          <w:szCs w:val="20"/>
          <w:lang w:val="en-US"/>
        </w:rPr>
      </w:pPr>
      <w:r w:rsidRPr="00C81770">
        <w:rPr>
          <w:rFonts w:ascii="Arial" w:hAnsi="Arial" w:cs="Arial"/>
          <w:sz w:val="20"/>
          <w:szCs w:val="20"/>
          <w:lang w:val="en-US"/>
        </w:rPr>
        <w:t xml:space="preserve">28 GHz: standard simultaneous multiple round auction format. </w:t>
      </w:r>
      <w:proofErr w:type="spellStart"/>
      <w:r w:rsidRPr="00C81770">
        <w:rPr>
          <w:rFonts w:ascii="Arial" w:hAnsi="Arial" w:cs="Arial"/>
          <w:sz w:val="20"/>
          <w:szCs w:val="20"/>
          <w:lang w:val="en-US"/>
        </w:rPr>
        <w:t>Licences</w:t>
      </w:r>
      <w:proofErr w:type="spellEnd"/>
      <w:r w:rsidRPr="00C81770">
        <w:rPr>
          <w:rFonts w:ascii="Arial" w:hAnsi="Arial" w:cs="Arial"/>
          <w:sz w:val="20"/>
          <w:szCs w:val="20"/>
          <w:lang w:val="en-US"/>
        </w:rPr>
        <w:t xml:space="preserve"> will be offered in two 425 MHz blocks by county</w:t>
      </w:r>
      <w:r>
        <w:rPr>
          <w:rFonts w:ascii="Arial" w:hAnsi="Arial" w:cs="Arial"/>
          <w:sz w:val="20"/>
          <w:szCs w:val="20"/>
          <w:lang w:val="en-US"/>
        </w:rPr>
        <w:t>;</w:t>
      </w:r>
    </w:p>
    <w:p w:rsidR="00C81770" w:rsidRPr="00C81770" w:rsidRDefault="00C81770" w:rsidP="00481D8C">
      <w:pPr>
        <w:pStyle w:val="ListParagraph"/>
        <w:numPr>
          <w:ilvl w:val="1"/>
          <w:numId w:val="3"/>
        </w:numPr>
        <w:spacing w:after="60" w:line="240" w:lineRule="auto"/>
        <w:rPr>
          <w:rFonts w:ascii="Arial" w:hAnsi="Arial" w:cs="Arial"/>
          <w:sz w:val="20"/>
          <w:szCs w:val="20"/>
          <w:lang w:val="en-US"/>
        </w:rPr>
      </w:pPr>
      <w:r w:rsidRPr="00C81770">
        <w:rPr>
          <w:rFonts w:ascii="Arial" w:hAnsi="Arial" w:cs="Arial"/>
          <w:sz w:val="20"/>
          <w:szCs w:val="20"/>
          <w:lang w:val="en-US"/>
        </w:rPr>
        <w:t xml:space="preserve">24 GHz: clock auction format, beginning with a clock phase that will allow bidding on generic blocks in each </w:t>
      </w:r>
      <w:r>
        <w:rPr>
          <w:rFonts w:ascii="Arial" w:hAnsi="Arial" w:cs="Arial"/>
          <w:sz w:val="20"/>
          <w:szCs w:val="20"/>
          <w:lang w:val="en-US"/>
        </w:rPr>
        <w:t>p</w:t>
      </w:r>
      <w:r w:rsidRPr="00C81770">
        <w:rPr>
          <w:rFonts w:ascii="Arial" w:hAnsi="Arial" w:cs="Arial"/>
          <w:sz w:val="20"/>
          <w:szCs w:val="20"/>
          <w:lang w:val="en-US"/>
        </w:rPr>
        <w:t xml:space="preserve">artial </w:t>
      </w:r>
      <w:r>
        <w:rPr>
          <w:rFonts w:ascii="Arial" w:hAnsi="Arial" w:cs="Arial"/>
          <w:sz w:val="20"/>
          <w:szCs w:val="20"/>
          <w:lang w:val="en-US"/>
        </w:rPr>
        <w:t>e</w:t>
      </w:r>
      <w:r w:rsidRPr="00C81770">
        <w:rPr>
          <w:rFonts w:ascii="Arial" w:hAnsi="Arial" w:cs="Arial"/>
          <w:sz w:val="20"/>
          <w:szCs w:val="20"/>
          <w:lang w:val="en-US"/>
        </w:rPr>
        <w:t xml:space="preserve">conomic </w:t>
      </w:r>
      <w:r>
        <w:rPr>
          <w:rFonts w:ascii="Arial" w:hAnsi="Arial" w:cs="Arial"/>
          <w:sz w:val="20"/>
          <w:szCs w:val="20"/>
          <w:lang w:val="en-US"/>
        </w:rPr>
        <w:t>a</w:t>
      </w:r>
      <w:r w:rsidRPr="00C81770">
        <w:rPr>
          <w:rFonts w:ascii="Arial" w:hAnsi="Arial" w:cs="Arial"/>
          <w:sz w:val="20"/>
          <w:szCs w:val="20"/>
          <w:lang w:val="en-US"/>
        </w:rPr>
        <w:t xml:space="preserve">rea in successive bidding rounds, followed by an assignment phase for frequency-specific </w:t>
      </w:r>
      <w:proofErr w:type="spellStart"/>
      <w:r w:rsidRPr="00C81770">
        <w:rPr>
          <w:rFonts w:ascii="Arial" w:hAnsi="Arial" w:cs="Arial"/>
          <w:sz w:val="20"/>
          <w:szCs w:val="20"/>
          <w:lang w:val="en-US"/>
        </w:rPr>
        <w:t>licence</w:t>
      </w:r>
      <w:proofErr w:type="spellEnd"/>
      <w:r w:rsidRPr="00C81770">
        <w:rPr>
          <w:rFonts w:ascii="Arial" w:hAnsi="Arial" w:cs="Arial"/>
          <w:sz w:val="20"/>
          <w:szCs w:val="20"/>
          <w:lang w:val="en-US"/>
        </w:rPr>
        <w:t xml:space="preserve"> assignments. </w:t>
      </w:r>
      <w:proofErr w:type="spellStart"/>
      <w:r w:rsidRPr="00C81770">
        <w:rPr>
          <w:rFonts w:ascii="Arial" w:hAnsi="Arial" w:cs="Arial"/>
          <w:sz w:val="20"/>
          <w:szCs w:val="20"/>
          <w:lang w:val="en-US"/>
        </w:rPr>
        <w:t>Licences</w:t>
      </w:r>
      <w:proofErr w:type="spellEnd"/>
      <w:r w:rsidRPr="00C81770">
        <w:rPr>
          <w:rFonts w:ascii="Arial" w:hAnsi="Arial" w:cs="Arial"/>
          <w:sz w:val="20"/>
          <w:szCs w:val="20"/>
          <w:lang w:val="en-US"/>
        </w:rPr>
        <w:t xml:space="preserve"> will be offered in seven 100 MHz blocks.</w:t>
      </w:r>
    </w:p>
    <w:p w:rsidR="001F11FD" w:rsidRPr="00B43306" w:rsidRDefault="001F11FD" w:rsidP="00481D8C">
      <w:pPr>
        <w:pStyle w:val="ListParagraph"/>
        <w:numPr>
          <w:ilvl w:val="1"/>
          <w:numId w:val="11"/>
        </w:numPr>
        <w:spacing w:after="60" w:line="240" w:lineRule="auto"/>
        <w:ind w:left="993"/>
        <w:rPr>
          <w:rFonts w:ascii="Arial" w:eastAsia="Calibri" w:hAnsi="Arial" w:cs="Arial"/>
          <w:sz w:val="20"/>
          <w:szCs w:val="20"/>
          <w:lang w:val="en-US" w:eastAsia="da-DK"/>
        </w:rPr>
      </w:pPr>
      <w:r w:rsidRPr="00B43306">
        <w:rPr>
          <w:rFonts w:ascii="Arial" w:hAnsi="Arial" w:cs="Arial"/>
          <w:sz w:val="20"/>
          <w:szCs w:val="20"/>
          <w:lang w:val="en-US"/>
        </w:rPr>
        <w:lastRenderedPageBreak/>
        <w:t xml:space="preserve">In </w:t>
      </w:r>
      <w:r w:rsidR="00C81770" w:rsidRPr="00B43306">
        <w:rPr>
          <w:rFonts w:ascii="Arial" w:hAnsi="Arial" w:cs="Arial"/>
          <w:sz w:val="20"/>
          <w:szCs w:val="20"/>
          <w:lang w:val="en-US"/>
        </w:rPr>
        <w:t xml:space="preserve">the second half of </w:t>
      </w:r>
      <w:r w:rsidRPr="00B43306">
        <w:rPr>
          <w:rFonts w:ascii="Arial" w:hAnsi="Arial" w:cs="Arial"/>
          <w:sz w:val="20"/>
          <w:szCs w:val="20"/>
          <w:lang w:val="en-US"/>
        </w:rPr>
        <w:t xml:space="preserve">2019, the FCC will auction the </w:t>
      </w:r>
      <w:r w:rsidR="00C81770" w:rsidRPr="00B43306">
        <w:rPr>
          <w:rFonts w:ascii="Arial" w:hAnsi="Arial" w:cs="Arial"/>
          <w:sz w:val="20"/>
          <w:szCs w:val="20"/>
          <w:lang w:val="en-US"/>
        </w:rPr>
        <w:t xml:space="preserve">37.6-38.6 GHz, 38.6-40 GHz and 47.2-48.2 GHz </w:t>
      </w:r>
      <w:r w:rsidRPr="00B43306">
        <w:rPr>
          <w:rFonts w:ascii="Arial" w:hAnsi="Arial" w:cs="Arial"/>
          <w:sz w:val="20"/>
          <w:szCs w:val="20"/>
          <w:lang w:val="en-US"/>
        </w:rPr>
        <w:t>bands.</w:t>
      </w:r>
      <w:r w:rsidR="00C81770" w:rsidRPr="00B43306">
        <w:rPr>
          <w:rFonts w:ascii="Arial" w:hAnsi="Arial" w:cs="Arial"/>
          <w:sz w:val="20"/>
          <w:szCs w:val="20"/>
          <w:lang w:val="en-US"/>
        </w:rPr>
        <w:t xml:space="preserve"> For the Upper 37 GHz, 39 GHz and 47 GHz bands the FCC is proposing to offer a total of 3.4 GHz (</w:t>
      </w:r>
      <w:r w:rsidR="00BF1C90" w:rsidRPr="00B43306">
        <w:rPr>
          <w:rFonts w:ascii="Arial" w:hAnsi="Arial" w:cs="Arial"/>
          <w:sz w:val="20"/>
          <w:szCs w:val="20"/>
          <w:lang w:val="en-US"/>
        </w:rPr>
        <w:t>including</w:t>
      </w:r>
      <w:r w:rsidR="00C81770" w:rsidRPr="00B43306">
        <w:rPr>
          <w:rFonts w:ascii="Arial" w:hAnsi="Arial" w:cs="Arial"/>
          <w:sz w:val="20"/>
          <w:szCs w:val="20"/>
          <w:lang w:val="en-US"/>
        </w:rPr>
        <w:t xml:space="preserve"> 2.4 GHz contiguous spectrum) in 100 MHz blocks (modification from the existing 200 MHz block size) in a single incentive auction</w:t>
      </w:r>
      <w:r w:rsidR="008D27F3" w:rsidRPr="00B43306">
        <w:rPr>
          <w:rFonts w:ascii="Arial" w:hAnsi="Arial" w:cs="Arial"/>
          <w:sz w:val="20"/>
          <w:szCs w:val="20"/>
          <w:lang w:val="en-US"/>
        </w:rPr>
        <w:t>. This will provide more spectrum than all the other flexible use bands combined</w:t>
      </w:r>
      <w:r w:rsidR="00C81770" w:rsidRPr="00B43306">
        <w:rPr>
          <w:rFonts w:ascii="Arial" w:hAnsi="Arial" w:cs="Arial"/>
          <w:sz w:val="20"/>
          <w:szCs w:val="20"/>
          <w:lang w:val="en-US"/>
        </w:rPr>
        <w:t>;</w:t>
      </w:r>
    </w:p>
    <w:p w:rsidR="001F11FD" w:rsidRPr="00B43306" w:rsidRDefault="001F11FD" w:rsidP="00481D8C">
      <w:pPr>
        <w:pStyle w:val="ListParagraph"/>
        <w:numPr>
          <w:ilvl w:val="1"/>
          <w:numId w:val="11"/>
        </w:numPr>
        <w:spacing w:after="60" w:line="240" w:lineRule="auto"/>
        <w:ind w:left="993"/>
        <w:rPr>
          <w:rFonts w:ascii="Arial" w:eastAsia="Calibri" w:hAnsi="Arial" w:cs="Arial"/>
          <w:sz w:val="20"/>
          <w:szCs w:val="20"/>
          <w:lang w:val="en-US" w:eastAsia="da-DK"/>
        </w:rPr>
      </w:pPr>
      <w:r w:rsidRPr="00B43306">
        <w:rPr>
          <w:rFonts w:ascii="Arial" w:hAnsi="Arial" w:cs="Arial"/>
          <w:sz w:val="20"/>
          <w:szCs w:val="20"/>
          <w:lang w:val="en-US"/>
        </w:rPr>
        <w:t xml:space="preserve">The FCC is working to free up another 2.75 GHz of 5G spectrum in the 26 and 42 GHz bands. </w:t>
      </w:r>
    </w:p>
    <w:p w:rsidR="001F11FD" w:rsidRPr="00B43306" w:rsidRDefault="001F11FD" w:rsidP="00481D8C">
      <w:pPr>
        <w:pStyle w:val="ListParagraph"/>
        <w:numPr>
          <w:ilvl w:val="1"/>
          <w:numId w:val="11"/>
        </w:numPr>
        <w:spacing w:after="60" w:line="240" w:lineRule="auto"/>
        <w:ind w:left="993"/>
        <w:rPr>
          <w:rFonts w:ascii="Arial" w:eastAsia="Calibri" w:hAnsi="Arial" w:cs="Arial"/>
          <w:sz w:val="20"/>
          <w:szCs w:val="20"/>
          <w:lang w:val="en-US" w:eastAsia="da-DK"/>
        </w:rPr>
      </w:pPr>
      <w:r w:rsidRPr="00B43306">
        <w:rPr>
          <w:rFonts w:ascii="Arial" w:hAnsi="Arial" w:cs="Arial"/>
          <w:sz w:val="20"/>
          <w:szCs w:val="20"/>
          <w:lang w:val="en-US"/>
        </w:rPr>
        <w:t xml:space="preserve">Mid-band: Mid-band spectrum has become a target for 5G buildout given its balanced coverage and capacity characteristics with work on the 2.5 GHz, 3.5 GHz, and 3.7-4.2 GHz bands, the FCC could make up to 844 MHz available for 5G deployments. </w:t>
      </w:r>
    </w:p>
    <w:p w:rsidR="001F11FD" w:rsidRPr="00B43306" w:rsidRDefault="001F11FD" w:rsidP="00481D8C">
      <w:pPr>
        <w:pStyle w:val="ListParagraph"/>
        <w:numPr>
          <w:ilvl w:val="1"/>
          <w:numId w:val="11"/>
        </w:numPr>
        <w:spacing w:after="60" w:line="240" w:lineRule="auto"/>
        <w:ind w:left="993"/>
        <w:rPr>
          <w:rFonts w:ascii="Arial" w:eastAsia="Calibri" w:hAnsi="Arial" w:cs="Arial"/>
          <w:sz w:val="20"/>
          <w:szCs w:val="20"/>
          <w:lang w:val="en-US" w:eastAsia="da-DK"/>
        </w:rPr>
      </w:pPr>
      <w:r w:rsidRPr="00B43306">
        <w:rPr>
          <w:rFonts w:ascii="Arial" w:hAnsi="Arial" w:cs="Arial"/>
          <w:sz w:val="20"/>
          <w:szCs w:val="20"/>
          <w:lang w:val="en-US"/>
        </w:rPr>
        <w:t xml:space="preserve">Low-band: The FCC is acting to improve use of low-band spectrum (useful for wider coverage) for 5G services, with targeted changes to the 600 MHz, 800 MHz, and 900 MHz bands. </w:t>
      </w:r>
    </w:p>
    <w:p w:rsidR="001F11FD" w:rsidRPr="00B43306" w:rsidRDefault="001F11FD" w:rsidP="00481D8C">
      <w:pPr>
        <w:pStyle w:val="ListParagraph"/>
        <w:numPr>
          <w:ilvl w:val="1"/>
          <w:numId w:val="11"/>
        </w:numPr>
        <w:spacing w:after="60" w:line="240" w:lineRule="auto"/>
        <w:ind w:left="993"/>
        <w:rPr>
          <w:rFonts w:ascii="Arial" w:eastAsia="Calibri" w:hAnsi="Arial" w:cs="Arial"/>
          <w:sz w:val="20"/>
          <w:szCs w:val="20"/>
          <w:lang w:val="en-US" w:eastAsia="da-DK"/>
        </w:rPr>
      </w:pPr>
      <w:r w:rsidRPr="00B43306">
        <w:rPr>
          <w:rFonts w:ascii="Arial" w:hAnsi="Arial" w:cs="Arial"/>
          <w:sz w:val="20"/>
          <w:szCs w:val="20"/>
          <w:lang w:val="en-US"/>
        </w:rPr>
        <w:t>‘Unlicensed’: Recognising that unlicensed spectrum will be important for 5G, the FCC is creating new opportunities for the next generation of Wi-Fi in the 6 GHz and above 95 GHz band.</w:t>
      </w:r>
    </w:p>
    <w:p w:rsidR="001F11FD" w:rsidRDefault="001F11FD" w:rsidP="00263340">
      <w:pPr>
        <w:spacing w:after="60" w:line="240" w:lineRule="auto"/>
        <w:rPr>
          <w:rFonts w:ascii="Arial" w:eastAsia="Calibri" w:hAnsi="Arial" w:cs="Arial"/>
          <w:sz w:val="20"/>
          <w:szCs w:val="20"/>
          <w:lang w:val="en-US" w:eastAsia="da-DK"/>
        </w:rPr>
      </w:pPr>
    </w:p>
    <w:p w:rsidR="0063672D" w:rsidRDefault="0063672D" w:rsidP="00B43306">
      <w:pPr>
        <w:spacing w:after="0" w:line="240" w:lineRule="auto"/>
        <w:jc w:val="both"/>
        <w:rPr>
          <w:rFonts w:ascii="Arial" w:eastAsia="Calibri" w:hAnsi="Arial" w:cs="Arial"/>
          <w:sz w:val="20"/>
          <w:szCs w:val="20"/>
          <w:lang w:val="en-US" w:eastAsia="da-DK"/>
        </w:rPr>
      </w:pPr>
      <w:r w:rsidRPr="0063672D">
        <w:rPr>
          <w:rFonts w:ascii="Arial" w:eastAsia="Calibri" w:hAnsi="Arial" w:cs="Arial"/>
          <w:sz w:val="20"/>
          <w:szCs w:val="20"/>
          <w:lang w:val="en-US" w:eastAsia="da-DK"/>
        </w:rPr>
        <w:t>The plan faces major criticism from cities and communities in the USA. They find their hands tied at governing how these networks and all the equipment they require will fit into their communities.</w:t>
      </w:r>
    </w:p>
    <w:p w:rsidR="0063672D" w:rsidRPr="0063672D" w:rsidRDefault="0063672D" w:rsidP="00B43306">
      <w:pPr>
        <w:spacing w:after="0" w:line="240" w:lineRule="auto"/>
        <w:jc w:val="both"/>
        <w:rPr>
          <w:rFonts w:ascii="Arial" w:eastAsia="Calibri" w:hAnsi="Arial" w:cs="Arial"/>
          <w:sz w:val="20"/>
          <w:szCs w:val="20"/>
          <w:lang w:val="en-US" w:eastAsia="da-DK"/>
        </w:rPr>
      </w:pPr>
    </w:p>
    <w:p w:rsidR="0063672D" w:rsidRDefault="0063672D" w:rsidP="00B43306">
      <w:pPr>
        <w:spacing w:after="0" w:line="240" w:lineRule="auto"/>
        <w:jc w:val="both"/>
        <w:rPr>
          <w:rFonts w:ascii="Arial" w:eastAsia="Calibri" w:hAnsi="Arial" w:cs="Arial"/>
          <w:sz w:val="20"/>
          <w:szCs w:val="20"/>
          <w:lang w:val="en-US" w:eastAsia="da-DK"/>
        </w:rPr>
      </w:pPr>
      <w:r w:rsidRPr="0063672D">
        <w:rPr>
          <w:rFonts w:ascii="Arial" w:eastAsia="Calibri" w:hAnsi="Arial" w:cs="Arial"/>
          <w:sz w:val="20"/>
          <w:szCs w:val="20"/>
          <w:lang w:val="en-US" w:eastAsia="da-DK"/>
        </w:rPr>
        <w:t>The FCC restricted cities’ ability to regulate 5G infrastructure. Under the new rules, local governments face tight deadlines to approve or reject the installation of new cellular equipment. The rules also put limits on how much money cities can charge wireless firms for the privilege of putting hardware in public rights of way.</w:t>
      </w:r>
    </w:p>
    <w:p w:rsidR="0063672D" w:rsidRPr="0063672D" w:rsidRDefault="0063672D" w:rsidP="00B43306">
      <w:pPr>
        <w:spacing w:after="0" w:line="240" w:lineRule="auto"/>
        <w:jc w:val="both"/>
        <w:rPr>
          <w:rFonts w:ascii="Arial" w:eastAsia="Calibri" w:hAnsi="Arial" w:cs="Arial"/>
          <w:sz w:val="20"/>
          <w:szCs w:val="20"/>
          <w:lang w:val="en-US" w:eastAsia="da-DK"/>
        </w:rPr>
      </w:pPr>
    </w:p>
    <w:p w:rsidR="00764283" w:rsidRDefault="0063672D" w:rsidP="00B43306">
      <w:pPr>
        <w:spacing w:after="0" w:line="240" w:lineRule="auto"/>
        <w:jc w:val="both"/>
        <w:rPr>
          <w:rFonts w:ascii="Arial" w:eastAsia="Calibri" w:hAnsi="Arial" w:cs="Arial"/>
          <w:sz w:val="20"/>
          <w:szCs w:val="20"/>
          <w:lang w:val="en-US" w:eastAsia="da-DK"/>
        </w:rPr>
      </w:pPr>
      <w:r w:rsidRPr="0063672D">
        <w:rPr>
          <w:rFonts w:ascii="Arial" w:eastAsia="Calibri" w:hAnsi="Arial" w:cs="Arial"/>
          <w:sz w:val="20"/>
          <w:szCs w:val="20"/>
          <w:lang w:val="en-US" w:eastAsia="da-DK"/>
        </w:rPr>
        <w:t>The dispute comes down to the “small cell” equipment required for much of 5G and who gets to say where it goes. While a 4G cell site might cover a dozen city blocks, 5G’s fastest, millimeter-wave frequencies might need one site for each block. One study in March 2018 estimated that there could be nearly 1 million small-cell deployments in the U.S. until 2026.</w:t>
      </w:r>
    </w:p>
    <w:p w:rsidR="001D0CA2" w:rsidRDefault="001D0CA2" w:rsidP="00B43306">
      <w:pPr>
        <w:spacing w:after="0" w:line="240" w:lineRule="auto"/>
        <w:jc w:val="both"/>
        <w:rPr>
          <w:rFonts w:ascii="Arial" w:eastAsia="Calibri" w:hAnsi="Arial" w:cs="Arial"/>
          <w:sz w:val="20"/>
          <w:szCs w:val="20"/>
          <w:lang w:val="en-US" w:eastAsia="da-DK"/>
        </w:rPr>
      </w:pPr>
    </w:p>
    <w:p w:rsidR="00927DA1" w:rsidRPr="00927DA1" w:rsidRDefault="001D0CA2" w:rsidP="00B43306">
      <w:pPr>
        <w:spacing w:after="0" w:line="240" w:lineRule="auto"/>
        <w:jc w:val="both"/>
        <w:rPr>
          <w:rFonts w:ascii="Arial" w:eastAsia="Calibri" w:hAnsi="Arial" w:cs="Arial"/>
          <w:sz w:val="20"/>
          <w:szCs w:val="20"/>
          <w:lang w:val="en-US" w:eastAsia="da-DK"/>
        </w:rPr>
      </w:pPr>
      <w:r>
        <w:rPr>
          <w:rFonts w:ascii="Arial" w:eastAsia="Calibri" w:hAnsi="Arial" w:cs="Arial"/>
          <w:sz w:val="20"/>
          <w:szCs w:val="20"/>
          <w:lang w:val="en-US" w:eastAsia="da-DK"/>
        </w:rPr>
        <w:t>Recent announcements about planned commercial launch in the USA were noted from</w:t>
      </w:r>
      <w:r w:rsidRPr="001D0CA2">
        <w:rPr>
          <w:rFonts w:ascii="Arial" w:eastAsia="Calibri" w:hAnsi="Arial" w:cs="Arial"/>
          <w:sz w:val="20"/>
          <w:szCs w:val="20"/>
          <w:lang w:val="en-US" w:eastAsia="da-DK"/>
        </w:rPr>
        <w:t>:</w:t>
      </w:r>
      <w:r w:rsidR="009A3A38">
        <w:rPr>
          <w:rFonts w:ascii="Arial" w:eastAsia="Calibri" w:hAnsi="Arial" w:cs="Arial"/>
          <w:sz w:val="20"/>
          <w:szCs w:val="20"/>
          <w:lang w:val="en-US" w:eastAsia="da-DK"/>
        </w:rPr>
        <w:t xml:space="preserve"> </w:t>
      </w:r>
      <w:r w:rsidRPr="001D0CA2">
        <w:rPr>
          <w:rFonts w:ascii="Arial" w:eastAsia="Calibri" w:hAnsi="Arial" w:cs="Arial"/>
          <w:sz w:val="20"/>
          <w:szCs w:val="20"/>
          <w:lang w:val="en-US" w:eastAsia="da-DK"/>
        </w:rPr>
        <w:t>28 &amp;39 GHz, T-Mobile in the 600 MHz band,</w:t>
      </w:r>
      <w:r>
        <w:rPr>
          <w:rFonts w:ascii="Arial" w:eastAsia="Calibri" w:hAnsi="Arial" w:cs="Arial"/>
          <w:sz w:val="20"/>
          <w:szCs w:val="20"/>
          <w:lang w:val="en-US" w:eastAsia="da-DK"/>
        </w:rPr>
        <w:t xml:space="preserve"> and </w:t>
      </w:r>
      <w:r w:rsidRPr="001D0CA2">
        <w:rPr>
          <w:rFonts w:ascii="Arial" w:eastAsia="Calibri" w:hAnsi="Arial" w:cs="Arial"/>
          <w:sz w:val="20"/>
          <w:szCs w:val="20"/>
          <w:lang w:val="en-US" w:eastAsia="da-DK"/>
        </w:rPr>
        <w:t>AT&amp;T</w:t>
      </w:r>
      <w:r>
        <w:rPr>
          <w:rFonts w:ascii="Arial" w:eastAsia="Calibri" w:hAnsi="Arial" w:cs="Arial"/>
          <w:sz w:val="20"/>
          <w:szCs w:val="20"/>
          <w:lang w:val="en-US" w:eastAsia="da-DK"/>
        </w:rPr>
        <w:t xml:space="preserve"> in the </w:t>
      </w:r>
      <w:r w:rsidRPr="001D0CA2">
        <w:rPr>
          <w:rFonts w:ascii="Arial" w:eastAsia="Calibri" w:hAnsi="Arial" w:cs="Arial"/>
          <w:sz w:val="20"/>
          <w:szCs w:val="20"/>
          <w:lang w:val="en-US" w:eastAsia="da-DK"/>
        </w:rPr>
        <w:t>39 GHz</w:t>
      </w:r>
      <w:r>
        <w:rPr>
          <w:rFonts w:ascii="Arial" w:eastAsia="Calibri" w:hAnsi="Arial" w:cs="Arial"/>
          <w:sz w:val="20"/>
          <w:szCs w:val="20"/>
          <w:lang w:val="en-US" w:eastAsia="da-DK"/>
        </w:rPr>
        <w:t>.</w:t>
      </w:r>
      <w:r w:rsidR="00927DA1">
        <w:rPr>
          <w:rFonts w:ascii="Arial" w:eastAsia="Calibri" w:hAnsi="Arial" w:cs="Arial"/>
          <w:sz w:val="20"/>
          <w:szCs w:val="20"/>
          <w:lang w:val="en-US" w:eastAsia="da-DK"/>
        </w:rPr>
        <w:t xml:space="preserve"> Side notice: Japan (August 2020 Olympic Games): </w:t>
      </w:r>
      <w:r w:rsidR="00927DA1" w:rsidRPr="00927DA1">
        <w:rPr>
          <w:rFonts w:ascii="Arial" w:eastAsia="Calibri" w:hAnsi="Arial" w:cs="Arial"/>
          <w:sz w:val="20"/>
          <w:szCs w:val="20"/>
          <w:lang w:val="en-US" w:eastAsia="da-DK"/>
        </w:rPr>
        <w:t>NTT DoCoMo</w:t>
      </w:r>
      <w:r w:rsidR="00927DA1">
        <w:rPr>
          <w:rFonts w:ascii="Arial" w:eastAsia="Calibri" w:hAnsi="Arial" w:cs="Arial"/>
          <w:sz w:val="20"/>
          <w:szCs w:val="20"/>
          <w:lang w:val="en-US" w:eastAsia="da-DK"/>
        </w:rPr>
        <w:t xml:space="preserve">: </w:t>
      </w:r>
      <w:r w:rsidR="00927DA1" w:rsidRPr="00927DA1">
        <w:rPr>
          <w:rFonts w:ascii="Arial" w:eastAsia="Calibri" w:hAnsi="Arial" w:cs="Arial"/>
          <w:sz w:val="20"/>
          <w:szCs w:val="20"/>
          <w:lang w:val="en-US" w:eastAsia="da-DK"/>
        </w:rPr>
        <w:t xml:space="preserve">28 GHz </w:t>
      </w:r>
      <w:r w:rsidR="00927DA1">
        <w:rPr>
          <w:rFonts w:ascii="Arial" w:eastAsia="Calibri" w:hAnsi="Arial" w:cs="Arial"/>
          <w:sz w:val="20"/>
          <w:szCs w:val="20"/>
          <w:lang w:val="en-US" w:eastAsia="da-DK"/>
        </w:rPr>
        <w:t xml:space="preserve">and </w:t>
      </w:r>
      <w:r w:rsidR="00927DA1" w:rsidRPr="00927DA1">
        <w:rPr>
          <w:rFonts w:ascii="Arial" w:eastAsia="Calibri" w:hAnsi="Arial" w:cs="Arial"/>
          <w:sz w:val="20"/>
          <w:szCs w:val="20"/>
          <w:lang w:val="en-US" w:eastAsia="da-DK"/>
        </w:rPr>
        <w:t>4.5GHz, KDDI</w:t>
      </w:r>
      <w:r w:rsidR="00927DA1">
        <w:rPr>
          <w:rFonts w:ascii="Arial" w:eastAsia="Calibri" w:hAnsi="Arial" w:cs="Arial"/>
          <w:sz w:val="20"/>
          <w:szCs w:val="20"/>
          <w:lang w:val="en-US" w:eastAsia="da-DK"/>
        </w:rPr>
        <w:t xml:space="preserve">: </w:t>
      </w:r>
      <w:r w:rsidR="00927DA1" w:rsidRPr="00927DA1">
        <w:rPr>
          <w:rFonts w:ascii="Arial" w:eastAsia="Calibri" w:hAnsi="Arial" w:cs="Arial"/>
          <w:sz w:val="20"/>
          <w:szCs w:val="20"/>
          <w:lang w:val="en-US" w:eastAsia="da-DK"/>
        </w:rPr>
        <w:t>4.5GHz</w:t>
      </w:r>
      <w:r w:rsidR="00927DA1">
        <w:rPr>
          <w:rFonts w:ascii="Arial" w:eastAsia="Calibri" w:hAnsi="Arial" w:cs="Arial"/>
          <w:sz w:val="20"/>
          <w:szCs w:val="20"/>
          <w:lang w:val="en-US" w:eastAsia="da-DK"/>
        </w:rPr>
        <w:t>).</w:t>
      </w:r>
    </w:p>
    <w:p w:rsidR="0063672D" w:rsidRDefault="0063672D" w:rsidP="00B43306">
      <w:pPr>
        <w:spacing w:after="0" w:line="240" w:lineRule="auto"/>
        <w:jc w:val="both"/>
        <w:rPr>
          <w:rFonts w:ascii="Arial" w:eastAsia="Calibri" w:hAnsi="Arial" w:cs="Arial"/>
          <w:sz w:val="20"/>
          <w:szCs w:val="20"/>
          <w:lang w:val="en-US" w:eastAsia="da-DK"/>
        </w:rPr>
      </w:pPr>
    </w:p>
    <w:p w:rsidR="0063672D" w:rsidRPr="00C81770" w:rsidRDefault="0063672D" w:rsidP="00B43306">
      <w:pPr>
        <w:spacing w:after="0" w:line="240" w:lineRule="auto"/>
        <w:jc w:val="both"/>
        <w:rPr>
          <w:rFonts w:ascii="Arial" w:eastAsia="Calibri" w:hAnsi="Arial" w:cs="Arial"/>
          <w:b/>
          <w:sz w:val="20"/>
          <w:szCs w:val="20"/>
          <w:lang w:val="en-US" w:eastAsia="da-DK"/>
        </w:rPr>
      </w:pPr>
      <w:r w:rsidRPr="00C81770">
        <w:rPr>
          <w:rFonts w:ascii="Arial" w:eastAsia="Calibri" w:hAnsi="Arial" w:cs="Arial"/>
          <w:b/>
          <w:sz w:val="20"/>
          <w:szCs w:val="20"/>
          <w:lang w:val="en-US" w:eastAsia="da-DK"/>
        </w:rPr>
        <w:t>(</w:t>
      </w:r>
      <w:proofErr w:type="gramStart"/>
      <w:r w:rsidRPr="00C81770">
        <w:rPr>
          <w:rFonts w:ascii="Arial" w:eastAsia="Calibri" w:hAnsi="Arial" w:cs="Arial"/>
          <w:b/>
          <w:sz w:val="20"/>
          <w:szCs w:val="20"/>
          <w:lang w:val="en-US" w:eastAsia="da-DK"/>
        </w:rPr>
        <w:t>for</w:t>
      </w:r>
      <w:proofErr w:type="gramEnd"/>
      <w:r w:rsidRPr="00C81770">
        <w:rPr>
          <w:rFonts w:ascii="Arial" w:eastAsia="Calibri" w:hAnsi="Arial" w:cs="Arial"/>
          <w:b/>
          <w:sz w:val="20"/>
          <w:szCs w:val="20"/>
          <w:lang w:val="en-US" w:eastAsia="da-DK"/>
        </w:rPr>
        <w:t xml:space="preserve"> information in ECC PT1 and WG FM)</w:t>
      </w:r>
    </w:p>
    <w:p w:rsidR="00AC6730" w:rsidRPr="0063672D" w:rsidRDefault="00AC6730"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AC6730">
        <w:rPr>
          <w:rFonts w:ascii="Arial" w:eastAsia="Times New Roman" w:hAnsi="Arial" w:cs="Arial"/>
          <w:b/>
          <w:bCs/>
          <w:caps/>
          <w:color w:val="D2232A"/>
          <w:kern w:val="32"/>
          <w:sz w:val="20"/>
          <w:szCs w:val="32"/>
          <w:lang w:val="en-US"/>
        </w:rPr>
        <w:t xml:space="preserve">USA: FCC tentative 6 GHz new proposed rulemaking </w:t>
      </w:r>
    </w:p>
    <w:p w:rsidR="00B866ED" w:rsidRPr="001F11FD" w:rsidRDefault="00AC6730" w:rsidP="00E676C0">
      <w:pPr>
        <w:spacing w:after="0" w:line="240" w:lineRule="auto"/>
        <w:rPr>
          <w:rFonts w:ascii="Arial" w:eastAsia="Calibri" w:hAnsi="Arial" w:cs="Arial"/>
          <w:sz w:val="20"/>
          <w:szCs w:val="20"/>
          <w:lang w:val="en-US" w:eastAsia="da-DK"/>
        </w:rPr>
      </w:pPr>
      <w:r w:rsidRPr="001F11FD">
        <w:rPr>
          <w:rFonts w:ascii="Arial" w:eastAsia="Calibri" w:hAnsi="Arial" w:cs="Arial"/>
          <w:sz w:val="20"/>
          <w:szCs w:val="20"/>
          <w:lang w:val="en-US" w:eastAsia="da-DK"/>
        </w:rPr>
        <w:t>The t</w:t>
      </w:r>
      <w:r w:rsidR="00E676C0" w:rsidRPr="001F11FD">
        <w:rPr>
          <w:rFonts w:ascii="Arial" w:eastAsia="Calibri" w:hAnsi="Arial" w:cs="Arial"/>
          <w:sz w:val="20"/>
          <w:szCs w:val="20"/>
          <w:lang w:val="en-US" w:eastAsia="da-DK"/>
        </w:rPr>
        <w:t xml:space="preserve">entative 6 GHz NPRM (to be voted on </w:t>
      </w:r>
      <w:r w:rsidR="00927DA1">
        <w:rPr>
          <w:rFonts w:ascii="Arial" w:eastAsia="Calibri" w:hAnsi="Arial" w:cs="Arial"/>
          <w:sz w:val="20"/>
          <w:szCs w:val="20"/>
          <w:lang w:val="en-US" w:eastAsia="da-DK"/>
        </w:rPr>
        <w:t xml:space="preserve">23 </w:t>
      </w:r>
      <w:r w:rsidR="00E676C0" w:rsidRPr="001F11FD">
        <w:rPr>
          <w:rFonts w:ascii="Arial" w:eastAsia="Calibri" w:hAnsi="Arial" w:cs="Arial"/>
          <w:sz w:val="20"/>
          <w:szCs w:val="20"/>
          <w:lang w:val="en-US" w:eastAsia="da-DK"/>
        </w:rPr>
        <w:t>Oct</w:t>
      </w:r>
      <w:r w:rsidR="00927DA1">
        <w:rPr>
          <w:rFonts w:ascii="Arial" w:eastAsia="Calibri" w:hAnsi="Arial" w:cs="Arial"/>
          <w:sz w:val="20"/>
          <w:szCs w:val="20"/>
          <w:lang w:val="en-US" w:eastAsia="da-DK"/>
        </w:rPr>
        <w:t>ober 2018</w:t>
      </w:r>
      <w:r w:rsidR="00E676C0" w:rsidRPr="001F11FD">
        <w:rPr>
          <w:rFonts w:ascii="Arial" w:eastAsia="Calibri" w:hAnsi="Arial" w:cs="Arial"/>
          <w:sz w:val="20"/>
          <w:szCs w:val="20"/>
          <w:lang w:val="en-US" w:eastAsia="da-DK"/>
        </w:rPr>
        <w:t xml:space="preserve">) </w:t>
      </w:r>
      <w:r w:rsidRPr="001F11FD">
        <w:rPr>
          <w:rFonts w:ascii="Arial" w:eastAsia="Calibri" w:hAnsi="Arial" w:cs="Arial"/>
          <w:sz w:val="20"/>
          <w:szCs w:val="20"/>
          <w:lang w:val="en-US" w:eastAsia="da-DK"/>
        </w:rPr>
        <w:t xml:space="preserve">is available under </w:t>
      </w:r>
      <w:hyperlink r:id="rId24" w:history="1">
        <w:r w:rsidRPr="001F11FD">
          <w:rPr>
            <w:rStyle w:val="Hyperlink"/>
            <w:rFonts w:ascii="Arial" w:eastAsia="Calibri" w:hAnsi="Arial" w:cs="Arial"/>
            <w:sz w:val="20"/>
            <w:szCs w:val="20"/>
            <w:lang w:val="en-US" w:eastAsia="da-DK"/>
          </w:rPr>
          <w:t>https://www.fcc.gov/document/promoting-unlicensed-use-6-ghz-band</w:t>
        </w:r>
      </w:hyperlink>
      <w:r w:rsidRPr="001F11FD">
        <w:rPr>
          <w:rFonts w:ascii="Arial" w:eastAsia="Calibri" w:hAnsi="Arial" w:cs="Arial"/>
          <w:sz w:val="20"/>
          <w:szCs w:val="20"/>
          <w:lang w:val="en-US" w:eastAsia="da-DK"/>
        </w:rPr>
        <w:t>.</w:t>
      </w:r>
    </w:p>
    <w:p w:rsidR="00AC6730" w:rsidRPr="001F11FD" w:rsidRDefault="00AC6730" w:rsidP="00E676C0">
      <w:pPr>
        <w:spacing w:after="0" w:line="240" w:lineRule="auto"/>
        <w:rPr>
          <w:rFonts w:ascii="Arial" w:eastAsia="Calibri" w:hAnsi="Arial" w:cs="Arial"/>
          <w:sz w:val="20"/>
          <w:szCs w:val="20"/>
          <w:lang w:val="en-US" w:eastAsia="da-DK"/>
        </w:rPr>
      </w:pPr>
    </w:p>
    <w:p w:rsidR="00AC6730" w:rsidRPr="001F11FD" w:rsidRDefault="00AC6730" w:rsidP="00E676C0">
      <w:pPr>
        <w:spacing w:after="0" w:line="240" w:lineRule="auto"/>
        <w:rPr>
          <w:rFonts w:ascii="Arial" w:eastAsia="Calibri" w:hAnsi="Arial" w:cs="Arial"/>
          <w:sz w:val="20"/>
          <w:szCs w:val="20"/>
          <w:lang w:val="en-US" w:eastAsia="da-DK"/>
        </w:rPr>
      </w:pPr>
      <w:r w:rsidRPr="001F11FD">
        <w:rPr>
          <w:rFonts w:ascii="Arial" w:eastAsia="Calibri" w:hAnsi="Arial" w:cs="Arial"/>
          <w:sz w:val="20"/>
          <w:szCs w:val="20"/>
          <w:lang w:val="en-US" w:eastAsia="da-DK"/>
        </w:rPr>
        <w:t xml:space="preserve">It would allow WAS/RLAN with up to 36 dBm </w:t>
      </w:r>
      <w:r w:rsidR="001F11FD">
        <w:rPr>
          <w:rFonts w:ascii="Arial" w:eastAsia="Calibri" w:hAnsi="Arial" w:cs="Arial"/>
          <w:sz w:val="20"/>
          <w:szCs w:val="20"/>
          <w:lang w:val="en-US" w:eastAsia="da-DK"/>
        </w:rPr>
        <w:t xml:space="preserve">e.i.r.p. </w:t>
      </w:r>
      <w:r w:rsidRPr="001F11FD">
        <w:rPr>
          <w:rFonts w:ascii="Arial" w:eastAsia="Calibri" w:hAnsi="Arial" w:cs="Arial"/>
          <w:sz w:val="20"/>
          <w:szCs w:val="20"/>
          <w:lang w:val="en-US" w:eastAsia="da-DK"/>
        </w:rPr>
        <w:t>in the 5.925-7.125 GHz band.</w:t>
      </w:r>
    </w:p>
    <w:p w:rsidR="00AC6730" w:rsidRPr="001F11FD" w:rsidRDefault="00AC6730" w:rsidP="00E676C0">
      <w:pPr>
        <w:spacing w:after="0" w:line="240" w:lineRule="auto"/>
        <w:rPr>
          <w:rFonts w:ascii="Arial" w:eastAsia="Calibri" w:hAnsi="Arial" w:cs="Arial"/>
          <w:sz w:val="20"/>
          <w:szCs w:val="20"/>
          <w:lang w:val="en-US" w:eastAsia="da-DK"/>
        </w:rPr>
      </w:pPr>
    </w:p>
    <w:p w:rsidR="00AC6730" w:rsidRPr="001F11FD" w:rsidRDefault="00AC6730" w:rsidP="00E676C0">
      <w:pPr>
        <w:spacing w:after="0" w:line="240" w:lineRule="auto"/>
        <w:rPr>
          <w:rFonts w:ascii="Arial" w:eastAsia="Calibri" w:hAnsi="Arial" w:cs="Arial"/>
          <w:sz w:val="20"/>
          <w:szCs w:val="20"/>
          <w:lang w:val="en-US" w:eastAsia="da-DK"/>
        </w:rPr>
      </w:pPr>
      <w:r w:rsidRPr="001F11FD">
        <w:rPr>
          <w:rFonts w:ascii="Arial" w:eastAsia="Calibri" w:hAnsi="Arial" w:cs="Arial"/>
          <w:sz w:val="20"/>
          <w:szCs w:val="20"/>
          <w:lang w:val="en-US" w:eastAsia="da-DK"/>
        </w:rPr>
        <w:t>The ‘Notice of Proposed Rule Making’ is not the final step in the FCC’s regulatory process. The NPRM is the FCC’s proposal for rules in 6 GHz for which the Commission will seek public comment. Subsequently, based on input received, FCC will issue a Report and Order.</w:t>
      </w:r>
    </w:p>
    <w:p w:rsidR="00AC6730" w:rsidRPr="009A3A38" w:rsidRDefault="00AC6730" w:rsidP="00AC6730">
      <w:pPr>
        <w:pStyle w:val="Default"/>
        <w:rPr>
          <w:rFonts w:ascii="Arial" w:hAnsi="Arial" w:cs="Arial"/>
          <w:sz w:val="20"/>
          <w:szCs w:val="20"/>
          <w:lang w:val="en-GB"/>
        </w:rPr>
      </w:pPr>
    </w:p>
    <w:p w:rsidR="00AC6730" w:rsidRPr="001F11FD" w:rsidRDefault="00AC6730" w:rsidP="00AC6730">
      <w:pPr>
        <w:pStyle w:val="Default"/>
        <w:rPr>
          <w:rFonts w:ascii="Arial" w:hAnsi="Arial" w:cs="Arial"/>
          <w:sz w:val="20"/>
          <w:szCs w:val="20"/>
          <w:lang w:val="en-US"/>
        </w:rPr>
      </w:pPr>
      <w:r w:rsidRPr="001F11FD">
        <w:rPr>
          <w:rFonts w:ascii="Arial" w:hAnsi="Arial" w:cs="Arial"/>
          <w:sz w:val="20"/>
          <w:szCs w:val="20"/>
          <w:lang w:val="en-US"/>
        </w:rPr>
        <w:t>Key parts of the proposal are:</w:t>
      </w:r>
    </w:p>
    <w:p w:rsidR="00AC6730" w:rsidRPr="001F11FD" w:rsidRDefault="00BF1C90" w:rsidP="00481D8C">
      <w:pPr>
        <w:pStyle w:val="Default"/>
        <w:numPr>
          <w:ilvl w:val="0"/>
          <w:numId w:val="8"/>
        </w:numPr>
        <w:spacing w:after="60"/>
        <w:ind w:left="993"/>
        <w:rPr>
          <w:rFonts w:ascii="Arial" w:hAnsi="Arial" w:cs="Arial"/>
          <w:sz w:val="20"/>
          <w:szCs w:val="20"/>
          <w:lang w:val="en-US"/>
        </w:rPr>
      </w:pPr>
      <w:proofErr w:type="spellStart"/>
      <w:r w:rsidRPr="001F11FD">
        <w:rPr>
          <w:rFonts w:ascii="Arial" w:hAnsi="Arial" w:cs="Arial"/>
          <w:sz w:val="20"/>
          <w:szCs w:val="20"/>
          <w:lang w:val="en-US"/>
        </w:rPr>
        <w:t>Licen</w:t>
      </w:r>
      <w:r>
        <w:rPr>
          <w:rFonts w:ascii="Arial" w:hAnsi="Arial" w:cs="Arial"/>
          <w:sz w:val="20"/>
          <w:szCs w:val="20"/>
          <w:lang w:val="en-US"/>
        </w:rPr>
        <w:t>c</w:t>
      </w:r>
      <w:r w:rsidRPr="001F11FD">
        <w:rPr>
          <w:rFonts w:ascii="Arial" w:hAnsi="Arial" w:cs="Arial"/>
          <w:sz w:val="20"/>
          <w:szCs w:val="20"/>
          <w:lang w:val="en-US"/>
        </w:rPr>
        <w:t>e</w:t>
      </w:r>
      <w:proofErr w:type="spellEnd"/>
      <w:r w:rsidR="00AC6730" w:rsidRPr="001F11FD">
        <w:rPr>
          <w:rFonts w:ascii="Arial" w:hAnsi="Arial" w:cs="Arial"/>
          <w:sz w:val="20"/>
          <w:szCs w:val="20"/>
          <w:lang w:val="en-US"/>
        </w:rPr>
        <w:t>-exemption to operate under the FCC’s Part 15 rules only in locations and frequencies where they would not cause harmful interference to the licensed services in the band;</w:t>
      </w:r>
    </w:p>
    <w:p w:rsidR="00AC6730" w:rsidRPr="001F11FD" w:rsidRDefault="00AC6730" w:rsidP="00481D8C">
      <w:pPr>
        <w:pStyle w:val="Default"/>
        <w:numPr>
          <w:ilvl w:val="0"/>
          <w:numId w:val="8"/>
        </w:numPr>
        <w:spacing w:after="60"/>
        <w:ind w:left="993"/>
        <w:rPr>
          <w:rFonts w:ascii="Arial" w:hAnsi="Arial" w:cs="Arial"/>
          <w:sz w:val="20"/>
          <w:szCs w:val="20"/>
          <w:lang w:val="en-US"/>
        </w:rPr>
      </w:pPr>
      <w:r w:rsidRPr="001F11FD">
        <w:rPr>
          <w:rFonts w:ascii="Arial" w:hAnsi="Arial" w:cs="Arial"/>
          <w:sz w:val="20"/>
          <w:szCs w:val="20"/>
          <w:lang w:val="en-US"/>
        </w:rPr>
        <w:t xml:space="preserve">rules for two types of </w:t>
      </w:r>
      <w:proofErr w:type="spellStart"/>
      <w:r w:rsidR="00BF1C90" w:rsidRPr="001F11FD">
        <w:rPr>
          <w:rFonts w:ascii="Arial" w:hAnsi="Arial" w:cs="Arial"/>
          <w:sz w:val="20"/>
          <w:szCs w:val="20"/>
          <w:lang w:val="en-US"/>
        </w:rPr>
        <w:t>licen</w:t>
      </w:r>
      <w:r w:rsidR="00BF1C90">
        <w:rPr>
          <w:rFonts w:ascii="Arial" w:hAnsi="Arial" w:cs="Arial"/>
          <w:sz w:val="20"/>
          <w:szCs w:val="20"/>
          <w:lang w:val="en-US"/>
        </w:rPr>
        <w:t>c</w:t>
      </w:r>
      <w:r w:rsidR="00BF1C90" w:rsidRPr="001F11FD">
        <w:rPr>
          <w:rFonts w:ascii="Arial" w:hAnsi="Arial" w:cs="Arial"/>
          <w:sz w:val="20"/>
          <w:szCs w:val="20"/>
          <w:lang w:val="en-US"/>
        </w:rPr>
        <w:t>e</w:t>
      </w:r>
      <w:proofErr w:type="spellEnd"/>
      <w:r w:rsidRPr="001F11FD">
        <w:rPr>
          <w:rFonts w:ascii="Arial" w:hAnsi="Arial" w:cs="Arial"/>
          <w:sz w:val="20"/>
          <w:szCs w:val="20"/>
          <w:lang w:val="en-US"/>
        </w:rPr>
        <w:t>-exempt devices tailored to protect incumbent services that operate in distinct parts of the 6 GHz band:</w:t>
      </w:r>
    </w:p>
    <w:p w:rsidR="00AC6730" w:rsidRPr="001F11FD" w:rsidRDefault="00AC6730" w:rsidP="00481D8C">
      <w:pPr>
        <w:pStyle w:val="Default"/>
        <w:numPr>
          <w:ilvl w:val="1"/>
          <w:numId w:val="3"/>
        </w:numPr>
        <w:spacing w:after="60"/>
        <w:ind w:left="1800" w:hanging="524"/>
        <w:rPr>
          <w:rFonts w:ascii="Arial" w:hAnsi="Arial" w:cs="Arial"/>
          <w:sz w:val="20"/>
          <w:szCs w:val="20"/>
          <w:lang w:val="en-US"/>
        </w:rPr>
      </w:pPr>
      <w:proofErr w:type="gramStart"/>
      <w:r w:rsidRPr="001F11FD">
        <w:rPr>
          <w:rFonts w:ascii="Arial" w:hAnsi="Arial" w:cs="Arial"/>
          <w:sz w:val="20"/>
          <w:szCs w:val="20"/>
          <w:lang w:val="en-US"/>
        </w:rPr>
        <w:t>in</w:t>
      </w:r>
      <w:proofErr w:type="gramEnd"/>
      <w:r w:rsidRPr="001F11FD">
        <w:rPr>
          <w:rFonts w:ascii="Arial" w:hAnsi="Arial" w:cs="Arial"/>
          <w:sz w:val="20"/>
          <w:szCs w:val="20"/>
          <w:lang w:val="en-US"/>
        </w:rPr>
        <w:t xml:space="preserve"> the 5.925-6.425 GHz and 6.525-6.875 GHz sub-bands, unlicensed devices would only be allowed to transmit under the control of an automated frequency control (AFC) system. These frequencies are heavily used by point-to-point FS and the FSS. The AFC system would identify frequencies on which unlicensed devices could operate without causing harmful interference to FS p-t-p receivers.</w:t>
      </w:r>
    </w:p>
    <w:p w:rsidR="00AC6730" w:rsidRPr="001F11FD" w:rsidRDefault="00AC6730" w:rsidP="00263340">
      <w:pPr>
        <w:pStyle w:val="Default"/>
        <w:spacing w:after="60"/>
        <w:ind w:left="1843" w:hanging="524"/>
        <w:rPr>
          <w:rFonts w:ascii="Arial" w:hAnsi="Arial" w:cs="Arial"/>
          <w:sz w:val="20"/>
          <w:szCs w:val="20"/>
          <w:lang w:val="en-US"/>
        </w:rPr>
      </w:pPr>
      <w:r w:rsidRPr="001F11FD">
        <w:rPr>
          <w:rFonts w:ascii="Arial" w:hAnsi="Arial" w:cs="Arial"/>
          <w:sz w:val="20"/>
          <w:szCs w:val="20"/>
          <w:lang w:val="en-US"/>
        </w:rPr>
        <w:t xml:space="preserve">o </w:t>
      </w:r>
      <w:r w:rsidR="009443AD">
        <w:rPr>
          <w:rFonts w:ascii="Arial" w:hAnsi="Arial" w:cs="Arial"/>
          <w:sz w:val="20"/>
          <w:szCs w:val="20"/>
          <w:lang w:val="en-US"/>
        </w:rPr>
        <w:t xml:space="preserve">    i</w:t>
      </w:r>
      <w:r w:rsidRPr="001F11FD">
        <w:rPr>
          <w:rFonts w:ascii="Arial" w:hAnsi="Arial" w:cs="Arial"/>
          <w:sz w:val="20"/>
          <w:szCs w:val="20"/>
          <w:lang w:val="en-US"/>
        </w:rPr>
        <w:t>n the 6.425-6.525 GHz and 6.875-7.125 GHz sub-bands, unlicensed devices would be restricted to indoor use and would operate at lower power, without an AFC system.</w:t>
      </w:r>
      <w:r w:rsidR="0047781D" w:rsidRPr="001F11FD">
        <w:rPr>
          <w:rFonts w:ascii="Arial" w:hAnsi="Arial" w:cs="Arial"/>
          <w:sz w:val="20"/>
          <w:szCs w:val="20"/>
          <w:lang w:val="en-US"/>
        </w:rPr>
        <w:t xml:space="preserve"> </w:t>
      </w:r>
      <w:r w:rsidRPr="001F11FD">
        <w:rPr>
          <w:rFonts w:ascii="Arial" w:hAnsi="Arial" w:cs="Arial"/>
          <w:sz w:val="20"/>
          <w:szCs w:val="20"/>
          <w:lang w:val="en-US"/>
        </w:rPr>
        <w:t xml:space="preserve">These frequencies are used for mobile services, such as the Broadcast Auxiliary Service and Cable Television Relay Service, as well as </w:t>
      </w:r>
      <w:r w:rsidR="0047781D" w:rsidRPr="001F11FD">
        <w:rPr>
          <w:rFonts w:ascii="Arial" w:hAnsi="Arial" w:cs="Arial"/>
          <w:sz w:val="20"/>
          <w:szCs w:val="20"/>
          <w:lang w:val="en-US"/>
        </w:rPr>
        <w:t>FS and FSS</w:t>
      </w:r>
      <w:r w:rsidRPr="001F11FD">
        <w:rPr>
          <w:rFonts w:ascii="Arial" w:hAnsi="Arial" w:cs="Arial"/>
          <w:sz w:val="20"/>
          <w:szCs w:val="20"/>
          <w:lang w:val="en-US"/>
        </w:rPr>
        <w:t>. The itinerant nature of the mobile services makes the use of an AFC system impractical.</w:t>
      </w:r>
      <w:r w:rsidR="0047781D" w:rsidRPr="001F11FD">
        <w:rPr>
          <w:rFonts w:ascii="Arial" w:hAnsi="Arial" w:cs="Arial"/>
          <w:sz w:val="20"/>
          <w:szCs w:val="20"/>
          <w:lang w:val="en-US"/>
        </w:rPr>
        <w:t xml:space="preserve"> </w:t>
      </w:r>
      <w:r w:rsidRPr="001F11FD">
        <w:rPr>
          <w:rFonts w:ascii="Arial" w:hAnsi="Arial" w:cs="Arial"/>
          <w:sz w:val="20"/>
          <w:szCs w:val="20"/>
          <w:lang w:val="en-US"/>
        </w:rPr>
        <w:t xml:space="preserve">The </w:t>
      </w:r>
      <w:r w:rsidRPr="001F11FD">
        <w:rPr>
          <w:rFonts w:ascii="Arial" w:hAnsi="Arial" w:cs="Arial"/>
          <w:sz w:val="20"/>
          <w:szCs w:val="20"/>
          <w:lang w:val="en-US"/>
        </w:rPr>
        <w:lastRenderedPageBreak/>
        <w:t xml:space="preserve">combination of lower power and indoor operations would protect licensed services operating on these frequencies from harmful interference. </w:t>
      </w:r>
    </w:p>
    <w:p w:rsidR="009443AD" w:rsidRPr="001F11FD" w:rsidRDefault="009443AD" w:rsidP="00E576A8">
      <w:pPr>
        <w:spacing w:after="0" w:line="240" w:lineRule="auto"/>
        <w:rPr>
          <w:rFonts w:ascii="Arial" w:eastAsia="Calibri" w:hAnsi="Arial" w:cs="Arial"/>
          <w:sz w:val="20"/>
          <w:szCs w:val="20"/>
          <w:lang w:val="en-US"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2342"/>
        <w:gridCol w:w="2342"/>
        <w:gridCol w:w="2342"/>
      </w:tblGrid>
      <w:tr w:rsidR="0047781D" w:rsidRPr="0047781D" w:rsidTr="00B43306">
        <w:trPr>
          <w:trHeight w:val="294"/>
        </w:trPr>
        <w:tc>
          <w:tcPr>
            <w:tcW w:w="2342" w:type="dxa"/>
            <w:shd w:val="clear" w:color="auto" w:fill="D2232A"/>
          </w:tcPr>
          <w:p w:rsidR="0047781D" w:rsidRPr="00276849" w:rsidRDefault="0047781D" w:rsidP="00B43306">
            <w:pPr>
              <w:autoSpaceDE w:val="0"/>
              <w:autoSpaceDN w:val="0"/>
              <w:adjustRightInd w:val="0"/>
              <w:spacing w:before="120" w:after="120" w:line="240" w:lineRule="auto"/>
              <w:rPr>
                <w:rFonts w:ascii="Arial" w:hAnsi="Arial" w:cs="Arial"/>
                <w:b/>
                <w:color w:val="FFFFFF" w:themeColor="background1"/>
                <w:sz w:val="20"/>
                <w:szCs w:val="20"/>
              </w:rPr>
            </w:pPr>
            <w:r w:rsidRPr="00276849">
              <w:rPr>
                <w:rFonts w:ascii="Arial" w:hAnsi="Arial" w:cs="Arial"/>
                <w:b/>
                <w:color w:val="FFFFFF" w:themeColor="background1"/>
                <w:sz w:val="20"/>
                <w:szCs w:val="20"/>
              </w:rPr>
              <w:t xml:space="preserve">Band (GHz) </w:t>
            </w:r>
          </w:p>
        </w:tc>
        <w:tc>
          <w:tcPr>
            <w:tcW w:w="2342" w:type="dxa"/>
            <w:shd w:val="clear" w:color="auto" w:fill="D2232A"/>
          </w:tcPr>
          <w:p w:rsidR="0047781D" w:rsidRPr="00276849" w:rsidRDefault="0047781D" w:rsidP="00B43306">
            <w:pPr>
              <w:autoSpaceDE w:val="0"/>
              <w:autoSpaceDN w:val="0"/>
              <w:adjustRightInd w:val="0"/>
              <w:spacing w:before="120" w:after="120" w:line="240" w:lineRule="auto"/>
              <w:rPr>
                <w:rFonts w:ascii="Arial" w:hAnsi="Arial" w:cs="Arial"/>
                <w:b/>
                <w:color w:val="FFFFFF" w:themeColor="background1"/>
                <w:sz w:val="20"/>
                <w:szCs w:val="20"/>
              </w:rPr>
            </w:pPr>
            <w:r w:rsidRPr="00276849">
              <w:rPr>
                <w:rFonts w:ascii="Arial" w:hAnsi="Arial" w:cs="Arial"/>
                <w:b/>
                <w:color w:val="FFFFFF" w:themeColor="background1"/>
                <w:sz w:val="20"/>
                <w:szCs w:val="20"/>
              </w:rPr>
              <w:t xml:space="preserve">Primary Allocations </w:t>
            </w:r>
          </w:p>
        </w:tc>
        <w:tc>
          <w:tcPr>
            <w:tcW w:w="2342" w:type="dxa"/>
            <w:shd w:val="clear" w:color="auto" w:fill="D2232A"/>
          </w:tcPr>
          <w:p w:rsidR="0047781D" w:rsidRPr="00276849" w:rsidRDefault="0047781D" w:rsidP="00B43306">
            <w:pPr>
              <w:autoSpaceDE w:val="0"/>
              <w:autoSpaceDN w:val="0"/>
              <w:adjustRightInd w:val="0"/>
              <w:spacing w:before="120" w:after="120" w:line="240" w:lineRule="auto"/>
              <w:rPr>
                <w:rFonts w:ascii="Arial" w:hAnsi="Arial" w:cs="Arial"/>
                <w:b/>
                <w:color w:val="FFFFFF" w:themeColor="background1"/>
                <w:sz w:val="20"/>
                <w:szCs w:val="20"/>
                <w:lang w:val="en-US"/>
              </w:rPr>
            </w:pPr>
            <w:r w:rsidRPr="00276849">
              <w:rPr>
                <w:rFonts w:ascii="Arial" w:hAnsi="Arial" w:cs="Arial"/>
                <w:b/>
                <w:color w:val="FFFFFF" w:themeColor="background1"/>
                <w:sz w:val="20"/>
                <w:szCs w:val="20"/>
                <w:lang w:val="en-US"/>
              </w:rPr>
              <w:t xml:space="preserve">Reference used </w:t>
            </w:r>
          </w:p>
          <w:p w:rsidR="0047781D" w:rsidRPr="00276849" w:rsidRDefault="0047781D" w:rsidP="00B43306">
            <w:pPr>
              <w:autoSpaceDE w:val="0"/>
              <w:autoSpaceDN w:val="0"/>
              <w:adjustRightInd w:val="0"/>
              <w:spacing w:before="120" w:after="120" w:line="240" w:lineRule="auto"/>
              <w:rPr>
                <w:rFonts w:ascii="Arial" w:hAnsi="Arial" w:cs="Arial"/>
                <w:b/>
                <w:color w:val="FFFFFF" w:themeColor="background1"/>
                <w:sz w:val="20"/>
                <w:szCs w:val="20"/>
                <w:lang w:val="en-US"/>
              </w:rPr>
            </w:pPr>
            <w:r w:rsidRPr="00276849">
              <w:rPr>
                <w:rFonts w:ascii="Arial" w:hAnsi="Arial" w:cs="Arial"/>
                <w:b/>
                <w:color w:val="FFFFFF" w:themeColor="background1"/>
                <w:sz w:val="20"/>
                <w:szCs w:val="20"/>
                <w:lang w:val="en-US"/>
              </w:rPr>
              <w:t>in the NPRM</w:t>
            </w:r>
            <w:r w:rsidRPr="00276849">
              <w:rPr>
                <w:rFonts w:ascii="Arial" w:hAnsi="Arial" w:cs="Arial"/>
                <w:b/>
                <w:color w:val="FFFFFF" w:themeColor="background1"/>
                <w:position w:val="8"/>
                <w:sz w:val="20"/>
                <w:szCs w:val="20"/>
                <w:vertAlign w:val="superscript"/>
                <w:lang w:val="en-US"/>
              </w:rPr>
              <w:t xml:space="preserve"> </w:t>
            </w:r>
          </w:p>
        </w:tc>
        <w:tc>
          <w:tcPr>
            <w:tcW w:w="2342" w:type="dxa"/>
            <w:shd w:val="clear" w:color="auto" w:fill="D2232A"/>
          </w:tcPr>
          <w:p w:rsidR="0047781D" w:rsidRPr="00276849" w:rsidRDefault="0047781D" w:rsidP="00B43306">
            <w:pPr>
              <w:autoSpaceDE w:val="0"/>
              <w:autoSpaceDN w:val="0"/>
              <w:adjustRightInd w:val="0"/>
              <w:spacing w:before="120" w:after="120" w:line="240" w:lineRule="auto"/>
              <w:rPr>
                <w:rFonts w:ascii="Arial" w:hAnsi="Arial" w:cs="Arial"/>
                <w:b/>
                <w:color w:val="FFFFFF" w:themeColor="background1"/>
                <w:sz w:val="20"/>
                <w:szCs w:val="20"/>
              </w:rPr>
            </w:pPr>
            <w:r w:rsidRPr="00276849">
              <w:rPr>
                <w:rFonts w:ascii="Arial" w:hAnsi="Arial" w:cs="Arial"/>
                <w:b/>
                <w:color w:val="FFFFFF" w:themeColor="background1"/>
                <w:sz w:val="20"/>
                <w:szCs w:val="20"/>
              </w:rPr>
              <w:t xml:space="preserve">Devices </w:t>
            </w:r>
          </w:p>
        </w:tc>
      </w:tr>
      <w:tr w:rsidR="0047781D" w:rsidRPr="009A3A38" w:rsidTr="0047781D">
        <w:trPr>
          <w:trHeight w:val="274"/>
        </w:trPr>
        <w:tc>
          <w:tcPr>
            <w:tcW w:w="2342" w:type="dxa"/>
          </w:tcPr>
          <w:p w:rsidR="0047781D" w:rsidRPr="0047781D" w:rsidRDefault="0047781D" w:rsidP="00B43306">
            <w:pPr>
              <w:pStyle w:val="ECCTabletext"/>
            </w:pPr>
            <w:r w:rsidRPr="0047781D">
              <w:t xml:space="preserve">5.925-6.425 </w:t>
            </w:r>
          </w:p>
        </w:tc>
        <w:tc>
          <w:tcPr>
            <w:tcW w:w="2342" w:type="dxa"/>
          </w:tcPr>
          <w:p w:rsidR="0047781D" w:rsidRPr="0047781D" w:rsidRDefault="0047781D" w:rsidP="00B43306">
            <w:pPr>
              <w:pStyle w:val="ECCTabletext"/>
            </w:pPr>
            <w:r w:rsidRPr="0047781D">
              <w:t xml:space="preserve">Fixed Service </w:t>
            </w:r>
          </w:p>
          <w:p w:rsidR="0047781D" w:rsidRPr="0047781D" w:rsidRDefault="0047781D" w:rsidP="00B43306">
            <w:pPr>
              <w:pStyle w:val="ECCTabletext"/>
            </w:pPr>
            <w:r w:rsidRPr="0047781D">
              <w:t xml:space="preserve">FSS </w:t>
            </w:r>
          </w:p>
        </w:tc>
        <w:tc>
          <w:tcPr>
            <w:tcW w:w="2342" w:type="dxa"/>
          </w:tcPr>
          <w:p w:rsidR="0047781D" w:rsidRPr="0047781D" w:rsidRDefault="0047781D" w:rsidP="00B43306">
            <w:pPr>
              <w:pStyle w:val="ECCTabletext"/>
            </w:pPr>
            <w:r w:rsidRPr="0047781D">
              <w:t xml:space="preserve">U-NII-5 </w:t>
            </w:r>
          </w:p>
        </w:tc>
        <w:tc>
          <w:tcPr>
            <w:tcW w:w="2342" w:type="dxa"/>
          </w:tcPr>
          <w:p w:rsidR="0047781D" w:rsidRPr="0047781D" w:rsidRDefault="0047781D" w:rsidP="00B43306">
            <w:pPr>
              <w:pStyle w:val="ECCTabletext"/>
              <w:rPr>
                <w:lang w:val="en-US"/>
              </w:rPr>
            </w:pPr>
            <w:r w:rsidRPr="0047781D">
              <w:rPr>
                <w:lang w:val="en-US"/>
              </w:rPr>
              <w:t xml:space="preserve">Standard-Power Access Point </w:t>
            </w:r>
            <w:r w:rsidRPr="001F11FD">
              <w:rPr>
                <w:lang w:val="en-US"/>
              </w:rPr>
              <w:t>(up to 36 dBm e.i.r.p.)</w:t>
            </w:r>
          </w:p>
        </w:tc>
      </w:tr>
      <w:tr w:rsidR="0047781D" w:rsidRPr="009A3A38" w:rsidTr="0047781D">
        <w:trPr>
          <w:trHeight w:val="275"/>
        </w:trPr>
        <w:tc>
          <w:tcPr>
            <w:tcW w:w="2342" w:type="dxa"/>
          </w:tcPr>
          <w:p w:rsidR="0047781D" w:rsidRPr="0047781D" w:rsidRDefault="0047781D" w:rsidP="00B43306">
            <w:pPr>
              <w:pStyle w:val="ECCTabletext"/>
            </w:pPr>
            <w:r w:rsidRPr="0047781D">
              <w:t xml:space="preserve">6.425-6.525 </w:t>
            </w:r>
          </w:p>
        </w:tc>
        <w:tc>
          <w:tcPr>
            <w:tcW w:w="2342" w:type="dxa"/>
          </w:tcPr>
          <w:p w:rsidR="0047781D" w:rsidRPr="0047781D" w:rsidRDefault="0047781D" w:rsidP="00B43306">
            <w:pPr>
              <w:pStyle w:val="ECCTabletext"/>
            </w:pPr>
            <w:r w:rsidRPr="0047781D">
              <w:t xml:space="preserve">Mobile Service </w:t>
            </w:r>
          </w:p>
          <w:p w:rsidR="0047781D" w:rsidRPr="0047781D" w:rsidRDefault="0047781D" w:rsidP="00B43306">
            <w:pPr>
              <w:pStyle w:val="ECCTabletext"/>
            </w:pPr>
            <w:r w:rsidRPr="0047781D">
              <w:t xml:space="preserve">FSS </w:t>
            </w:r>
          </w:p>
        </w:tc>
        <w:tc>
          <w:tcPr>
            <w:tcW w:w="2342" w:type="dxa"/>
          </w:tcPr>
          <w:p w:rsidR="0047781D" w:rsidRPr="0047781D" w:rsidRDefault="0047781D" w:rsidP="00B43306">
            <w:pPr>
              <w:pStyle w:val="ECCTabletext"/>
            </w:pPr>
            <w:r w:rsidRPr="0047781D">
              <w:t xml:space="preserve">U-NII-6 </w:t>
            </w:r>
          </w:p>
        </w:tc>
        <w:tc>
          <w:tcPr>
            <w:tcW w:w="2342" w:type="dxa"/>
          </w:tcPr>
          <w:p w:rsidR="0047781D" w:rsidRPr="0047781D" w:rsidRDefault="0047781D" w:rsidP="00B43306">
            <w:pPr>
              <w:pStyle w:val="ECCTabletext"/>
              <w:rPr>
                <w:lang w:val="en-US"/>
              </w:rPr>
            </w:pPr>
            <w:r w:rsidRPr="0047781D">
              <w:rPr>
                <w:lang w:val="en-US"/>
              </w:rPr>
              <w:t xml:space="preserve">Low-Power Access Point </w:t>
            </w:r>
            <w:r w:rsidRPr="001F11FD">
              <w:rPr>
                <w:lang w:val="en-US"/>
              </w:rPr>
              <w:t>(up to 30 dBm e.i.r.p.), client devices up to 24 dBm</w:t>
            </w:r>
          </w:p>
        </w:tc>
      </w:tr>
      <w:tr w:rsidR="0047781D" w:rsidRPr="009A3A38" w:rsidTr="0047781D">
        <w:trPr>
          <w:trHeight w:val="274"/>
        </w:trPr>
        <w:tc>
          <w:tcPr>
            <w:tcW w:w="2342" w:type="dxa"/>
          </w:tcPr>
          <w:p w:rsidR="0047781D" w:rsidRPr="0047781D" w:rsidRDefault="0047781D" w:rsidP="00B43306">
            <w:pPr>
              <w:pStyle w:val="ECCTabletext"/>
              <w:rPr>
                <w:lang w:val="en-US"/>
              </w:rPr>
            </w:pPr>
            <w:r w:rsidRPr="0047781D">
              <w:rPr>
                <w:lang w:val="en-US"/>
              </w:rPr>
              <w:t xml:space="preserve">6.525-6.875 </w:t>
            </w:r>
          </w:p>
        </w:tc>
        <w:tc>
          <w:tcPr>
            <w:tcW w:w="2342" w:type="dxa"/>
          </w:tcPr>
          <w:p w:rsidR="0047781D" w:rsidRPr="0047781D" w:rsidRDefault="0047781D" w:rsidP="00B43306">
            <w:pPr>
              <w:pStyle w:val="ECCTabletext"/>
              <w:rPr>
                <w:lang w:val="en-US"/>
              </w:rPr>
            </w:pPr>
            <w:r w:rsidRPr="0047781D">
              <w:rPr>
                <w:lang w:val="en-US"/>
              </w:rPr>
              <w:t xml:space="preserve">Fixed Service </w:t>
            </w:r>
          </w:p>
          <w:p w:rsidR="0047781D" w:rsidRPr="0047781D" w:rsidRDefault="00E83977" w:rsidP="00B43306">
            <w:pPr>
              <w:pStyle w:val="ECCTabletext"/>
              <w:rPr>
                <w:lang w:val="en-US"/>
              </w:rPr>
            </w:pPr>
            <w:r>
              <w:rPr>
                <w:lang w:val="en-US"/>
              </w:rPr>
              <w:tab/>
            </w:r>
            <w:r w:rsidR="0047781D" w:rsidRPr="0047781D">
              <w:rPr>
                <w:lang w:val="en-US"/>
              </w:rPr>
              <w:t xml:space="preserve">FSS </w:t>
            </w:r>
          </w:p>
        </w:tc>
        <w:tc>
          <w:tcPr>
            <w:tcW w:w="2342" w:type="dxa"/>
          </w:tcPr>
          <w:p w:rsidR="0047781D" w:rsidRPr="0047781D" w:rsidRDefault="0047781D" w:rsidP="00B43306">
            <w:pPr>
              <w:pStyle w:val="ECCTabletext"/>
              <w:rPr>
                <w:lang w:val="en-US"/>
              </w:rPr>
            </w:pPr>
            <w:r w:rsidRPr="0047781D">
              <w:rPr>
                <w:lang w:val="en-US"/>
              </w:rPr>
              <w:t xml:space="preserve">U-NII-7 </w:t>
            </w:r>
          </w:p>
        </w:tc>
        <w:tc>
          <w:tcPr>
            <w:tcW w:w="2342" w:type="dxa"/>
          </w:tcPr>
          <w:p w:rsidR="0047781D" w:rsidRPr="0047781D" w:rsidRDefault="0047781D" w:rsidP="00B43306">
            <w:pPr>
              <w:pStyle w:val="ECCTabletext"/>
              <w:rPr>
                <w:lang w:val="en-US"/>
              </w:rPr>
            </w:pPr>
            <w:r w:rsidRPr="0047781D">
              <w:rPr>
                <w:lang w:val="en-US"/>
              </w:rPr>
              <w:t xml:space="preserve">Standard-Power Access Point </w:t>
            </w:r>
            <w:r w:rsidRPr="001F11FD">
              <w:rPr>
                <w:lang w:val="en-US"/>
              </w:rPr>
              <w:t>(up to 36 dBm e.i.r.p.)</w:t>
            </w:r>
          </w:p>
        </w:tc>
      </w:tr>
      <w:tr w:rsidR="0047781D" w:rsidRPr="009A3A38" w:rsidTr="0047781D">
        <w:trPr>
          <w:trHeight w:val="401"/>
        </w:trPr>
        <w:tc>
          <w:tcPr>
            <w:tcW w:w="2342" w:type="dxa"/>
          </w:tcPr>
          <w:p w:rsidR="0047781D" w:rsidRPr="0047781D" w:rsidRDefault="0047781D" w:rsidP="00B43306">
            <w:pPr>
              <w:pStyle w:val="ECCTabletext"/>
              <w:rPr>
                <w:lang w:val="en-US"/>
              </w:rPr>
            </w:pPr>
            <w:r w:rsidRPr="0047781D">
              <w:rPr>
                <w:lang w:val="en-US"/>
              </w:rPr>
              <w:t xml:space="preserve">6.875-7.125 </w:t>
            </w:r>
          </w:p>
        </w:tc>
        <w:tc>
          <w:tcPr>
            <w:tcW w:w="2342" w:type="dxa"/>
          </w:tcPr>
          <w:p w:rsidR="0047781D" w:rsidRPr="0047781D" w:rsidRDefault="0047781D" w:rsidP="00B43306">
            <w:pPr>
              <w:pStyle w:val="ECCTabletext"/>
              <w:rPr>
                <w:lang w:val="en-US"/>
              </w:rPr>
            </w:pPr>
            <w:r w:rsidRPr="0047781D">
              <w:rPr>
                <w:lang w:val="en-US"/>
              </w:rPr>
              <w:t xml:space="preserve">Fixed Service </w:t>
            </w:r>
          </w:p>
          <w:p w:rsidR="0047781D" w:rsidRPr="0047781D" w:rsidRDefault="0047781D" w:rsidP="00B43306">
            <w:pPr>
              <w:pStyle w:val="ECCTabletext"/>
              <w:rPr>
                <w:lang w:val="en-US"/>
              </w:rPr>
            </w:pPr>
            <w:r w:rsidRPr="0047781D">
              <w:rPr>
                <w:lang w:val="en-US"/>
              </w:rPr>
              <w:t xml:space="preserve">Mobile Service </w:t>
            </w:r>
          </w:p>
          <w:p w:rsidR="0047781D" w:rsidRPr="0047781D" w:rsidRDefault="0047781D" w:rsidP="00B43306">
            <w:pPr>
              <w:pStyle w:val="ECCTabletext"/>
              <w:rPr>
                <w:lang w:val="en-US"/>
              </w:rPr>
            </w:pPr>
            <w:r w:rsidRPr="0047781D">
              <w:rPr>
                <w:lang w:val="en-US"/>
              </w:rPr>
              <w:t>FSS</w:t>
            </w:r>
            <w:r w:rsidRPr="0047781D">
              <w:rPr>
                <w:position w:val="8"/>
                <w:vertAlign w:val="superscript"/>
                <w:lang w:val="en-US"/>
              </w:rPr>
              <w:t xml:space="preserve">64 </w:t>
            </w:r>
          </w:p>
        </w:tc>
        <w:tc>
          <w:tcPr>
            <w:tcW w:w="2342" w:type="dxa"/>
          </w:tcPr>
          <w:p w:rsidR="0047781D" w:rsidRPr="0047781D" w:rsidRDefault="0047781D" w:rsidP="00B43306">
            <w:pPr>
              <w:pStyle w:val="ECCTabletext"/>
            </w:pPr>
            <w:r w:rsidRPr="0047781D">
              <w:t xml:space="preserve">U-NII-8 </w:t>
            </w:r>
          </w:p>
        </w:tc>
        <w:tc>
          <w:tcPr>
            <w:tcW w:w="2342" w:type="dxa"/>
          </w:tcPr>
          <w:p w:rsidR="0047781D" w:rsidRPr="0047781D" w:rsidRDefault="0047781D" w:rsidP="00B43306">
            <w:pPr>
              <w:pStyle w:val="ECCTabletext"/>
              <w:rPr>
                <w:lang w:val="en-US"/>
              </w:rPr>
            </w:pPr>
            <w:r w:rsidRPr="0047781D">
              <w:rPr>
                <w:lang w:val="en-US"/>
              </w:rPr>
              <w:t xml:space="preserve">Low-Power Access Point </w:t>
            </w:r>
            <w:r w:rsidRPr="001F11FD">
              <w:rPr>
                <w:lang w:val="en-US"/>
              </w:rPr>
              <w:t>(up to 30 dBm e.i.r.p.), client devices up to 24 dBm</w:t>
            </w:r>
          </w:p>
        </w:tc>
      </w:tr>
    </w:tbl>
    <w:p w:rsidR="00AC6730" w:rsidRPr="001F11FD" w:rsidRDefault="00AC6730" w:rsidP="00E576A8">
      <w:pPr>
        <w:spacing w:after="0" w:line="240" w:lineRule="auto"/>
        <w:rPr>
          <w:rFonts w:ascii="Arial" w:eastAsia="Calibri" w:hAnsi="Arial" w:cs="Arial"/>
          <w:sz w:val="20"/>
          <w:szCs w:val="20"/>
          <w:lang w:val="en-US" w:eastAsia="da-DK"/>
        </w:rPr>
      </w:pPr>
    </w:p>
    <w:p w:rsidR="00AC6730" w:rsidRDefault="0047781D" w:rsidP="00B43306">
      <w:pPr>
        <w:spacing w:after="0" w:line="240" w:lineRule="auto"/>
        <w:jc w:val="both"/>
        <w:rPr>
          <w:rFonts w:ascii="Arial" w:eastAsia="Calibri" w:hAnsi="Arial" w:cs="Arial"/>
          <w:sz w:val="20"/>
          <w:szCs w:val="20"/>
          <w:lang w:val="en-US" w:eastAsia="da-DK"/>
        </w:rPr>
      </w:pPr>
      <w:r w:rsidRPr="001F11FD">
        <w:rPr>
          <w:rFonts w:ascii="Arial" w:eastAsia="Calibri" w:hAnsi="Arial" w:cs="Arial"/>
          <w:sz w:val="20"/>
          <w:szCs w:val="20"/>
          <w:lang w:val="en-US" w:eastAsia="da-DK"/>
        </w:rPr>
        <w:t xml:space="preserve">To determine whether an individual unlicensed device can transmit at a particular location on a given frequency, the FCC proposes that standard-power access points be required to obtain a list of permissible frequencies from an AFC system prior to transmitting or a list of prohibited frequencies. </w:t>
      </w:r>
      <w:r w:rsidR="009A3A38">
        <w:rPr>
          <w:rFonts w:ascii="Arial" w:eastAsia="Calibri" w:hAnsi="Arial" w:cs="Arial"/>
          <w:sz w:val="20"/>
          <w:szCs w:val="20"/>
          <w:lang w:val="en-US" w:eastAsia="da-DK"/>
        </w:rPr>
        <w:t>I</w:t>
      </w:r>
      <w:r w:rsidRPr="001F11FD">
        <w:rPr>
          <w:rFonts w:ascii="Arial" w:eastAsia="Calibri" w:hAnsi="Arial" w:cs="Arial"/>
          <w:sz w:val="20"/>
          <w:szCs w:val="20"/>
          <w:lang w:val="en-US" w:eastAsia="da-DK"/>
        </w:rPr>
        <w:t xml:space="preserve">.e. devices are required to access a database system that determines the available frequencies at a device’s location prior to operation. A device may transmit only on frequencies that the database system indicates are available for use. </w:t>
      </w:r>
      <w:r w:rsidR="001F11FD" w:rsidRPr="001F11FD">
        <w:rPr>
          <w:rFonts w:ascii="Arial" w:eastAsia="Calibri" w:hAnsi="Arial" w:cs="Arial"/>
          <w:sz w:val="20"/>
          <w:szCs w:val="20"/>
          <w:lang w:val="en-US" w:eastAsia="da-DK"/>
        </w:rPr>
        <w:t>The FCC e</w:t>
      </w:r>
      <w:r w:rsidRPr="001F11FD">
        <w:rPr>
          <w:rFonts w:ascii="Arial" w:eastAsia="Calibri" w:hAnsi="Arial" w:cs="Arial"/>
          <w:sz w:val="20"/>
          <w:szCs w:val="20"/>
          <w:lang w:val="en-US" w:eastAsia="da-DK"/>
        </w:rPr>
        <w:t>nvision</w:t>
      </w:r>
      <w:r w:rsidR="001F11FD" w:rsidRPr="001F11FD">
        <w:rPr>
          <w:rFonts w:ascii="Arial" w:eastAsia="Calibri" w:hAnsi="Arial" w:cs="Arial"/>
          <w:sz w:val="20"/>
          <w:szCs w:val="20"/>
          <w:lang w:val="en-US" w:eastAsia="da-DK"/>
        </w:rPr>
        <w:t>s</w:t>
      </w:r>
      <w:r w:rsidRPr="001F11FD">
        <w:rPr>
          <w:rFonts w:ascii="Arial" w:eastAsia="Calibri" w:hAnsi="Arial" w:cs="Arial"/>
          <w:sz w:val="20"/>
          <w:szCs w:val="20"/>
          <w:lang w:val="en-US" w:eastAsia="da-DK"/>
        </w:rPr>
        <w:t xml:space="preserve"> the AFC system to be a simple database that is easy to implement</w:t>
      </w:r>
      <w:r w:rsidR="001F11FD" w:rsidRPr="001F11FD">
        <w:rPr>
          <w:rFonts w:ascii="Arial" w:eastAsia="Calibri" w:hAnsi="Arial" w:cs="Arial"/>
          <w:sz w:val="20"/>
          <w:szCs w:val="20"/>
          <w:lang w:val="en-US" w:eastAsia="da-DK"/>
        </w:rPr>
        <w:t>.</w:t>
      </w:r>
    </w:p>
    <w:p w:rsidR="009443AD" w:rsidRDefault="009443AD" w:rsidP="00B43306">
      <w:pPr>
        <w:spacing w:after="0" w:line="240" w:lineRule="auto"/>
        <w:jc w:val="both"/>
        <w:rPr>
          <w:rFonts w:ascii="Arial" w:eastAsia="Calibri" w:hAnsi="Arial" w:cs="Arial"/>
          <w:sz w:val="20"/>
          <w:szCs w:val="20"/>
          <w:lang w:val="en-US" w:eastAsia="da-DK"/>
        </w:rPr>
      </w:pPr>
    </w:p>
    <w:p w:rsidR="009443AD" w:rsidRDefault="009443AD" w:rsidP="00B43306">
      <w:pPr>
        <w:spacing w:after="0" w:line="240" w:lineRule="auto"/>
        <w:jc w:val="both"/>
        <w:rPr>
          <w:rFonts w:ascii="Arial" w:eastAsia="Calibri" w:hAnsi="Arial" w:cs="Arial"/>
          <w:sz w:val="20"/>
          <w:szCs w:val="20"/>
          <w:lang w:val="en-US" w:eastAsia="da-DK"/>
        </w:rPr>
      </w:pPr>
      <w:r>
        <w:rPr>
          <w:rFonts w:ascii="Arial" w:eastAsia="Calibri" w:hAnsi="Arial" w:cs="Arial"/>
          <w:sz w:val="20"/>
          <w:szCs w:val="20"/>
          <w:lang w:val="en-US" w:eastAsia="da-DK"/>
        </w:rPr>
        <w:t>In IEEE, t</w:t>
      </w:r>
      <w:r w:rsidRPr="009443AD">
        <w:rPr>
          <w:rFonts w:ascii="Arial" w:eastAsia="Calibri" w:hAnsi="Arial" w:cs="Arial"/>
          <w:sz w:val="20"/>
          <w:szCs w:val="20"/>
          <w:lang w:val="en-US" w:eastAsia="da-DK"/>
        </w:rPr>
        <w:t xml:space="preserve">he channel plan </w:t>
      </w:r>
      <w:r>
        <w:rPr>
          <w:rFonts w:ascii="Arial" w:eastAsia="Calibri" w:hAnsi="Arial" w:cs="Arial"/>
          <w:sz w:val="20"/>
          <w:szCs w:val="20"/>
          <w:lang w:val="en-US" w:eastAsia="da-DK"/>
        </w:rPr>
        <w:t xml:space="preserve">for IEEE </w:t>
      </w:r>
      <w:r w:rsidRPr="009443AD">
        <w:rPr>
          <w:rFonts w:ascii="Arial" w:eastAsia="Calibri" w:hAnsi="Arial" w:cs="Arial"/>
          <w:sz w:val="20"/>
          <w:szCs w:val="20"/>
          <w:lang w:val="en-US" w:eastAsia="da-DK"/>
        </w:rPr>
        <w:t xml:space="preserve">P802.11ax Draft 3.0 </w:t>
      </w:r>
      <w:r>
        <w:rPr>
          <w:rFonts w:ascii="Arial" w:eastAsia="Calibri" w:hAnsi="Arial" w:cs="Arial"/>
          <w:sz w:val="20"/>
          <w:szCs w:val="20"/>
          <w:lang w:val="en-US" w:eastAsia="da-DK"/>
        </w:rPr>
        <w:t>has been agreed</w:t>
      </w:r>
      <w:r w:rsidRPr="009443AD">
        <w:rPr>
          <w:rFonts w:ascii="Arial" w:eastAsia="Calibri" w:hAnsi="Arial" w:cs="Arial"/>
          <w:sz w:val="20"/>
          <w:szCs w:val="20"/>
          <w:lang w:val="en-US" w:eastAsia="da-DK"/>
        </w:rPr>
        <w:t xml:space="preserve"> </w:t>
      </w:r>
      <w:r>
        <w:rPr>
          <w:rFonts w:ascii="Arial" w:eastAsia="Calibri" w:hAnsi="Arial" w:cs="Arial"/>
          <w:sz w:val="20"/>
          <w:szCs w:val="20"/>
          <w:lang w:val="en-US" w:eastAsia="da-DK"/>
        </w:rPr>
        <w:t xml:space="preserve">in July 2018 and </w:t>
      </w:r>
      <w:proofErr w:type="gramStart"/>
      <w:r>
        <w:rPr>
          <w:rFonts w:ascii="Arial" w:eastAsia="Calibri" w:hAnsi="Arial" w:cs="Arial"/>
          <w:sz w:val="20"/>
          <w:szCs w:val="20"/>
          <w:lang w:val="en-US" w:eastAsia="da-DK"/>
        </w:rPr>
        <w:t xml:space="preserve">shows </w:t>
      </w:r>
      <w:r w:rsidRPr="009443AD">
        <w:rPr>
          <w:rFonts w:ascii="Arial" w:eastAsia="Calibri" w:hAnsi="Arial" w:cs="Arial"/>
          <w:sz w:val="20"/>
          <w:szCs w:val="20"/>
          <w:lang w:val="en-US" w:eastAsia="da-DK"/>
        </w:rPr>
        <w:t xml:space="preserve">no </w:t>
      </w:r>
      <w:r>
        <w:rPr>
          <w:rFonts w:ascii="Arial" w:eastAsia="Calibri" w:hAnsi="Arial" w:cs="Arial"/>
          <w:sz w:val="20"/>
          <w:szCs w:val="20"/>
          <w:lang w:val="en-US" w:eastAsia="da-DK"/>
        </w:rPr>
        <w:t>WAS/</w:t>
      </w:r>
      <w:proofErr w:type="gramEnd"/>
      <w:r>
        <w:rPr>
          <w:rFonts w:ascii="Arial" w:eastAsia="Calibri" w:hAnsi="Arial" w:cs="Arial"/>
          <w:sz w:val="20"/>
          <w:szCs w:val="20"/>
          <w:lang w:val="en-US" w:eastAsia="da-DK"/>
        </w:rPr>
        <w:t xml:space="preserve">RLAN </w:t>
      </w:r>
      <w:r w:rsidRPr="009443AD">
        <w:rPr>
          <w:rFonts w:ascii="Arial" w:eastAsia="Calibri" w:hAnsi="Arial" w:cs="Arial"/>
          <w:sz w:val="20"/>
          <w:szCs w:val="20"/>
          <w:lang w:val="en-US" w:eastAsia="da-DK"/>
        </w:rPr>
        <w:t>channels below 5935 MHz</w:t>
      </w:r>
      <w:r>
        <w:rPr>
          <w:rFonts w:ascii="Arial" w:eastAsia="Calibri" w:hAnsi="Arial" w:cs="Arial"/>
          <w:sz w:val="20"/>
          <w:szCs w:val="20"/>
          <w:lang w:val="en-US" w:eastAsia="da-DK"/>
        </w:rPr>
        <w:t>:</w:t>
      </w:r>
    </w:p>
    <w:p w:rsidR="009443AD" w:rsidRDefault="009443AD" w:rsidP="009443AD">
      <w:pPr>
        <w:spacing w:after="0" w:line="240" w:lineRule="auto"/>
        <w:rPr>
          <w:rFonts w:ascii="Arial" w:eastAsia="Calibri" w:hAnsi="Arial" w:cs="Arial"/>
          <w:sz w:val="20"/>
          <w:szCs w:val="20"/>
          <w:lang w:val="en-US" w:eastAsia="da-DK"/>
        </w:rPr>
      </w:pPr>
    </w:p>
    <w:p w:rsidR="009443AD" w:rsidRDefault="00C248CF" w:rsidP="009443AD">
      <w:pPr>
        <w:spacing w:after="0" w:line="240" w:lineRule="auto"/>
        <w:rPr>
          <w:rFonts w:ascii="Arial" w:eastAsia="Calibri" w:hAnsi="Arial" w:cs="Arial"/>
          <w:sz w:val="20"/>
          <w:szCs w:val="20"/>
          <w:lang w:val="en-US" w:eastAsia="da-DK"/>
        </w:rPr>
      </w:pPr>
      <w:r>
        <w:rPr>
          <w:noProof/>
          <w:color w:val="1F497D"/>
          <w:lang w:eastAsia="da-DK"/>
        </w:rPr>
        <w:drawing>
          <wp:inline distT="0" distB="0" distL="0" distR="0" wp14:anchorId="07BFFAAA" wp14:editId="6B000407">
            <wp:extent cx="5876818" cy="1438412"/>
            <wp:effectExtent l="0" t="0" r="0" b="9525"/>
            <wp:docPr id="1" name="Picture 1" descr="cid:image001.png@01D45EE9.1FB16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EE9.1FB16F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909213" cy="1446341"/>
                    </a:xfrm>
                    <a:prstGeom prst="rect">
                      <a:avLst/>
                    </a:prstGeom>
                    <a:noFill/>
                    <a:ln>
                      <a:noFill/>
                    </a:ln>
                  </pic:spPr>
                </pic:pic>
              </a:graphicData>
            </a:graphic>
          </wp:inline>
        </w:drawing>
      </w:r>
    </w:p>
    <w:p w:rsidR="00F13689" w:rsidRDefault="004F3D96" w:rsidP="00E576A8">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(for information in WG</w:t>
      </w:r>
      <w:r w:rsidR="00D2735D">
        <w:rPr>
          <w:rFonts w:ascii="Arial" w:eastAsia="Calibri" w:hAnsi="Arial" w:cs="Arial"/>
          <w:b/>
          <w:sz w:val="20"/>
          <w:szCs w:val="20"/>
          <w:lang w:val="de-DE" w:eastAsia="da-DK"/>
        </w:rPr>
        <w:t xml:space="preserve"> </w:t>
      </w:r>
      <w:r w:rsidRPr="004F3D96">
        <w:rPr>
          <w:rFonts w:ascii="Arial" w:eastAsia="Calibri" w:hAnsi="Arial" w:cs="Arial"/>
          <w:b/>
          <w:sz w:val="20"/>
          <w:szCs w:val="20"/>
          <w:lang w:val="de-DE" w:eastAsia="da-DK"/>
        </w:rPr>
        <w:t>FM, FM5</w:t>
      </w:r>
      <w:r w:rsidR="001F11FD">
        <w:rPr>
          <w:rFonts w:ascii="Arial" w:eastAsia="Calibri" w:hAnsi="Arial" w:cs="Arial"/>
          <w:b/>
          <w:sz w:val="20"/>
          <w:szCs w:val="20"/>
          <w:lang w:val="de-DE" w:eastAsia="da-DK"/>
        </w:rPr>
        <w:t>7</w:t>
      </w:r>
      <w:r w:rsidR="006A2DF7">
        <w:rPr>
          <w:rFonts w:ascii="Arial" w:eastAsia="Calibri" w:hAnsi="Arial" w:cs="Arial"/>
          <w:b/>
          <w:sz w:val="20"/>
          <w:szCs w:val="20"/>
          <w:lang w:val="de-DE" w:eastAsia="da-DK"/>
        </w:rPr>
        <w:t xml:space="preserve">, </w:t>
      </w:r>
      <w:r w:rsidR="001F11FD">
        <w:rPr>
          <w:rFonts w:ascii="Arial" w:eastAsia="Calibri" w:hAnsi="Arial" w:cs="Arial"/>
          <w:b/>
          <w:sz w:val="20"/>
          <w:szCs w:val="20"/>
          <w:lang w:val="de-DE" w:eastAsia="da-DK"/>
        </w:rPr>
        <w:t>WG SE, SE45</w:t>
      </w:r>
      <w:r w:rsidRPr="004F3D96">
        <w:rPr>
          <w:rFonts w:ascii="Arial" w:eastAsia="Calibri" w:hAnsi="Arial" w:cs="Arial"/>
          <w:b/>
          <w:sz w:val="20"/>
          <w:szCs w:val="20"/>
          <w:lang w:val="de-DE" w:eastAsia="da-DK"/>
        </w:rPr>
        <w:t>)</w:t>
      </w:r>
    </w:p>
    <w:p w:rsidR="0093089A" w:rsidRPr="0034479C" w:rsidRDefault="0034479C"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34479C">
        <w:rPr>
          <w:rFonts w:ascii="Arial" w:eastAsia="Times New Roman" w:hAnsi="Arial" w:cs="Arial"/>
          <w:b/>
          <w:bCs/>
          <w:caps/>
          <w:color w:val="D2232A"/>
          <w:kern w:val="32"/>
          <w:sz w:val="20"/>
          <w:szCs w:val="32"/>
          <w:lang w:val="en-US"/>
        </w:rPr>
        <w:lastRenderedPageBreak/>
        <w:t>USA: FCC new Report and Order on ESIM</w:t>
      </w:r>
    </w:p>
    <w:p w:rsidR="0093089A" w:rsidRDefault="0034479C" w:rsidP="0093089A">
      <w:pPr>
        <w:keepNext/>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This includes an a</w:t>
      </w:r>
      <w:r w:rsidR="0093089A" w:rsidRPr="0093089A">
        <w:rPr>
          <w:rFonts w:ascii="Arial" w:eastAsia="Calibri" w:hAnsi="Arial" w:cs="Arial"/>
          <w:sz w:val="20"/>
          <w:szCs w:val="20"/>
          <w:lang w:val="en-GB" w:eastAsia="da-DK"/>
        </w:rPr>
        <w:t>mendment to the Allocation Table</w:t>
      </w:r>
      <w:r w:rsidR="0093089A">
        <w:rPr>
          <w:rFonts w:ascii="Arial" w:eastAsia="Calibri" w:hAnsi="Arial" w:cs="Arial"/>
          <w:sz w:val="20"/>
          <w:szCs w:val="20"/>
          <w:lang w:val="en-GB" w:eastAsia="da-DK"/>
        </w:rPr>
        <w:t xml:space="preserve">, 1 </w:t>
      </w:r>
      <w:r w:rsidR="0093089A" w:rsidRPr="0093089A">
        <w:rPr>
          <w:rFonts w:ascii="Arial" w:eastAsia="Calibri" w:hAnsi="Arial" w:cs="Arial"/>
          <w:sz w:val="20"/>
          <w:szCs w:val="20"/>
          <w:lang w:val="en-GB" w:eastAsia="da-DK"/>
        </w:rPr>
        <w:t>October, 2018 edition</w:t>
      </w:r>
      <w:r>
        <w:rPr>
          <w:rFonts w:ascii="Arial" w:eastAsia="Calibri" w:hAnsi="Arial" w:cs="Arial"/>
          <w:sz w:val="20"/>
          <w:szCs w:val="20"/>
          <w:lang w:val="en-GB" w:eastAsia="da-DK"/>
        </w:rPr>
        <w:t xml:space="preserve">, </w:t>
      </w:r>
      <w:r w:rsidR="0093089A">
        <w:rPr>
          <w:rFonts w:ascii="Arial" w:eastAsia="Calibri" w:hAnsi="Arial" w:cs="Arial"/>
          <w:sz w:val="20"/>
          <w:szCs w:val="20"/>
          <w:lang w:val="en-GB" w:eastAsia="da-DK"/>
        </w:rPr>
        <w:t xml:space="preserve">on </w:t>
      </w:r>
      <w:r w:rsidR="0093089A" w:rsidRPr="0093089A">
        <w:rPr>
          <w:rFonts w:ascii="Arial" w:eastAsia="Calibri" w:hAnsi="Arial" w:cs="Arial"/>
          <w:sz w:val="20"/>
          <w:szCs w:val="20"/>
          <w:lang w:val="en-GB" w:eastAsia="da-DK"/>
        </w:rPr>
        <w:t xml:space="preserve">ESIM </w:t>
      </w:r>
      <w:r w:rsidR="0093089A">
        <w:rPr>
          <w:rFonts w:ascii="Arial" w:eastAsia="Calibri" w:hAnsi="Arial" w:cs="Arial"/>
          <w:sz w:val="20"/>
          <w:szCs w:val="20"/>
          <w:lang w:val="en-GB" w:eastAsia="da-DK"/>
        </w:rPr>
        <w:t xml:space="preserve">– Report and Order </w:t>
      </w:r>
      <w:r w:rsidR="0093089A" w:rsidRPr="0093089A">
        <w:rPr>
          <w:rFonts w:ascii="Arial" w:eastAsia="Calibri" w:hAnsi="Arial" w:cs="Arial"/>
          <w:sz w:val="20"/>
          <w:szCs w:val="20"/>
          <w:lang w:val="en-GB" w:eastAsia="da-DK"/>
        </w:rPr>
        <w:t xml:space="preserve">and FNPRM, </w:t>
      </w:r>
      <w:hyperlink r:id="rId27" w:history="1">
        <w:r w:rsidR="0093089A" w:rsidRPr="0093089A">
          <w:rPr>
            <w:rStyle w:val="Hyperlink"/>
            <w:rFonts w:ascii="Arial" w:eastAsia="Calibri" w:hAnsi="Arial" w:cs="Arial"/>
            <w:sz w:val="20"/>
            <w:szCs w:val="20"/>
            <w:lang w:val="en-GB" w:eastAsia="da-DK"/>
          </w:rPr>
          <w:t>FCC 18-138</w:t>
        </w:r>
      </w:hyperlink>
      <w:r w:rsidR="0093089A">
        <w:rPr>
          <w:rFonts w:ascii="Arial" w:eastAsia="Calibri" w:hAnsi="Arial" w:cs="Arial"/>
          <w:sz w:val="20"/>
          <w:szCs w:val="20"/>
          <w:lang w:val="en-GB" w:eastAsia="da-DK"/>
        </w:rPr>
        <w:t xml:space="preserve"> - </w:t>
      </w:r>
      <w:r w:rsidR="0093089A" w:rsidRPr="0093089A">
        <w:rPr>
          <w:rFonts w:ascii="Arial" w:eastAsia="Calibri" w:hAnsi="Arial" w:cs="Arial"/>
          <w:sz w:val="20"/>
          <w:szCs w:val="20"/>
          <w:lang w:val="en-GB" w:eastAsia="da-DK"/>
        </w:rPr>
        <w:t xml:space="preserve">Amendment of Parts 2 and 25 of the </w:t>
      </w:r>
      <w:r w:rsidR="0093089A">
        <w:rPr>
          <w:rFonts w:ascii="Arial" w:eastAsia="Calibri" w:hAnsi="Arial" w:cs="Arial"/>
          <w:sz w:val="20"/>
          <w:szCs w:val="20"/>
          <w:lang w:val="en-GB" w:eastAsia="da-DK"/>
        </w:rPr>
        <w:t>FCC</w:t>
      </w:r>
      <w:r w:rsidR="0093089A" w:rsidRPr="0093089A">
        <w:rPr>
          <w:rFonts w:ascii="Arial" w:eastAsia="Calibri" w:hAnsi="Arial" w:cs="Arial"/>
          <w:sz w:val="20"/>
          <w:szCs w:val="20"/>
          <w:lang w:val="en-GB" w:eastAsia="da-DK"/>
        </w:rPr>
        <w:t xml:space="preserve">'s </w:t>
      </w:r>
      <w:r w:rsidR="0093089A">
        <w:rPr>
          <w:rFonts w:ascii="Arial" w:eastAsia="Calibri" w:hAnsi="Arial" w:cs="Arial"/>
          <w:sz w:val="20"/>
          <w:szCs w:val="20"/>
          <w:lang w:val="en-GB" w:eastAsia="da-DK"/>
        </w:rPr>
        <w:t>r</w:t>
      </w:r>
      <w:r w:rsidR="0093089A" w:rsidRPr="0093089A">
        <w:rPr>
          <w:rFonts w:ascii="Arial" w:eastAsia="Calibri" w:hAnsi="Arial" w:cs="Arial"/>
          <w:sz w:val="20"/>
          <w:szCs w:val="20"/>
          <w:lang w:val="en-GB" w:eastAsia="da-DK"/>
        </w:rPr>
        <w:t xml:space="preserve">ules to </w:t>
      </w:r>
      <w:r w:rsidR="0093089A">
        <w:rPr>
          <w:rFonts w:ascii="Arial" w:eastAsia="Calibri" w:hAnsi="Arial" w:cs="Arial"/>
          <w:sz w:val="20"/>
          <w:szCs w:val="20"/>
          <w:lang w:val="en-GB" w:eastAsia="da-DK"/>
        </w:rPr>
        <w:t>f</w:t>
      </w:r>
      <w:r w:rsidR="0093089A" w:rsidRPr="0093089A">
        <w:rPr>
          <w:rFonts w:ascii="Arial" w:eastAsia="Calibri" w:hAnsi="Arial" w:cs="Arial"/>
          <w:sz w:val="20"/>
          <w:szCs w:val="20"/>
          <w:lang w:val="en-GB" w:eastAsia="da-DK"/>
        </w:rPr>
        <w:t xml:space="preserve">acilitate the </w:t>
      </w:r>
      <w:r w:rsidR="0093089A">
        <w:rPr>
          <w:rFonts w:ascii="Arial" w:eastAsia="Calibri" w:hAnsi="Arial" w:cs="Arial"/>
          <w:sz w:val="20"/>
          <w:szCs w:val="20"/>
          <w:lang w:val="en-GB" w:eastAsia="da-DK"/>
        </w:rPr>
        <w:t>u</w:t>
      </w:r>
      <w:r w:rsidR="0093089A" w:rsidRPr="0093089A">
        <w:rPr>
          <w:rFonts w:ascii="Arial" w:eastAsia="Calibri" w:hAnsi="Arial" w:cs="Arial"/>
          <w:sz w:val="20"/>
          <w:szCs w:val="20"/>
          <w:lang w:val="en-GB" w:eastAsia="da-DK"/>
        </w:rPr>
        <w:t xml:space="preserve">se of </w:t>
      </w:r>
      <w:r w:rsidR="0093089A">
        <w:rPr>
          <w:rFonts w:ascii="Arial" w:eastAsia="Calibri" w:hAnsi="Arial" w:cs="Arial"/>
          <w:sz w:val="20"/>
          <w:szCs w:val="20"/>
          <w:lang w:val="en-GB" w:eastAsia="da-DK"/>
        </w:rPr>
        <w:t>e</w:t>
      </w:r>
      <w:r w:rsidR="0093089A" w:rsidRPr="0093089A">
        <w:rPr>
          <w:rFonts w:ascii="Arial" w:eastAsia="Calibri" w:hAnsi="Arial" w:cs="Arial"/>
          <w:sz w:val="20"/>
          <w:szCs w:val="20"/>
          <w:lang w:val="en-GB" w:eastAsia="da-DK"/>
        </w:rPr>
        <w:t xml:space="preserve">arth </w:t>
      </w:r>
      <w:r w:rsidR="0093089A">
        <w:rPr>
          <w:rFonts w:ascii="Arial" w:eastAsia="Calibri" w:hAnsi="Arial" w:cs="Arial"/>
          <w:sz w:val="20"/>
          <w:szCs w:val="20"/>
          <w:lang w:val="en-GB" w:eastAsia="da-DK"/>
        </w:rPr>
        <w:t>s</w:t>
      </w:r>
      <w:r w:rsidR="0093089A" w:rsidRPr="0093089A">
        <w:rPr>
          <w:rFonts w:ascii="Arial" w:eastAsia="Calibri" w:hAnsi="Arial" w:cs="Arial"/>
          <w:sz w:val="20"/>
          <w:szCs w:val="20"/>
          <w:lang w:val="en-GB" w:eastAsia="da-DK"/>
        </w:rPr>
        <w:t xml:space="preserve">tations in </w:t>
      </w:r>
      <w:r w:rsidR="0093089A">
        <w:rPr>
          <w:rFonts w:ascii="Arial" w:eastAsia="Calibri" w:hAnsi="Arial" w:cs="Arial"/>
          <w:sz w:val="20"/>
          <w:szCs w:val="20"/>
          <w:lang w:val="en-GB" w:eastAsia="da-DK"/>
        </w:rPr>
        <w:t>m</w:t>
      </w:r>
      <w:r w:rsidR="0093089A" w:rsidRPr="0093089A">
        <w:rPr>
          <w:rFonts w:ascii="Arial" w:eastAsia="Calibri" w:hAnsi="Arial" w:cs="Arial"/>
          <w:sz w:val="20"/>
          <w:szCs w:val="20"/>
          <w:lang w:val="en-GB" w:eastAsia="da-DK"/>
        </w:rPr>
        <w:t xml:space="preserve">otion </w:t>
      </w:r>
      <w:r w:rsidR="0093089A">
        <w:rPr>
          <w:rFonts w:ascii="Arial" w:eastAsia="Calibri" w:hAnsi="Arial" w:cs="Arial"/>
          <w:sz w:val="20"/>
          <w:szCs w:val="20"/>
          <w:lang w:val="en-GB" w:eastAsia="da-DK"/>
        </w:rPr>
        <w:t>c</w:t>
      </w:r>
      <w:r w:rsidR="0093089A" w:rsidRPr="0093089A">
        <w:rPr>
          <w:rFonts w:ascii="Arial" w:eastAsia="Calibri" w:hAnsi="Arial" w:cs="Arial"/>
          <w:sz w:val="20"/>
          <w:szCs w:val="20"/>
          <w:lang w:val="en-GB" w:eastAsia="da-DK"/>
        </w:rPr>
        <w:t xml:space="preserve">ommunicating with </w:t>
      </w:r>
      <w:r w:rsidR="0093089A">
        <w:rPr>
          <w:rFonts w:ascii="Arial" w:eastAsia="Calibri" w:hAnsi="Arial" w:cs="Arial"/>
          <w:sz w:val="20"/>
          <w:szCs w:val="20"/>
          <w:lang w:val="en-GB" w:eastAsia="da-DK"/>
        </w:rPr>
        <w:t>GSO FSS networks.</w:t>
      </w:r>
    </w:p>
    <w:p w:rsidR="0093089A" w:rsidRPr="0093089A" w:rsidRDefault="0093089A" w:rsidP="0093089A">
      <w:pPr>
        <w:keepNext/>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On 26 </w:t>
      </w:r>
      <w:r w:rsidRPr="0093089A">
        <w:rPr>
          <w:rFonts w:ascii="Arial" w:eastAsia="Calibri" w:hAnsi="Arial" w:cs="Arial"/>
          <w:sz w:val="20"/>
          <w:szCs w:val="20"/>
          <w:lang w:val="en-GB" w:eastAsia="da-DK"/>
        </w:rPr>
        <w:t>September 2018—The F</w:t>
      </w:r>
      <w:r>
        <w:rPr>
          <w:rFonts w:ascii="Arial" w:eastAsia="Calibri" w:hAnsi="Arial" w:cs="Arial"/>
          <w:sz w:val="20"/>
          <w:szCs w:val="20"/>
          <w:lang w:val="en-GB" w:eastAsia="da-DK"/>
        </w:rPr>
        <w:t>CC</w:t>
      </w:r>
      <w:r w:rsidRPr="0093089A">
        <w:rPr>
          <w:rFonts w:ascii="Arial" w:eastAsia="Calibri" w:hAnsi="Arial" w:cs="Arial"/>
          <w:sz w:val="20"/>
          <w:szCs w:val="20"/>
          <w:lang w:val="en-GB" w:eastAsia="da-DK"/>
        </w:rPr>
        <w:t xml:space="preserve"> streamlined, consolidated, and harmoni</w:t>
      </w:r>
      <w:r>
        <w:rPr>
          <w:rFonts w:ascii="Arial" w:eastAsia="Calibri" w:hAnsi="Arial" w:cs="Arial"/>
          <w:sz w:val="20"/>
          <w:szCs w:val="20"/>
          <w:lang w:val="en-GB" w:eastAsia="da-DK"/>
        </w:rPr>
        <w:t>s</w:t>
      </w:r>
      <w:r w:rsidRPr="0093089A">
        <w:rPr>
          <w:rFonts w:ascii="Arial" w:eastAsia="Calibri" w:hAnsi="Arial" w:cs="Arial"/>
          <w:sz w:val="20"/>
          <w:szCs w:val="20"/>
          <w:lang w:val="en-GB" w:eastAsia="da-DK"/>
        </w:rPr>
        <w:t>ed the rules governing earth stations used to provide satellite-based services on ships, airplanes and vehicles</w:t>
      </w:r>
      <w:r>
        <w:rPr>
          <w:rFonts w:ascii="Arial" w:eastAsia="Calibri" w:hAnsi="Arial" w:cs="Arial"/>
          <w:sz w:val="20"/>
          <w:szCs w:val="20"/>
          <w:lang w:val="en-GB" w:eastAsia="da-DK"/>
        </w:rPr>
        <w:t xml:space="preserve"> (</w:t>
      </w:r>
      <w:r w:rsidRPr="0093089A">
        <w:rPr>
          <w:rFonts w:ascii="Arial" w:eastAsia="Calibri" w:hAnsi="Arial" w:cs="Arial"/>
          <w:sz w:val="20"/>
          <w:szCs w:val="20"/>
          <w:lang w:val="en-GB" w:eastAsia="da-DK"/>
        </w:rPr>
        <w:t xml:space="preserve">Earth Stations on Vessels (ESV), Vehicle-Mounted Earth Stations (VMES), and Earth Stations </w:t>
      </w:r>
      <w:proofErr w:type="gramStart"/>
      <w:r w:rsidRPr="0093089A">
        <w:rPr>
          <w:rFonts w:ascii="Arial" w:eastAsia="Calibri" w:hAnsi="Arial" w:cs="Arial"/>
          <w:sz w:val="20"/>
          <w:szCs w:val="20"/>
          <w:lang w:val="en-GB" w:eastAsia="da-DK"/>
        </w:rPr>
        <w:t>Aboard</w:t>
      </w:r>
      <w:proofErr w:type="gramEnd"/>
      <w:r w:rsidRPr="0093089A">
        <w:rPr>
          <w:rFonts w:ascii="Arial" w:eastAsia="Calibri" w:hAnsi="Arial" w:cs="Arial"/>
          <w:sz w:val="20"/>
          <w:szCs w:val="20"/>
          <w:lang w:val="en-GB" w:eastAsia="da-DK"/>
        </w:rPr>
        <w:t xml:space="preserve"> Aircraft (ESAA)</w:t>
      </w:r>
      <w:r>
        <w:rPr>
          <w:rFonts w:ascii="Arial" w:eastAsia="Calibri" w:hAnsi="Arial" w:cs="Arial"/>
          <w:sz w:val="20"/>
          <w:szCs w:val="20"/>
          <w:lang w:val="en-GB" w:eastAsia="da-DK"/>
        </w:rPr>
        <w:t>)</w:t>
      </w:r>
      <w:r w:rsidRPr="0093089A">
        <w:rPr>
          <w:rFonts w:ascii="Arial" w:eastAsia="Calibri" w:hAnsi="Arial" w:cs="Arial"/>
          <w:sz w:val="20"/>
          <w:szCs w:val="20"/>
          <w:lang w:val="en-GB" w:eastAsia="da-DK"/>
        </w:rPr>
        <w:t>. These actions simplify the regulatory approval process for this rapidly growing segment of the satellite communications market.</w:t>
      </w:r>
    </w:p>
    <w:p w:rsidR="0093089A" w:rsidRDefault="0093089A" w:rsidP="0093089A">
      <w:pPr>
        <w:keepNext/>
        <w:spacing w:before="240" w:after="60" w:line="240" w:lineRule="auto"/>
        <w:jc w:val="both"/>
        <w:outlineLvl w:val="0"/>
        <w:rPr>
          <w:rFonts w:ascii="Arial" w:eastAsia="Calibri" w:hAnsi="Arial" w:cs="Arial"/>
          <w:sz w:val="20"/>
          <w:szCs w:val="20"/>
          <w:lang w:val="en-GB" w:eastAsia="da-DK"/>
        </w:rPr>
      </w:pPr>
      <w:r w:rsidRPr="0093089A">
        <w:rPr>
          <w:rFonts w:ascii="Arial" w:eastAsia="Calibri" w:hAnsi="Arial" w:cs="Arial"/>
          <w:sz w:val="20"/>
          <w:szCs w:val="20"/>
          <w:lang w:val="en-GB" w:eastAsia="da-DK"/>
        </w:rPr>
        <w:t>Currently, the regulation of these earth stations that communicate with geostationary satellite orbit (GSO) satellites operating in the fixed-satellite service (FSS), and are collectively known as “ESIM”</w:t>
      </w:r>
      <w:r>
        <w:rPr>
          <w:rFonts w:ascii="Arial" w:eastAsia="Calibri" w:hAnsi="Arial" w:cs="Arial"/>
          <w:sz w:val="20"/>
          <w:szCs w:val="20"/>
          <w:lang w:val="en-GB" w:eastAsia="da-DK"/>
        </w:rPr>
        <w:t>,</w:t>
      </w:r>
      <w:r w:rsidRPr="0093089A">
        <w:rPr>
          <w:rFonts w:ascii="Arial" w:eastAsia="Calibri" w:hAnsi="Arial" w:cs="Arial"/>
          <w:sz w:val="20"/>
          <w:szCs w:val="20"/>
          <w:lang w:val="en-GB" w:eastAsia="da-DK"/>
        </w:rPr>
        <w:t xml:space="preserve"> vary depending on the type of vehicle they are attached to and are covered in various rule provisions. This Report and Order integrates the three types of earth stations in motion into a single regulatory category, reducing the burden on applicants leading to a more efficient licensing process. The decision also gives increased flexibility to ESIM to operate in the “conventional Ka- frequency band”</w:t>
      </w:r>
      <w:r>
        <w:rPr>
          <w:rFonts w:ascii="Arial" w:eastAsia="Calibri" w:hAnsi="Arial" w:cs="Arial"/>
          <w:sz w:val="20"/>
          <w:szCs w:val="20"/>
          <w:lang w:val="en-GB" w:eastAsia="da-DK"/>
        </w:rPr>
        <w:t>,</w:t>
      </w:r>
      <w:r w:rsidRPr="0093089A">
        <w:rPr>
          <w:rFonts w:ascii="Arial" w:eastAsia="Calibri" w:hAnsi="Arial" w:cs="Arial"/>
          <w:sz w:val="20"/>
          <w:szCs w:val="20"/>
          <w:lang w:val="en-GB" w:eastAsia="da-DK"/>
        </w:rPr>
        <w:t xml:space="preserve"> facilitating the delivery of satellite-based high-speed services.</w:t>
      </w:r>
      <w:r>
        <w:rPr>
          <w:rFonts w:ascii="Arial" w:eastAsia="Calibri" w:hAnsi="Arial" w:cs="Arial"/>
          <w:sz w:val="20"/>
          <w:szCs w:val="20"/>
          <w:lang w:val="en-GB" w:eastAsia="da-DK"/>
        </w:rPr>
        <w:t xml:space="preserve"> </w:t>
      </w:r>
      <w:r w:rsidRPr="0093089A">
        <w:rPr>
          <w:rFonts w:ascii="Arial" w:eastAsia="Calibri" w:hAnsi="Arial" w:cs="Arial"/>
          <w:sz w:val="20"/>
          <w:szCs w:val="20"/>
          <w:lang w:val="en-GB" w:eastAsia="da-DK"/>
        </w:rPr>
        <w:t xml:space="preserve">The Further Notice of Proposed Rulemaking </w:t>
      </w:r>
      <w:r>
        <w:rPr>
          <w:rFonts w:ascii="Arial" w:eastAsia="Calibri" w:hAnsi="Arial" w:cs="Arial"/>
          <w:sz w:val="20"/>
          <w:szCs w:val="20"/>
          <w:lang w:val="en-GB" w:eastAsia="da-DK"/>
        </w:rPr>
        <w:t xml:space="preserve">(FNPRM) </w:t>
      </w:r>
      <w:r w:rsidRPr="0093089A">
        <w:rPr>
          <w:rFonts w:ascii="Arial" w:eastAsia="Calibri" w:hAnsi="Arial" w:cs="Arial"/>
          <w:sz w:val="20"/>
          <w:szCs w:val="20"/>
          <w:lang w:val="en-GB" w:eastAsia="da-DK"/>
        </w:rPr>
        <w:t>seeks comment on expanding the frequencies available to ESIM communicating with GSO FSS satellite networks to allow additional flexibility to satellite operators.</w:t>
      </w:r>
    </w:p>
    <w:p w:rsidR="0034479C" w:rsidRDefault="0034479C" w:rsidP="0034479C">
      <w:pPr>
        <w:keepNext/>
        <w:spacing w:before="240" w:after="60" w:line="240" w:lineRule="auto"/>
        <w:jc w:val="both"/>
        <w:outlineLvl w:val="0"/>
        <w:rPr>
          <w:rFonts w:ascii="Arial" w:eastAsia="Calibri" w:hAnsi="Arial" w:cs="Arial"/>
          <w:sz w:val="20"/>
          <w:szCs w:val="20"/>
          <w:lang w:val="en-GB" w:eastAsia="da-DK"/>
        </w:rPr>
      </w:pPr>
      <w:r w:rsidRPr="0034479C">
        <w:rPr>
          <w:rFonts w:ascii="Arial" w:eastAsia="Calibri" w:hAnsi="Arial" w:cs="Arial"/>
          <w:sz w:val="20"/>
          <w:szCs w:val="20"/>
          <w:lang w:val="en-GB" w:eastAsia="da-DK"/>
        </w:rPr>
        <w:t>Except for a few platform-specific exceptions, the three rule sections that govern the operation and licensing of ESV, VMES, and ESAA are very similar. In addition, the current rules provisions are limited to communications with GSO satellites in the conventional C- and Ku-bands, as well as portions of the extended Ku-band. The Commission further proposed rules for ESIM operations in the conventional Ka-band. Specifically, these rules apply to ESIMs communicating with geostationary-orbit (GSO) FSS space stations operating in 18.3-18.8 GHz and 19.7-20.2 GHz, and 28.35-28.6 GHz and 29.25-30.0 GHz frequency bands.</w:t>
      </w:r>
    </w:p>
    <w:p w:rsidR="0034479C" w:rsidRDefault="0034479C" w:rsidP="0034479C">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(for information in WG</w:t>
      </w:r>
      <w:r>
        <w:rPr>
          <w:rFonts w:ascii="Arial" w:eastAsia="Calibri" w:hAnsi="Arial" w:cs="Arial"/>
          <w:b/>
          <w:sz w:val="20"/>
          <w:szCs w:val="20"/>
          <w:lang w:val="de-DE" w:eastAsia="da-DK"/>
        </w:rPr>
        <w:t xml:space="preserve"> </w:t>
      </w:r>
      <w:r w:rsidRPr="004F3D96">
        <w:rPr>
          <w:rFonts w:ascii="Arial" w:eastAsia="Calibri" w:hAnsi="Arial" w:cs="Arial"/>
          <w:b/>
          <w:sz w:val="20"/>
          <w:szCs w:val="20"/>
          <w:lang w:val="de-DE" w:eastAsia="da-DK"/>
        </w:rPr>
        <w:t>FM, FM</w:t>
      </w:r>
      <w:r>
        <w:rPr>
          <w:rFonts w:ascii="Arial" w:eastAsia="Calibri" w:hAnsi="Arial" w:cs="Arial"/>
          <w:b/>
          <w:sz w:val="20"/>
          <w:szCs w:val="20"/>
          <w:lang w:val="de-DE" w:eastAsia="da-DK"/>
        </w:rPr>
        <w:t>44, WG SE, SE40</w:t>
      </w:r>
      <w:r w:rsidRPr="004F3D96">
        <w:rPr>
          <w:rFonts w:ascii="Arial" w:eastAsia="Calibri" w:hAnsi="Arial" w:cs="Arial"/>
          <w:b/>
          <w:sz w:val="20"/>
          <w:szCs w:val="20"/>
          <w:lang w:val="de-DE" w:eastAsia="da-DK"/>
        </w:rPr>
        <w:t>)</w:t>
      </w:r>
    </w:p>
    <w:p w:rsidR="00742C2B" w:rsidRDefault="00742C2B" w:rsidP="00481D8C">
      <w:pPr>
        <w:pStyle w:val="ListParagraph"/>
        <w:keepNext/>
        <w:numPr>
          <w:ilvl w:val="0"/>
          <w:numId w:val="2"/>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C81770">
        <w:rPr>
          <w:rFonts w:ascii="Arial" w:eastAsia="Times New Roman" w:hAnsi="Arial" w:cs="Arial"/>
          <w:b/>
          <w:bCs/>
          <w:caps/>
          <w:color w:val="D2232A"/>
          <w:kern w:val="32"/>
          <w:sz w:val="20"/>
          <w:szCs w:val="32"/>
          <w:lang w:val="en-US"/>
        </w:rPr>
        <w:t xml:space="preserve">USA: </w:t>
      </w:r>
      <w:r w:rsidR="00EF15DC">
        <w:rPr>
          <w:rFonts w:ascii="Arial" w:eastAsia="Times New Roman" w:hAnsi="Arial" w:cs="Arial"/>
          <w:b/>
          <w:bCs/>
          <w:caps/>
          <w:color w:val="D2232A"/>
          <w:kern w:val="32"/>
          <w:sz w:val="20"/>
          <w:szCs w:val="32"/>
          <w:lang w:val="en-US"/>
        </w:rPr>
        <w:t>C Band Developments</w:t>
      </w:r>
      <w:r w:rsidR="0074749F">
        <w:rPr>
          <w:rFonts w:ascii="Arial" w:eastAsia="Times New Roman" w:hAnsi="Arial" w:cs="Arial"/>
          <w:b/>
          <w:bCs/>
          <w:caps/>
          <w:color w:val="D2232A"/>
          <w:kern w:val="32"/>
          <w:sz w:val="20"/>
          <w:szCs w:val="32"/>
          <w:lang w:val="en-US"/>
        </w:rPr>
        <w:t xml:space="preserve"> </w:t>
      </w:r>
      <w:r w:rsidR="00E35067">
        <w:rPr>
          <w:rFonts w:ascii="Arial" w:eastAsia="Times New Roman" w:hAnsi="Arial" w:cs="Arial"/>
          <w:b/>
          <w:bCs/>
          <w:caps/>
          <w:color w:val="D2232A"/>
          <w:kern w:val="32"/>
          <w:sz w:val="20"/>
          <w:szCs w:val="32"/>
          <w:lang w:val="en-US"/>
        </w:rPr>
        <w:t xml:space="preserve">– CBRS </w:t>
      </w:r>
      <w:r w:rsidR="0074749F">
        <w:rPr>
          <w:rFonts w:ascii="Arial" w:eastAsia="Times New Roman" w:hAnsi="Arial" w:cs="Arial"/>
          <w:b/>
          <w:bCs/>
          <w:caps/>
          <w:color w:val="D2232A"/>
          <w:kern w:val="32"/>
          <w:sz w:val="20"/>
          <w:szCs w:val="32"/>
          <w:lang w:val="en-US"/>
        </w:rPr>
        <w:t>(3550-3700 MHz)</w:t>
      </w:r>
    </w:p>
    <w:p w:rsidR="00742C2B" w:rsidRDefault="00EF15DC" w:rsidP="00276849">
      <w:pPr>
        <w:keepNext/>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The FCC issued a </w:t>
      </w:r>
      <w:hyperlink r:id="rId28" w:history="1">
        <w:r w:rsidRPr="00EF15DC">
          <w:rPr>
            <w:rStyle w:val="Hyperlink"/>
            <w:rFonts w:ascii="Arial" w:eastAsia="Calibri" w:hAnsi="Arial" w:cs="Arial"/>
            <w:sz w:val="20"/>
            <w:szCs w:val="20"/>
            <w:lang w:val="en-GB" w:eastAsia="da-DK"/>
          </w:rPr>
          <w:t>public notice</w:t>
        </w:r>
      </w:hyperlink>
      <w:r>
        <w:rPr>
          <w:rFonts w:ascii="Arial" w:eastAsia="Calibri" w:hAnsi="Arial" w:cs="Arial"/>
          <w:sz w:val="20"/>
          <w:szCs w:val="20"/>
          <w:lang w:val="en-GB" w:eastAsia="da-DK"/>
        </w:rPr>
        <w:t xml:space="preserve"> in July seeking proposals for short-term initial commercial deployments (ICDs) from </w:t>
      </w:r>
      <w:r w:rsidRPr="00C81770">
        <w:rPr>
          <w:rFonts w:ascii="Arial" w:eastAsia="Calibri" w:hAnsi="Arial" w:cs="Arial"/>
          <w:sz w:val="20"/>
          <w:szCs w:val="20"/>
          <w:lang w:val="en-GB" w:eastAsia="da-DK"/>
        </w:rPr>
        <w:t>the six conditionally approved Spectrum Acc</w:t>
      </w:r>
      <w:r>
        <w:rPr>
          <w:rFonts w:ascii="Arial" w:eastAsia="Calibri" w:hAnsi="Arial" w:cs="Arial"/>
          <w:sz w:val="20"/>
          <w:szCs w:val="20"/>
          <w:lang w:val="en-GB" w:eastAsia="da-DK"/>
        </w:rPr>
        <w:t>ess System (SAS) Administrators in the Citizens Broadband Radio Service (CBRS) band (3550-3700 MHz).</w:t>
      </w:r>
    </w:p>
    <w:p w:rsidR="00EF15DC" w:rsidRPr="00C81770" w:rsidRDefault="00EF15DC" w:rsidP="00276849">
      <w:pPr>
        <w:spacing w:before="100" w:beforeAutospacing="1" w:after="100" w:afterAutospacing="1" w:line="240" w:lineRule="auto"/>
        <w:jc w:val="both"/>
        <w:rPr>
          <w:rFonts w:ascii="Arial" w:eastAsia="Calibri" w:hAnsi="Arial" w:cs="Arial"/>
          <w:sz w:val="20"/>
          <w:szCs w:val="20"/>
          <w:lang w:val="en-GB" w:eastAsia="da-DK"/>
        </w:rPr>
      </w:pPr>
      <w:r w:rsidRPr="00C81770">
        <w:rPr>
          <w:rFonts w:ascii="Arial" w:eastAsia="Calibri" w:hAnsi="Arial" w:cs="Arial"/>
          <w:sz w:val="20"/>
          <w:szCs w:val="20"/>
          <w:lang w:val="en-GB" w:eastAsia="da-DK"/>
        </w:rPr>
        <w:t>The public notice invited potential SAS administrators to describe in detail how they propose to meet the previously defined requirements and core functions by a 10 September deadline.</w:t>
      </w:r>
    </w:p>
    <w:p w:rsidR="00EF15DC" w:rsidRDefault="00EF15DC" w:rsidP="00276849">
      <w:pPr>
        <w:spacing w:before="100" w:beforeAutospacing="1" w:after="100" w:afterAutospacing="1" w:line="240" w:lineRule="auto"/>
        <w:jc w:val="both"/>
        <w:rPr>
          <w:rFonts w:ascii="Arial" w:eastAsia="Calibri" w:hAnsi="Arial" w:cs="Arial"/>
          <w:sz w:val="20"/>
          <w:szCs w:val="20"/>
          <w:lang w:val="en-GB" w:eastAsia="da-DK"/>
        </w:rPr>
      </w:pPr>
      <w:r w:rsidRPr="00C81770">
        <w:rPr>
          <w:rFonts w:ascii="Arial" w:eastAsia="Calibri" w:hAnsi="Arial" w:cs="Arial"/>
          <w:sz w:val="20"/>
          <w:szCs w:val="20"/>
          <w:lang w:val="en-GB" w:eastAsia="da-DK"/>
        </w:rPr>
        <w:t>The ICDs, which may support real commercial services, can only begin once the SAS</w:t>
      </w:r>
      <w:r w:rsidR="00C95D8A">
        <w:rPr>
          <w:rFonts w:ascii="Arial" w:eastAsia="Calibri" w:hAnsi="Arial" w:cs="Arial"/>
          <w:sz w:val="20"/>
          <w:szCs w:val="20"/>
          <w:lang w:val="en-GB" w:eastAsia="da-DK"/>
        </w:rPr>
        <w:t>´</w:t>
      </w:r>
      <w:r w:rsidRPr="00C81770">
        <w:rPr>
          <w:rFonts w:ascii="Arial" w:eastAsia="Calibri" w:hAnsi="Arial" w:cs="Arial"/>
          <w:sz w:val="20"/>
          <w:szCs w:val="20"/>
          <w:lang w:val="en-GB" w:eastAsia="da-DK"/>
        </w:rPr>
        <w:t xml:space="preserve"> have satisfactorily passed lab testing</w:t>
      </w:r>
      <w:r w:rsidR="0074749F">
        <w:rPr>
          <w:rFonts w:ascii="Arial" w:eastAsia="Calibri" w:hAnsi="Arial" w:cs="Arial"/>
          <w:sz w:val="20"/>
          <w:szCs w:val="20"/>
          <w:lang w:val="en-GB" w:eastAsia="da-DK"/>
        </w:rPr>
        <w:t>. The SASs need to take into account the presence of ‘tier-one’ federal users and ‘tier-two’ Priority Access Licences (PALs) which will be auctioned for other uses including mobile.</w:t>
      </w:r>
    </w:p>
    <w:p w:rsidR="0074749F" w:rsidRPr="00C81770" w:rsidRDefault="0074749F" w:rsidP="00276849">
      <w:pPr>
        <w:spacing w:before="100" w:beforeAutospacing="1" w:after="100" w:afterAutospacing="1" w:line="240" w:lineRule="auto"/>
        <w:jc w:val="both"/>
        <w:rPr>
          <w:rFonts w:ascii="Arial" w:eastAsia="Calibri" w:hAnsi="Arial" w:cs="Arial"/>
          <w:sz w:val="20"/>
          <w:szCs w:val="20"/>
          <w:lang w:val="en-GB" w:eastAsia="da-DK"/>
        </w:rPr>
      </w:pPr>
      <w:r w:rsidRPr="00E46405">
        <w:rPr>
          <w:rFonts w:ascii="Arial" w:eastAsia="Calibri" w:hAnsi="Arial" w:cs="Arial"/>
          <w:sz w:val="20"/>
          <w:szCs w:val="20"/>
          <w:lang w:val="en-GB" w:eastAsia="da-DK"/>
        </w:rPr>
        <w:t>The CBRS Alliance</w:t>
      </w:r>
      <w:r>
        <w:rPr>
          <w:rFonts w:ascii="Arial" w:eastAsia="Calibri" w:hAnsi="Arial" w:cs="Arial"/>
          <w:sz w:val="20"/>
          <w:szCs w:val="20"/>
          <w:lang w:val="en-GB" w:eastAsia="da-DK"/>
        </w:rPr>
        <w:t xml:space="preserve"> reacted positively to the announcement.</w:t>
      </w:r>
    </w:p>
    <w:p w:rsidR="00EF15DC" w:rsidRDefault="0074749F" w:rsidP="00276849">
      <w:pPr>
        <w:spacing w:before="100" w:beforeAutospacing="1" w:after="100" w:afterAutospacing="1" w:line="240" w:lineRule="auto"/>
        <w:jc w:val="both"/>
        <w:rPr>
          <w:rFonts w:ascii="Arial" w:eastAsia="Calibri" w:hAnsi="Arial" w:cs="Arial"/>
          <w:sz w:val="20"/>
          <w:szCs w:val="20"/>
          <w:lang w:val="en-GB" w:eastAsia="da-DK"/>
        </w:rPr>
      </w:pPr>
      <w:r>
        <w:rPr>
          <w:rFonts w:ascii="Arial" w:eastAsia="Calibri" w:hAnsi="Arial" w:cs="Arial"/>
          <w:sz w:val="20"/>
          <w:szCs w:val="20"/>
          <w:lang w:val="en-GB" w:eastAsia="da-DK"/>
        </w:rPr>
        <w:t xml:space="preserve">The FCC has delayed further the plan for auctioning the tier-two PALs to consider </w:t>
      </w:r>
      <w:r w:rsidR="00C67F96">
        <w:rPr>
          <w:rFonts w:ascii="Arial" w:eastAsia="Calibri" w:hAnsi="Arial" w:cs="Arial"/>
          <w:sz w:val="20"/>
          <w:szCs w:val="20"/>
          <w:lang w:val="en-GB" w:eastAsia="da-DK"/>
        </w:rPr>
        <w:t xml:space="preserve">requests from the </w:t>
      </w:r>
      <w:r>
        <w:rPr>
          <w:rFonts w:ascii="Arial" w:eastAsia="Calibri" w:hAnsi="Arial" w:cs="Arial"/>
          <w:sz w:val="20"/>
          <w:szCs w:val="20"/>
          <w:lang w:val="en-GB" w:eastAsia="da-DK"/>
        </w:rPr>
        <w:t>mobile industry</w:t>
      </w:r>
      <w:r w:rsidR="00C67F96">
        <w:rPr>
          <w:rFonts w:ascii="Arial" w:eastAsia="Calibri" w:hAnsi="Arial" w:cs="Arial"/>
          <w:sz w:val="20"/>
          <w:szCs w:val="20"/>
          <w:lang w:val="en-GB" w:eastAsia="da-DK"/>
        </w:rPr>
        <w:t xml:space="preserve"> </w:t>
      </w:r>
      <w:r>
        <w:rPr>
          <w:rFonts w:ascii="Arial" w:eastAsia="Calibri" w:hAnsi="Arial" w:cs="Arial"/>
          <w:sz w:val="20"/>
          <w:szCs w:val="20"/>
          <w:lang w:val="en-GB" w:eastAsia="da-DK"/>
        </w:rPr>
        <w:t xml:space="preserve">for longer </w:t>
      </w:r>
      <w:r w:rsidR="00C67F96">
        <w:rPr>
          <w:rFonts w:ascii="Arial" w:eastAsia="Calibri" w:hAnsi="Arial" w:cs="Arial"/>
          <w:sz w:val="20"/>
          <w:szCs w:val="20"/>
          <w:lang w:val="en-GB" w:eastAsia="da-DK"/>
        </w:rPr>
        <w:t xml:space="preserve">licence </w:t>
      </w:r>
      <w:r>
        <w:rPr>
          <w:rFonts w:ascii="Arial" w:eastAsia="Calibri" w:hAnsi="Arial" w:cs="Arial"/>
          <w:sz w:val="20"/>
          <w:szCs w:val="20"/>
          <w:lang w:val="en-GB" w:eastAsia="da-DK"/>
        </w:rPr>
        <w:t xml:space="preserve">terms and wider geographic </w:t>
      </w:r>
      <w:r w:rsidR="00C67F96">
        <w:rPr>
          <w:rFonts w:ascii="Arial" w:eastAsia="Calibri" w:hAnsi="Arial" w:cs="Arial"/>
          <w:sz w:val="20"/>
          <w:szCs w:val="20"/>
          <w:lang w:val="en-GB" w:eastAsia="da-DK"/>
        </w:rPr>
        <w:t>coverage</w:t>
      </w:r>
      <w:r>
        <w:rPr>
          <w:rFonts w:ascii="Arial" w:eastAsia="Calibri" w:hAnsi="Arial" w:cs="Arial"/>
          <w:sz w:val="20"/>
          <w:szCs w:val="20"/>
          <w:lang w:val="en-GB" w:eastAsia="da-DK"/>
        </w:rPr>
        <w:t>. A</w:t>
      </w:r>
      <w:r w:rsidR="00EF15DC" w:rsidRPr="00C81770">
        <w:rPr>
          <w:rFonts w:ascii="Arial" w:eastAsia="Calibri" w:hAnsi="Arial" w:cs="Arial"/>
          <w:sz w:val="20"/>
          <w:szCs w:val="20"/>
          <w:lang w:val="en-GB" w:eastAsia="da-DK"/>
        </w:rPr>
        <w:t xml:space="preserve"> Notice of Proposed Rulemaking </w:t>
      </w:r>
      <w:r>
        <w:rPr>
          <w:rFonts w:ascii="Arial" w:eastAsia="Calibri" w:hAnsi="Arial" w:cs="Arial"/>
          <w:sz w:val="20"/>
          <w:szCs w:val="20"/>
          <w:lang w:val="en-GB" w:eastAsia="da-DK"/>
        </w:rPr>
        <w:t xml:space="preserve">is expected </w:t>
      </w:r>
      <w:r w:rsidR="00C67F96">
        <w:rPr>
          <w:rFonts w:ascii="Arial" w:eastAsia="Calibri" w:hAnsi="Arial" w:cs="Arial"/>
          <w:sz w:val="20"/>
          <w:szCs w:val="20"/>
          <w:lang w:val="en-GB" w:eastAsia="da-DK"/>
        </w:rPr>
        <w:t>on the subject shortly.</w:t>
      </w:r>
    </w:p>
    <w:p w:rsidR="000868DB" w:rsidRPr="009443AD" w:rsidRDefault="000868DB" w:rsidP="009443AD">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ECC PT1</w:t>
      </w:r>
      <w:r w:rsidRPr="004F3D96">
        <w:rPr>
          <w:rFonts w:ascii="Arial" w:eastAsia="Calibri" w:hAnsi="Arial" w:cs="Arial"/>
          <w:b/>
          <w:sz w:val="20"/>
          <w:szCs w:val="20"/>
          <w:lang w:val="de-DE" w:eastAsia="da-DK"/>
        </w:rPr>
        <w:t>)</w:t>
      </w:r>
    </w:p>
    <w:p w:rsidR="00E35067" w:rsidRPr="009443AD" w:rsidRDefault="00E35067"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E46405">
        <w:rPr>
          <w:rFonts w:ascii="Arial" w:eastAsia="Times New Roman" w:hAnsi="Arial" w:cs="Arial"/>
          <w:b/>
          <w:bCs/>
          <w:caps/>
          <w:color w:val="D2232A"/>
          <w:kern w:val="32"/>
          <w:sz w:val="20"/>
          <w:szCs w:val="32"/>
          <w:lang w:val="en-US"/>
        </w:rPr>
        <w:lastRenderedPageBreak/>
        <w:t xml:space="preserve">USA: </w:t>
      </w:r>
      <w:r>
        <w:rPr>
          <w:rFonts w:ascii="Arial" w:eastAsia="Times New Roman" w:hAnsi="Arial" w:cs="Arial"/>
          <w:b/>
          <w:bCs/>
          <w:caps/>
          <w:color w:val="D2232A"/>
          <w:kern w:val="32"/>
          <w:sz w:val="20"/>
          <w:szCs w:val="32"/>
          <w:lang w:val="en-US"/>
        </w:rPr>
        <w:t>C Band Developments – 3700-4200 MHz</w:t>
      </w:r>
    </w:p>
    <w:p w:rsidR="00E35067" w:rsidRDefault="00E35067" w:rsidP="00276849">
      <w:pPr>
        <w:spacing w:before="100" w:beforeAutospacing="1" w:after="100" w:afterAutospacing="1" w:line="240" w:lineRule="auto"/>
        <w:jc w:val="both"/>
        <w:rPr>
          <w:rFonts w:ascii="Arial" w:eastAsia="Calibri" w:hAnsi="Arial" w:cs="Arial"/>
          <w:sz w:val="20"/>
          <w:szCs w:val="20"/>
          <w:lang w:val="en-GB" w:eastAsia="da-DK"/>
        </w:rPr>
      </w:pPr>
      <w:r>
        <w:rPr>
          <w:rFonts w:ascii="Arial" w:eastAsia="Calibri" w:hAnsi="Arial" w:cs="Arial"/>
          <w:sz w:val="20"/>
          <w:szCs w:val="20"/>
          <w:lang w:val="en-GB" w:eastAsia="da-DK"/>
        </w:rPr>
        <w:t xml:space="preserve">On 1 October four major satellite operators – Intelsat, SES, Eutelsat, </w:t>
      </w:r>
      <w:proofErr w:type="spellStart"/>
      <w:proofErr w:type="gramStart"/>
      <w:r>
        <w:rPr>
          <w:rFonts w:ascii="Arial" w:eastAsia="Calibri" w:hAnsi="Arial" w:cs="Arial"/>
          <w:sz w:val="20"/>
          <w:szCs w:val="20"/>
          <w:lang w:val="en-GB" w:eastAsia="da-DK"/>
        </w:rPr>
        <w:t>Telesat</w:t>
      </w:r>
      <w:proofErr w:type="spellEnd"/>
      <w:proofErr w:type="gramEnd"/>
      <w:r>
        <w:rPr>
          <w:rFonts w:ascii="Arial" w:eastAsia="Calibri" w:hAnsi="Arial" w:cs="Arial"/>
          <w:sz w:val="20"/>
          <w:szCs w:val="20"/>
          <w:lang w:val="en-GB" w:eastAsia="da-DK"/>
        </w:rPr>
        <w:t xml:space="preserve"> </w:t>
      </w:r>
      <w:r w:rsidR="000772DC">
        <w:rPr>
          <w:rFonts w:ascii="Arial" w:eastAsia="Calibri" w:hAnsi="Arial" w:cs="Arial"/>
          <w:sz w:val="20"/>
          <w:szCs w:val="20"/>
          <w:lang w:val="en-GB" w:eastAsia="da-DK"/>
        </w:rPr>
        <w:t xml:space="preserve">- </w:t>
      </w:r>
      <w:r>
        <w:rPr>
          <w:rFonts w:ascii="Arial" w:eastAsia="Calibri" w:hAnsi="Arial" w:cs="Arial"/>
          <w:sz w:val="20"/>
          <w:szCs w:val="20"/>
          <w:lang w:val="en-GB" w:eastAsia="da-DK"/>
        </w:rPr>
        <w:t xml:space="preserve">announced </w:t>
      </w:r>
      <w:r w:rsidRPr="00E35067">
        <w:rPr>
          <w:rFonts w:ascii="Arial" w:eastAsia="Calibri" w:hAnsi="Arial" w:cs="Arial"/>
          <w:sz w:val="20"/>
          <w:szCs w:val="20"/>
          <w:lang w:val="en-GB" w:eastAsia="da-DK"/>
        </w:rPr>
        <w:t>the creation of a consortium called</w:t>
      </w:r>
      <w:r>
        <w:rPr>
          <w:rFonts w:ascii="Arial" w:eastAsia="Calibri" w:hAnsi="Arial" w:cs="Arial"/>
          <w:sz w:val="20"/>
          <w:szCs w:val="20"/>
          <w:lang w:val="en-GB" w:eastAsia="da-DK"/>
        </w:rPr>
        <w:t xml:space="preserve"> the </w:t>
      </w:r>
      <w:hyperlink r:id="rId29" w:history="1">
        <w:r w:rsidRPr="000868DB">
          <w:rPr>
            <w:rStyle w:val="Hyperlink"/>
            <w:rFonts w:ascii="Arial" w:eastAsia="Calibri" w:hAnsi="Arial" w:cs="Arial"/>
            <w:sz w:val="20"/>
            <w:szCs w:val="20"/>
            <w:lang w:val="en-GB" w:eastAsia="da-DK"/>
          </w:rPr>
          <w:t>C-Band Alliance</w:t>
        </w:r>
      </w:hyperlink>
      <w:r>
        <w:rPr>
          <w:rFonts w:ascii="Arial" w:eastAsia="Calibri" w:hAnsi="Arial" w:cs="Arial"/>
          <w:sz w:val="20"/>
          <w:szCs w:val="20"/>
          <w:lang w:val="en-GB" w:eastAsia="da-DK"/>
        </w:rPr>
        <w:t xml:space="preserve"> (</w:t>
      </w:r>
      <w:r w:rsidRPr="00E35067">
        <w:rPr>
          <w:rFonts w:ascii="Arial" w:eastAsia="Calibri" w:hAnsi="Arial" w:cs="Arial"/>
          <w:sz w:val="20"/>
          <w:szCs w:val="20"/>
          <w:lang w:val="en-GB" w:eastAsia="da-DK"/>
        </w:rPr>
        <w:t>CBA</w:t>
      </w:r>
      <w:r>
        <w:rPr>
          <w:rFonts w:ascii="Arial" w:eastAsia="Calibri" w:hAnsi="Arial" w:cs="Arial"/>
          <w:sz w:val="20"/>
          <w:szCs w:val="20"/>
          <w:lang w:val="en-GB" w:eastAsia="da-DK"/>
        </w:rPr>
        <w:t xml:space="preserve">). </w:t>
      </w:r>
      <w:r w:rsidRPr="00E35067">
        <w:rPr>
          <w:rFonts w:ascii="Arial" w:eastAsia="Calibri" w:hAnsi="Arial" w:cs="Arial"/>
          <w:sz w:val="20"/>
          <w:szCs w:val="20"/>
          <w:lang w:val="en-GB" w:eastAsia="da-DK"/>
        </w:rPr>
        <w:t>The CBA is designed to act as</w:t>
      </w:r>
      <w:r w:rsidR="000772DC">
        <w:rPr>
          <w:rFonts w:ascii="Arial" w:eastAsia="Calibri" w:hAnsi="Arial" w:cs="Arial"/>
          <w:sz w:val="20"/>
          <w:szCs w:val="20"/>
          <w:lang w:val="en-GB" w:eastAsia="da-DK"/>
        </w:rPr>
        <w:t xml:space="preserve"> a facilitator for clearing the 3700-4200 MHz to make 100 MHz of the band available for 5G services, in response to the notice of proposed rulemaking issued in July, as reported in the previous ECO Bulletin.</w:t>
      </w:r>
    </w:p>
    <w:p w:rsidR="000868DB" w:rsidRDefault="000868DB" w:rsidP="00276849">
      <w:pPr>
        <w:spacing w:before="100" w:beforeAutospacing="1" w:after="100" w:afterAutospacing="1" w:line="240" w:lineRule="auto"/>
        <w:jc w:val="both"/>
        <w:rPr>
          <w:rFonts w:ascii="Arial" w:eastAsia="Calibri" w:hAnsi="Arial" w:cs="Arial"/>
          <w:sz w:val="20"/>
          <w:szCs w:val="20"/>
          <w:lang w:val="en-GB" w:eastAsia="da-DK"/>
        </w:rPr>
      </w:pPr>
      <w:r>
        <w:rPr>
          <w:rFonts w:ascii="Arial" w:eastAsia="Calibri" w:hAnsi="Arial" w:cs="Arial"/>
          <w:sz w:val="20"/>
          <w:szCs w:val="20"/>
          <w:lang w:val="en-GB" w:eastAsia="da-DK"/>
        </w:rPr>
        <w:t xml:space="preserve">The CBA notes in </w:t>
      </w:r>
      <w:r w:rsidR="002B1A39">
        <w:rPr>
          <w:rFonts w:ascii="Arial" w:eastAsia="Calibri" w:hAnsi="Arial" w:cs="Arial"/>
          <w:sz w:val="20"/>
          <w:szCs w:val="20"/>
          <w:lang w:val="en-GB" w:eastAsia="da-DK"/>
        </w:rPr>
        <w:t>its</w:t>
      </w:r>
      <w:r>
        <w:rPr>
          <w:rFonts w:ascii="Arial" w:eastAsia="Calibri" w:hAnsi="Arial" w:cs="Arial"/>
          <w:sz w:val="20"/>
          <w:szCs w:val="20"/>
          <w:lang w:val="en-GB" w:eastAsia="da-DK"/>
        </w:rPr>
        <w:t xml:space="preserve"> mission statement that it aims to speed </w:t>
      </w:r>
      <w:r w:rsidRPr="009443AD">
        <w:rPr>
          <w:rFonts w:ascii="Arial" w:eastAsia="Calibri" w:hAnsi="Arial" w:cs="Arial"/>
          <w:sz w:val="20"/>
          <w:szCs w:val="20"/>
          <w:lang w:val="en-GB" w:eastAsia="da-DK"/>
        </w:rPr>
        <w:t>U.S. leadership in 5G deployment and innovation while ensuring protection to the existing range of satellite services in the band.</w:t>
      </w:r>
    </w:p>
    <w:p w:rsidR="00C37928" w:rsidRDefault="000868DB" w:rsidP="00276849">
      <w:pPr>
        <w:spacing w:after="0" w:line="240" w:lineRule="auto"/>
        <w:jc w:val="both"/>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ECC PT1, WGFM, FM 44</w:t>
      </w:r>
      <w:r w:rsidRPr="004F3D96">
        <w:rPr>
          <w:rFonts w:ascii="Arial" w:eastAsia="Calibri" w:hAnsi="Arial" w:cs="Arial"/>
          <w:b/>
          <w:sz w:val="20"/>
          <w:szCs w:val="20"/>
          <w:lang w:val="de-DE" w:eastAsia="da-DK"/>
        </w:rPr>
        <w:t>)</w:t>
      </w:r>
    </w:p>
    <w:p w:rsidR="008F239A" w:rsidRPr="008F239A" w:rsidRDefault="008F239A"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8F239A">
        <w:rPr>
          <w:rFonts w:ascii="Arial" w:eastAsia="Times New Roman" w:hAnsi="Arial" w:cs="Arial"/>
          <w:b/>
          <w:bCs/>
          <w:caps/>
          <w:color w:val="D2232A"/>
          <w:kern w:val="32"/>
          <w:sz w:val="20"/>
          <w:szCs w:val="32"/>
          <w:lang w:val="en-US"/>
        </w:rPr>
        <w:t xml:space="preserve">Inmarsat &amp; Deutsche Telekom’s </w:t>
      </w:r>
      <w:r w:rsidR="008368ED">
        <w:rPr>
          <w:rFonts w:ascii="Arial" w:eastAsia="Times New Roman" w:hAnsi="Arial" w:cs="Arial"/>
          <w:b/>
          <w:bCs/>
          <w:caps/>
          <w:color w:val="D2232A"/>
          <w:kern w:val="32"/>
          <w:sz w:val="20"/>
          <w:szCs w:val="32"/>
          <w:lang w:val="en-US"/>
        </w:rPr>
        <w:t xml:space="preserve">(2 GHz MSS) </w:t>
      </w:r>
      <w:r w:rsidRPr="008F239A">
        <w:rPr>
          <w:rFonts w:ascii="Arial" w:eastAsia="Times New Roman" w:hAnsi="Arial" w:cs="Arial"/>
          <w:b/>
          <w:bCs/>
          <w:caps/>
          <w:color w:val="D2232A"/>
          <w:kern w:val="32"/>
          <w:sz w:val="20"/>
          <w:szCs w:val="32"/>
          <w:lang w:val="en-US"/>
        </w:rPr>
        <w:t>European Aviation Network (EAN)</w:t>
      </w:r>
      <w:r>
        <w:rPr>
          <w:rFonts w:ascii="Arial" w:eastAsia="Times New Roman" w:hAnsi="Arial" w:cs="Arial"/>
          <w:b/>
          <w:bCs/>
          <w:caps/>
          <w:color w:val="D2232A"/>
          <w:kern w:val="32"/>
          <w:sz w:val="20"/>
          <w:szCs w:val="32"/>
          <w:lang w:val="en-US"/>
        </w:rPr>
        <w:t xml:space="preserve"> – Panasonic joined Inmarsat as a new </w:t>
      </w:r>
      <w:r w:rsidR="008368ED">
        <w:rPr>
          <w:rFonts w:ascii="Arial" w:eastAsia="Times New Roman" w:hAnsi="Arial" w:cs="Arial"/>
          <w:b/>
          <w:bCs/>
          <w:caps/>
          <w:color w:val="D2232A"/>
          <w:kern w:val="32"/>
          <w:sz w:val="20"/>
          <w:szCs w:val="32"/>
          <w:lang w:val="en-US"/>
        </w:rPr>
        <w:t xml:space="preserve">strategic </w:t>
      </w:r>
      <w:r>
        <w:rPr>
          <w:rFonts w:ascii="Arial" w:eastAsia="Times New Roman" w:hAnsi="Arial" w:cs="Arial"/>
          <w:b/>
          <w:bCs/>
          <w:caps/>
          <w:color w:val="D2232A"/>
          <w:kern w:val="32"/>
          <w:sz w:val="20"/>
          <w:szCs w:val="32"/>
          <w:lang w:val="en-US"/>
        </w:rPr>
        <w:t>partner</w:t>
      </w:r>
    </w:p>
    <w:p w:rsidR="008F239A" w:rsidRPr="008F239A" w:rsidRDefault="008F239A" w:rsidP="008F239A">
      <w:pPr>
        <w:spacing w:after="0" w:line="240" w:lineRule="auto"/>
        <w:rPr>
          <w:rFonts w:ascii="Arial" w:eastAsia="Calibri" w:hAnsi="Arial" w:cs="Arial"/>
          <w:b/>
          <w:sz w:val="20"/>
          <w:szCs w:val="20"/>
          <w:lang w:val="de-DE" w:eastAsia="da-DK"/>
        </w:rPr>
      </w:pPr>
    </w:p>
    <w:p w:rsidR="008368ED" w:rsidRPr="008368ED" w:rsidRDefault="008F239A" w:rsidP="00481D8C">
      <w:pPr>
        <w:spacing w:before="100" w:beforeAutospacing="1" w:after="100" w:afterAutospacing="1" w:line="240" w:lineRule="auto"/>
        <w:jc w:val="both"/>
        <w:rPr>
          <w:rFonts w:ascii="Arial" w:eastAsia="Calibri" w:hAnsi="Arial" w:cs="Arial"/>
          <w:sz w:val="20"/>
          <w:szCs w:val="20"/>
          <w:lang w:val="en-GB" w:eastAsia="da-DK"/>
        </w:rPr>
      </w:pPr>
      <w:r w:rsidRPr="008368ED">
        <w:rPr>
          <w:rFonts w:ascii="Arial" w:eastAsia="Calibri" w:hAnsi="Arial" w:cs="Arial"/>
          <w:sz w:val="20"/>
          <w:szCs w:val="20"/>
          <w:lang w:val="en-GB" w:eastAsia="da-DK"/>
        </w:rPr>
        <w:t xml:space="preserve">Another move on partnerships was observed </w:t>
      </w:r>
      <w:r w:rsidR="008368ED" w:rsidRPr="008368ED">
        <w:rPr>
          <w:rFonts w:ascii="Arial" w:eastAsia="Calibri" w:hAnsi="Arial" w:cs="Arial"/>
          <w:sz w:val="20"/>
          <w:szCs w:val="20"/>
          <w:lang w:val="en-GB" w:eastAsia="da-DK"/>
        </w:rPr>
        <w:t xml:space="preserve">on 20 </w:t>
      </w:r>
      <w:r w:rsidRPr="008368ED">
        <w:rPr>
          <w:rFonts w:ascii="Arial" w:eastAsia="Calibri" w:hAnsi="Arial" w:cs="Arial"/>
          <w:sz w:val="20"/>
          <w:szCs w:val="20"/>
          <w:lang w:val="en-GB" w:eastAsia="da-DK"/>
        </w:rPr>
        <w:t>September 2018 when</w:t>
      </w:r>
      <w:r w:rsidR="008368ED" w:rsidRPr="008368ED">
        <w:rPr>
          <w:rFonts w:ascii="Arial" w:eastAsia="Calibri" w:hAnsi="Arial" w:cs="Arial"/>
          <w:sz w:val="20"/>
          <w:szCs w:val="20"/>
          <w:lang w:val="en-GB" w:eastAsia="da-DK"/>
        </w:rPr>
        <w:t xml:space="preserve"> Inmarsat and Panasonic Avionics Corporation (Panasonic) </w:t>
      </w:r>
      <w:r w:rsidR="00C845BF">
        <w:rPr>
          <w:rFonts w:ascii="Arial" w:eastAsia="Calibri" w:hAnsi="Arial" w:cs="Arial"/>
          <w:sz w:val="20"/>
          <w:szCs w:val="20"/>
          <w:lang w:val="en-GB" w:eastAsia="da-DK"/>
        </w:rPr>
        <w:t xml:space="preserve">announced they </w:t>
      </w:r>
      <w:r w:rsidR="008368ED" w:rsidRPr="008368ED">
        <w:rPr>
          <w:rFonts w:ascii="Arial" w:eastAsia="Calibri" w:hAnsi="Arial" w:cs="Arial"/>
          <w:sz w:val="20"/>
          <w:szCs w:val="20"/>
          <w:lang w:val="en-GB" w:eastAsia="da-DK"/>
        </w:rPr>
        <w:t>have agreed a strategic collaboration, for an initial ten-year period, that enables them to combine their highly complementary market leading services to offer broadband in-flight connectivity (“IFC”) paired with high-value solutions and services to customers in the commercial aviation industry worldwide.</w:t>
      </w:r>
    </w:p>
    <w:p w:rsidR="008F239A" w:rsidRPr="008368ED" w:rsidRDefault="008368ED" w:rsidP="00276849">
      <w:pPr>
        <w:spacing w:before="100" w:beforeAutospacing="1" w:after="100" w:afterAutospacing="1" w:line="240" w:lineRule="auto"/>
        <w:jc w:val="both"/>
        <w:rPr>
          <w:rFonts w:ascii="Arial" w:eastAsia="Calibri" w:hAnsi="Arial" w:cs="Arial"/>
          <w:sz w:val="20"/>
          <w:szCs w:val="20"/>
          <w:lang w:val="en-GB" w:eastAsia="da-DK"/>
        </w:rPr>
      </w:pPr>
      <w:r w:rsidRPr="008368ED">
        <w:rPr>
          <w:rFonts w:ascii="Arial" w:eastAsia="Calibri" w:hAnsi="Arial" w:cs="Arial"/>
          <w:sz w:val="20"/>
          <w:szCs w:val="20"/>
          <w:lang w:val="en-GB" w:eastAsia="da-DK"/>
        </w:rPr>
        <w:t xml:space="preserve">Recall: </w:t>
      </w:r>
      <w:r w:rsidR="008F239A" w:rsidRPr="008368ED">
        <w:rPr>
          <w:rFonts w:ascii="Arial" w:eastAsia="Calibri" w:hAnsi="Arial" w:cs="Arial"/>
          <w:sz w:val="20"/>
          <w:szCs w:val="20"/>
          <w:lang w:val="en-GB" w:eastAsia="da-DK"/>
        </w:rPr>
        <w:t>at the end of June</w:t>
      </w:r>
      <w:r w:rsidRPr="008368ED">
        <w:rPr>
          <w:rFonts w:ascii="Arial" w:eastAsia="Calibri" w:hAnsi="Arial" w:cs="Arial"/>
          <w:sz w:val="20"/>
          <w:szCs w:val="20"/>
          <w:lang w:val="en-GB" w:eastAsia="da-DK"/>
        </w:rPr>
        <w:t xml:space="preserve">, at the time when the </w:t>
      </w:r>
      <w:r w:rsidR="008F239A" w:rsidRPr="008368ED">
        <w:rPr>
          <w:rFonts w:ascii="Arial" w:eastAsia="Calibri" w:hAnsi="Arial" w:cs="Arial"/>
          <w:sz w:val="20"/>
          <w:szCs w:val="20"/>
          <w:lang w:val="en-GB" w:eastAsia="da-DK"/>
        </w:rPr>
        <w:t>Inmarsat S-EAN (European Aviation Network) satellite launched by an Arianespace rocket</w:t>
      </w:r>
      <w:r w:rsidRPr="008368ED">
        <w:rPr>
          <w:rFonts w:ascii="Arial" w:eastAsia="Calibri" w:hAnsi="Arial" w:cs="Arial"/>
          <w:sz w:val="20"/>
          <w:szCs w:val="20"/>
          <w:lang w:val="en-GB" w:eastAsia="da-DK"/>
        </w:rPr>
        <w:t xml:space="preserve">, there were </w:t>
      </w:r>
      <w:r w:rsidR="00C845BF" w:rsidRPr="008368ED">
        <w:rPr>
          <w:rFonts w:ascii="Arial" w:eastAsia="Calibri" w:hAnsi="Arial" w:cs="Arial"/>
          <w:sz w:val="20"/>
          <w:szCs w:val="20"/>
          <w:lang w:val="en-GB" w:eastAsia="da-DK"/>
        </w:rPr>
        <w:t>controversi</w:t>
      </w:r>
      <w:r w:rsidR="00C845BF">
        <w:rPr>
          <w:rFonts w:ascii="Arial" w:eastAsia="Calibri" w:hAnsi="Arial" w:cs="Arial"/>
          <w:sz w:val="20"/>
          <w:szCs w:val="20"/>
          <w:lang w:val="en-GB" w:eastAsia="da-DK"/>
        </w:rPr>
        <w:t>es</w:t>
      </w:r>
      <w:r w:rsidR="00C845BF" w:rsidRPr="008368ED">
        <w:rPr>
          <w:rFonts w:ascii="Arial" w:eastAsia="Calibri" w:hAnsi="Arial" w:cs="Arial"/>
          <w:sz w:val="20"/>
          <w:szCs w:val="20"/>
          <w:lang w:val="en-GB" w:eastAsia="da-DK"/>
        </w:rPr>
        <w:t xml:space="preserve"> </w:t>
      </w:r>
      <w:r w:rsidR="008F239A" w:rsidRPr="008368ED">
        <w:rPr>
          <w:rFonts w:ascii="Arial" w:eastAsia="Calibri" w:hAnsi="Arial" w:cs="Arial"/>
          <w:sz w:val="20"/>
          <w:szCs w:val="20"/>
          <w:lang w:val="en-GB" w:eastAsia="da-DK"/>
        </w:rPr>
        <w:t xml:space="preserve">and Eutelsat, </w:t>
      </w:r>
      <w:proofErr w:type="spellStart"/>
      <w:r w:rsidR="008F239A" w:rsidRPr="008368ED">
        <w:rPr>
          <w:rFonts w:ascii="Arial" w:eastAsia="Calibri" w:hAnsi="Arial" w:cs="Arial"/>
          <w:sz w:val="20"/>
          <w:szCs w:val="20"/>
          <w:lang w:val="en-GB" w:eastAsia="da-DK"/>
        </w:rPr>
        <w:t>ViaSat</w:t>
      </w:r>
      <w:proofErr w:type="spellEnd"/>
      <w:r w:rsidR="008F239A" w:rsidRPr="008368ED">
        <w:rPr>
          <w:rFonts w:ascii="Arial" w:eastAsia="Calibri" w:hAnsi="Arial" w:cs="Arial"/>
          <w:sz w:val="20"/>
          <w:szCs w:val="20"/>
          <w:lang w:val="en-GB" w:eastAsia="da-DK"/>
        </w:rPr>
        <w:t xml:space="preserve"> and in-flight communications company Panasonic Aviation </w:t>
      </w:r>
      <w:r w:rsidRPr="008368ED">
        <w:rPr>
          <w:rFonts w:ascii="Arial" w:eastAsia="Calibri" w:hAnsi="Arial" w:cs="Arial"/>
          <w:sz w:val="20"/>
          <w:szCs w:val="20"/>
          <w:lang w:val="en-GB" w:eastAsia="da-DK"/>
        </w:rPr>
        <w:t xml:space="preserve">had </w:t>
      </w:r>
      <w:r w:rsidR="008F239A" w:rsidRPr="008368ED">
        <w:rPr>
          <w:rFonts w:ascii="Arial" w:eastAsia="Calibri" w:hAnsi="Arial" w:cs="Arial"/>
          <w:sz w:val="20"/>
          <w:szCs w:val="20"/>
          <w:lang w:val="en-GB" w:eastAsia="da-DK"/>
        </w:rPr>
        <w:t xml:space="preserve">lodged objections to the European Court of Justice and </w:t>
      </w:r>
      <w:r w:rsidR="00C845BF" w:rsidRPr="008368ED">
        <w:rPr>
          <w:rFonts w:ascii="Arial" w:eastAsia="Calibri" w:hAnsi="Arial" w:cs="Arial"/>
          <w:sz w:val="20"/>
          <w:szCs w:val="20"/>
          <w:lang w:val="en-GB" w:eastAsia="da-DK"/>
        </w:rPr>
        <w:t>ask</w:t>
      </w:r>
      <w:r w:rsidR="00C845BF">
        <w:rPr>
          <w:rFonts w:ascii="Arial" w:eastAsia="Calibri" w:hAnsi="Arial" w:cs="Arial"/>
          <w:sz w:val="20"/>
          <w:szCs w:val="20"/>
          <w:lang w:val="en-GB" w:eastAsia="da-DK"/>
        </w:rPr>
        <w:t>ed</w:t>
      </w:r>
      <w:r w:rsidR="00C845BF" w:rsidRPr="008368ED">
        <w:rPr>
          <w:rFonts w:ascii="Arial" w:eastAsia="Calibri" w:hAnsi="Arial" w:cs="Arial"/>
          <w:sz w:val="20"/>
          <w:szCs w:val="20"/>
          <w:lang w:val="en-GB" w:eastAsia="da-DK"/>
        </w:rPr>
        <w:t xml:space="preserve"> </w:t>
      </w:r>
      <w:r w:rsidR="008F239A" w:rsidRPr="008368ED">
        <w:rPr>
          <w:rFonts w:ascii="Arial" w:eastAsia="Calibri" w:hAnsi="Arial" w:cs="Arial"/>
          <w:sz w:val="20"/>
          <w:szCs w:val="20"/>
          <w:lang w:val="en-GB" w:eastAsia="da-DK"/>
        </w:rPr>
        <w:t>for an injunction to be issued to stop Inmarsat’s satellite opening for business.</w:t>
      </w:r>
      <w:r w:rsidRPr="008368ED">
        <w:rPr>
          <w:rFonts w:ascii="Arial" w:eastAsia="Calibri" w:hAnsi="Arial" w:cs="Arial"/>
          <w:sz w:val="20"/>
          <w:szCs w:val="20"/>
          <w:lang w:val="en-GB" w:eastAsia="da-DK"/>
        </w:rPr>
        <w:t xml:space="preserve"> </w:t>
      </w:r>
    </w:p>
    <w:p w:rsidR="008F239A" w:rsidRPr="008368ED" w:rsidRDefault="008F239A" w:rsidP="00276849">
      <w:pPr>
        <w:spacing w:before="100" w:beforeAutospacing="1" w:after="100" w:afterAutospacing="1" w:line="240" w:lineRule="auto"/>
        <w:jc w:val="both"/>
        <w:rPr>
          <w:rFonts w:ascii="Arial" w:eastAsia="Calibri" w:hAnsi="Arial" w:cs="Arial"/>
          <w:sz w:val="20"/>
          <w:szCs w:val="20"/>
          <w:lang w:val="en-GB" w:eastAsia="da-DK"/>
        </w:rPr>
      </w:pPr>
      <w:r w:rsidRPr="008368ED">
        <w:rPr>
          <w:rFonts w:ascii="Arial" w:eastAsia="Calibri" w:hAnsi="Arial" w:cs="Arial"/>
          <w:sz w:val="20"/>
          <w:szCs w:val="20"/>
          <w:lang w:val="en-GB" w:eastAsia="da-DK"/>
        </w:rPr>
        <w:t>Rupert Pearce, Inmarsat’s CEO, speaking to The Daily Telegraph newspaper</w:t>
      </w:r>
      <w:r w:rsidR="008368ED" w:rsidRPr="008368ED">
        <w:rPr>
          <w:rFonts w:ascii="Arial" w:eastAsia="Calibri" w:hAnsi="Arial" w:cs="Arial"/>
          <w:sz w:val="20"/>
          <w:szCs w:val="20"/>
          <w:lang w:val="en-GB" w:eastAsia="da-DK"/>
        </w:rPr>
        <w:t xml:space="preserve"> at the end of June</w:t>
      </w:r>
      <w:r w:rsidRPr="008368ED">
        <w:rPr>
          <w:rFonts w:ascii="Arial" w:eastAsia="Calibri" w:hAnsi="Arial" w:cs="Arial"/>
          <w:sz w:val="20"/>
          <w:szCs w:val="20"/>
          <w:lang w:val="en-GB" w:eastAsia="da-DK"/>
        </w:rPr>
        <w:t>, dismissed the challenge saying his three rivals were just making mischief. “We are very confident about our licence and have issued a cease and desist order on them,” Pearce said. “We take very seriously the damage to our reputation this could cause.” He continued saying that the legal challenge was designed to slow Inmarsat down.</w:t>
      </w:r>
    </w:p>
    <w:p w:rsidR="008368ED" w:rsidRDefault="008368ED" w:rsidP="00276849">
      <w:pPr>
        <w:spacing w:after="0" w:line="240" w:lineRule="auto"/>
        <w:jc w:val="both"/>
        <w:rPr>
          <w:rFonts w:ascii="Arial" w:eastAsia="Calibri" w:hAnsi="Arial" w:cs="Arial"/>
          <w:sz w:val="20"/>
          <w:szCs w:val="20"/>
          <w:lang w:val="de-DE" w:eastAsia="da-DK"/>
        </w:rPr>
      </w:pPr>
      <w:r w:rsidRPr="008368ED">
        <w:rPr>
          <w:rFonts w:ascii="Arial" w:eastAsia="Calibri" w:hAnsi="Arial" w:cs="Arial"/>
          <w:sz w:val="20"/>
          <w:szCs w:val="20"/>
          <w:lang w:val="de-DE" w:eastAsia="da-DK"/>
        </w:rPr>
        <w:t xml:space="preserve">The move is remarkable, also seeing that Panasonic is one </w:t>
      </w:r>
      <w:r>
        <w:rPr>
          <w:rFonts w:ascii="Arial" w:eastAsia="Calibri" w:hAnsi="Arial" w:cs="Arial"/>
          <w:sz w:val="20"/>
          <w:szCs w:val="20"/>
          <w:lang w:val="de-DE" w:eastAsia="da-DK"/>
        </w:rPr>
        <w:t xml:space="preserve">(if not the biggest) </w:t>
      </w:r>
      <w:r w:rsidRPr="008368ED">
        <w:rPr>
          <w:rFonts w:ascii="Arial" w:eastAsia="Calibri" w:hAnsi="Arial" w:cs="Arial"/>
          <w:sz w:val="20"/>
          <w:szCs w:val="20"/>
          <w:lang w:val="de-DE" w:eastAsia="da-DK"/>
        </w:rPr>
        <w:t>of the market leaders of today’s Ku-band AES (aircraft earth stations) solutions (ref. ECC/DEC/(05)11).</w:t>
      </w:r>
      <w:r>
        <w:rPr>
          <w:rFonts w:ascii="Arial" w:eastAsia="Calibri" w:hAnsi="Arial" w:cs="Arial"/>
          <w:sz w:val="20"/>
          <w:szCs w:val="20"/>
          <w:lang w:val="de-DE" w:eastAsia="da-DK"/>
        </w:rPr>
        <w:t xml:space="preserve"> </w:t>
      </w:r>
      <w:r w:rsidR="001E56D9">
        <w:rPr>
          <w:rFonts w:ascii="Arial" w:eastAsia="Calibri" w:hAnsi="Arial" w:cs="Arial"/>
          <w:sz w:val="20"/>
          <w:szCs w:val="20"/>
          <w:lang w:val="de-DE" w:eastAsia="da-DK"/>
        </w:rPr>
        <w:t>Although it is not outspoken that there is a relation to the EAN, it seems however obvious.</w:t>
      </w:r>
    </w:p>
    <w:p w:rsidR="008368ED" w:rsidRDefault="008368ED" w:rsidP="00276849">
      <w:pPr>
        <w:spacing w:after="0" w:line="240" w:lineRule="auto"/>
        <w:jc w:val="both"/>
        <w:rPr>
          <w:rFonts w:ascii="Arial" w:eastAsia="Calibri" w:hAnsi="Arial" w:cs="Arial"/>
          <w:sz w:val="20"/>
          <w:szCs w:val="20"/>
          <w:lang w:val="de-DE" w:eastAsia="da-DK"/>
        </w:rPr>
      </w:pPr>
    </w:p>
    <w:p w:rsidR="008F239A" w:rsidRDefault="008368ED" w:rsidP="00276849">
      <w:pPr>
        <w:spacing w:after="0" w:line="240" w:lineRule="auto"/>
        <w:jc w:val="both"/>
        <w:rPr>
          <w:rFonts w:ascii="Arial" w:eastAsia="Calibri" w:hAnsi="Arial" w:cs="Arial"/>
          <w:sz w:val="20"/>
          <w:szCs w:val="20"/>
          <w:lang w:val="de-DE" w:eastAsia="da-DK"/>
        </w:rPr>
      </w:pPr>
      <w:r>
        <w:rPr>
          <w:rFonts w:ascii="Arial" w:eastAsia="Calibri" w:hAnsi="Arial" w:cs="Arial"/>
          <w:sz w:val="20"/>
          <w:szCs w:val="20"/>
          <w:lang w:val="de-DE" w:eastAsia="da-DK"/>
        </w:rPr>
        <w:t xml:space="preserve">Another obstacle for the EAN seems to have also disolved: </w:t>
      </w:r>
      <w:r w:rsidRPr="008368ED">
        <w:rPr>
          <w:rFonts w:ascii="Arial" w:eastAsia="Calibri" w:hAnsi="Arial" w:cs="Arial"/>
          <w:sz w:val="20"/>
          <w:szCs w:val="20"/>
          <w:lang w:val="de-DE" w:eastAsia="da-DK"/>
        </w:rPr>
        <w:t xml:space="preserve">An initial </w:t>
      </w:r>
      <w:r w:rsidR="00C845BF" w:rsidRPr="008368ED">
        <w:rPr>
          <w:rFonts w:ascii="Arial" w:eastAsia="Calibri" w:hAnsi="Arial" w:cs="Arial"/>
          <w:sz w:val="20"/>
          <w:szCs w:val="20"/>
          <w:lang w:val="de-DE" w:eastAsia="da-DK"/>
        </w:rPr>
        <w:t>licen</w:t>
      </w:r>
      <w:r w:rsidR="00C845BF">
        <w:rPr>
          <w:rFonts w:ascii="Arial" w:eastAsia="Calibri" w:hAnsi="Arial" w:cs="Arial"/>
          <w:sz w:val="20"/>
          <w:szCs w:val="20"/>
          <w:lang w:val="de-DE" w:eastAsia="da-DK"/>
        </w:rPr>
        <w:t>c</w:t>
      </w:r>
      <w:r w:rsidR="00C845BF" w:rsidRPr="008368ED">
        <w:rPr>
          <w:rFonts w:ascii="Arial" w:eastAsia="Calibri" w:hAnsi="Arial" w:cs="Arial"/>
          <w:sz w:val="20"/>
          <w:szCs w:val="20"/>
          <w:lang w:val="de-DE" w:eastAsia="da-DK"/>
        </w:rPr>
        <w:t>e</w:t>
      </w:r>
      <w:r w:rsidRPr="008368ED">
        <w:rPr>
          <w:rFonts w:ascii="Arial" w:eastAsia="Calibri" w:hAnsi="Arial" w:cs="Arial"/>
          <w:sz w:val="20"/>
          <w:szCs w:val="20"/>
          <w:lang w:val="de-DE" w:eastAsia="da-DK"/>
        </w:rPr>
        <w:t xml:space="preserve">, issued by the Belgian BIPT, was annulled in March this year on procedural grounds, with the Belgium Market Court requiring additional reasoning to support the Belgian regulator’s decision to award the </w:t>
      </w:r>
      <w:r w:rsidR="00C845BF" w:rsidRPr="008368ED">
        <w:rPr>
          <w:rFonts w:ascii="Arial" w:eastAsia="Calibri" w:hAnsi="Arial" w:cs="Arial"/>
          <w:sz w:val="20"/>
          <w:szCs w:val="20"/>
          <w:lang w:val="de-DE" w:eastAsia="da-DK"/>
        </w:rPr>
        <w:t>licen</w:t>
      </w:r>
      <w:r w:rsidR="00C845BF">
        <w:rPr>
          <w:rFonts w:ascii="Arial" w:eastAsia="Calibri" w:hAnsi="Arial" w:cs="Arial"/>
          <w:sz w:val="20"/>
          <w:szCs w:val="20"/>
          <w:lang w:val="de-DE" w:eastAsia="da-DK"/>
        </w:rPr>
        <w:t>c</w:t>
      </w:r>
      <w:r w:rsidR="00C845BF" w:rsidRPr="008368ED">
        <w:rPr>
          <w:rFonts w:ascii="Arial" w:eastAsia="Calibri" w:hAnsi="Arial" w:cs="Arial"/>
          <w:sz w:val="20"/>
          <w:szCs w:val="20"/>
          <w:lang w:val="de-DE" w:eastAsia="da-DK"/>
        </w:rPr>
        <w:t>e</w:t>
      </w:r>
      <w:r w:rsidRPr="008368ED">
        <w:rPr>
          <w:rFonts w:ascii="Arial" w:eastAsia="Calibri" w:hAnsi="Arial" w:cs="Arial"/>
          <w:sz w:val="20"/>
          <w:szCs w:val="20"/>
          <w:lang w:val="de-DE" w:eastAsia="da-DK"/>
        </w:rPr>
        <w:t>.</w:t>
      </w:r>
      <w:r>
        <w:rPr>
          <w:rFonts w:ascii="Arial" w:eastAsia="Calibri" w:hAnsi="Arial" w:cs="Arial"/>
          <w:sz w:val="20"/>
          <w:szCs w:val="20"/>
          <w:lang w:val="de-DE" w:eastAsia="da-DK"/>
        </w:rPr>
        <w:t xml:space="preserve"> In August 2018 </w:t>
      </w:r>
      <w:r w:rsidR="00C845BF">
        <w:rPr>
          <w:rFonts w:ascii="Arial" w:eastAsia="Calibri" w:hAnsi="Arial" w:cs="Arial"/>
          <w:sz w:val="20"/>
          <w:szCs w:val="20"/>
          <w:lang w:val="de-DE" w:eastAsia="da-DK"/>
        </w:rPr>
        <w:t>the</w:t>
      </w:r>
      <w:r w:rsidR="00C845BF" w:rsidRPr="008368ED">
        <w:rPr>
          <w:rFonts w:ascii="Arial" w:eastAsia="Calibri" w:hAnsi="Arial" w:cs="Arial"/>
          <w:sz w:val="20"/>
          <w:szCs w:val="20"/>
          <w:lang w:val="de-DE" w:eastAsia="da-DK"/>
        </w:rPr>
        <w:t xml:space="preserve"> licen</w:t>
      </w:r>
      <w:r w:rsidR="00C845BF">
        <w:rPr>
          <w:rFonts w:ascii="Arial" w:eastAsia="Calibri" w:hAnsi="Arial" w:cs="Arial"/>
          <w:sz w:val="20"/>
          <w:szCs w:val="20"/>
          <w:lang w:val="de-DE" w:eastAsia="da-DK"/>
        </w:rPr>
        <w:t>c</w:t>
      </w:r>
      <w:r w:rsidR="00C845BF" w:rsidRPr="008368ED">
        <w:rPr>
          <w:rFonts w:ascii="Arial" w:eastAsia="Calibri" w:hAnsi="Arial" w:cs="Arial"/>
          <w:sz w:val="20"/>
          <w:szCs w:val="20"/>
          <w:lang w:val="de-DE" w:eastAsia="da-DK"/>
        </w:rPr>
        <w:t xml:space="preserve">e </w:t>
      </w:r>
      <w:r w:rsidR="00C845BF">
        <w:rPr>
          <w:rFonts w:ascii="Arial" w:eastAsia="Calibri" w:hAnsi="Arial" w:cs="Arial"/>
          <w:sz w:val="20"/>
          <w:szCs w:val="20"/>
          <w:lang w:val="de-DE" w:eastAsia="da-DK"/>
        </w:rPr>
        <w:t>was</w:t>
      </w:r>
      <w:r w:rsidRPr="008368ED">
        <w:rPr>
          <w:rFonts w:ascii="Arial" w:eastAsia="Calibri" w:hAnsi="Arial" w:cs="Arial"/>
          <w:sz w:val="20"/>
          <w:szCs w:val="20"/>
          <w:lang w:val="de-DE" w:eastAsia="da-DK"/>
        </w:rPr>
        <w:t xml:space="preserve"> re-issued by BIPT.</w:t>
      </w:r>
    </w:p>
    <w:p w:rsidR="008368ED" w:rsidRDefault="008368ED" w:rsidP="00276849">
      <w:pPr>
        <w:spacing w:after="0" w:line="240" w:lineRule="auto"/>
        <w:jc w:val="both"/>
        <w:rPr>
          <w:rFonts w:ascii="Arial" w:eastAsia="Calibri" w:hAnsi="Arial" w:cs="Arial"/>
          <w:sz w:val="20"/>
          <w:szCs w:val="20"/>
          <w:lang w:val="de-DE" w:eastAsia="da-DK"/>
        </w:rPr>
      </w:pPr>
    </w:p>
    <w:p w:rsidR="008368ED" w:rsidRPr="00C845BF" w:rsidRDefault="008368ED" w:rsidP="00276849">
      <w:pPr>
        <w:spacing w:after="0" w:line="240" w:lineRule="auto"/>
        <w:jc w:val="both"/>
        <w:rPr>
          <w:rFonts w:ascii="Arial" w:eastAsia="Calibri" w:hAnsi="Arial" w:cs="Arial"/>
          <w:b/>
          <w:sz w:val="20"/>
          <w:szCs w:val="20"/>
          <w:lang w:val="de-DE" w:eastAsia="da-DK"/>
        </w:rPr>
      </w:pPr>
      <w:r w:rsidRPr="008D69C0">
        <w:rPr>
          <w:rFonts w:ascii="Arial" w:eastAsia="Calibri" w:hAnsi="Arial" w:cs="Arial"/>
          <w:b/>
          <w:sz w:val="20"/>
          <w:szCs w:val="20"/>
          <w:lang w:val="de-DE" w:eastAsia="da-DK"/>
        </w:rPr>
        <w:t xml:space="preserve">(for information </w:t>
      </w:r>
      <w:r w:rsidR="001E56D9" w:rsidRPr="008D69C0">
        <w:rPr>
          <w:rFonts w:ascii="Arial" w:eastAsia="Calibri" w:hAnsi="Arial" w:cs="Arial"/>
          <w:b/>
          <w:sz w:val="20"/>
          <w:szCs w:val="20"/>
          <w:lang w:val="de-DE" w:eastAsia="da-DK"/>
        </w:rPr>
        <w:t>for WG FM</w:t>
      </w:r>
      <w:r w:rsidR="00C845BF" w:rsidRPr="008D69C0">
        <w:rPr>
          <w:rFonts w:ascii="Arial" w:eastAsia="Calibri" w:hAnsi="Arial" w:cs="Arial"/>
          <w:b/>
          <w:sz w:val="20"/>
          <w:szCs w:val="20"/>
          <w:lang w:val="de-DE" w:eastAsia="da-DK"/>
        </w:rPr>
        <w:t>, FM44</w:t>
      </w:r>
      <w:r w:rsidR="001E56D9" w:rsidRPr="008D69C0">
        <w:rPr>
          <w:rFonts w:ascii="Arial" w:eastAsia="Calibri" w:hAnsi="Arial" w:cs="Arial"/>
          <w:b/>
          <w:sz w:val="20"/>
          <w:szCs w:val="20"/>
          <w:lang w:val="de-DE" w:eastAsia="da-DK"/>
        </w:rPr>
        <w:t>)</w:t>
      </w:r>
    </w:p>
    <w:p w:rsidR="00742C2B" w:rsidRDefault="008F239A"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t xml:space="preserve">Australia and </w:t>
      </w:r>
      <w:r w:rsidR="00742C2B" w:rsidRPr="009443AD">
        <w:rPr>
          <w:rFonts w:ascii="Arial" w:eastAsia="Times New Roman" w:hAnsi="Arial" w:cs="Arial"/>
          <w:b/>
          <w:bCs/>
          <w:caps/>
          <w:color w:val="D2232A"/>
          <w:kern w:val="32"/>
          <w:sz w:val="20"/>
          <w:szCs w:val="32"/>
          <w:lang w:val="en-US"/>
        </w:rPr>
        <w:t xml:space="preserve">Canada: spectrum </w:t>
      </w:r>
      <w:r w:rsidR="008C48B8">
        <w:rPr>
          <w:rFonts w:ascii="Arial" w:eastAsia="Times New Roman" w:hAnsi="Arial" w:cs="Arial"/>
          <w:b/>
          <w:bCs/>
          <w:caps/>
          <w:color w:val="D2232A"/>
          <w:kern w:val="32"/>
          <w:sz w:val="20"/>
          <w:szCs w:val="32"/>
          <w:lang w:val="en-US"/>
        </w:rPr>
        <w:t>Outlook 2018-2022</w:t>
      </w:r>
    </w:p>
    <w:p w:rsidR="008F239A" w:rsidRDefault="008F239A" w:rsidP="00481D8C">
      <w:pPr>
        <w:spacing w:before="240" w:after="60" w:line="240" w:lineRule="auto"/>
        <w:jc w:val="both"/>
        <w:outlineLvl w:val="0"/>
        <w:rPr>
          <w:rFonts w:ascii="Arial" w:eastAsia="Calibri" w:hAnsi="Arial" w:cs="Arial"/>
          <w:sz w:val="20"/>
          <w:szCs w:val="20"/>
          <w:lang w:val="en-GB" w:eastAsia="da-DK"/>
        </w:rPr>
      </w:pPr>
      <w:r w:rsidRPr="008F239A">
        <w:rPr>
          <w:rFonts w:ascii="Arial" w:eastAsia="Calibri" w:hAnsi="Arial" w:cs="Arial"/>
          <w:sz w:val="20"/>
          <w:szCs w:val="20"/>
          <w:lang w:val="en-GB" w:eastAsia="da-DK"/>
        </w:rPr>
        <w:t xml:space="preserve">On 13 September 2018, the </w:t>
      </w:r>
      <w:r>
        <w:rPr>
          <w:rFonts w:ascii="Arial" w:eastAsia="Calibri" w:hAnsi="Arial" w:cs="Arial"/>
          <w:sz w:val="20"/>
          <w:szCs w:val="20"/>
          <w:lang w:val="en-GB" w:eastAsia="da-DK"/>
        </w:rPr>
        <w:t xml:space="preserve">Australian regulator </w:t>
      </w:r>
      <w:r w:rsidRPr="008F239A">
        <w:rPr>
          <w:rFonts w:ascii="Arial" w:eastAsia="Calibri" w:hAnsi="Arial" w:cs="Arial"/>
          <w:sz w:val="20"/>
          <w:szCs w:val="20"/>
          <w:lang w:val="en-GB" w:eastAsia="da-DK"/>
        </w:rPr>
        <w:t xml:space="preserve">ACMA published the final 2018-22 </w:t>
      </w:r>
      <w:r>
        <w:rPr>
          <w:rFonts w:ascii="Arial" w:eastAsia="Calibri" w:hAnsi="Arial" w:cs="Arial"/>
          <w:sz w:val="20"/>
          <w:szCs w:val="20"/>
          <w:lang w:val="en-GB" w:eastAsia="da-DK"/>
        </w:rPr>
        <w:t>spectrum outlook after a consultation earlier this year. H</w:t>
      </w:r>
      <w:r w:rsidRPr="008F239A">
        <w:rPr>
          <w:rFonts w:ascii="Arial" w:eastAsia="Calibri" w:hAnsi="Arial" w:cs="Arial"/>
          <w:sz w:val="20"/>
          <w:szCs w:val="20"/>
          <w:lang w:val="en-GB" w:eastAsia="da-DK"/>
        </w:rPr>
        <w:t xml:space="preserve">igh priority </w:t>
      </w:r>
      <w:r>
        <w:rPr>
          <w:rFonts w:ascii="Arial" w:eastAsia="Calibri" w:hAnsi="Arial" w:cs="Arial"/>
          <w:sz w:val="20"/>
          <w:szCs w:val="20"/>
          <w:lang w:val="en-GB" w:eastAsia="da-DK"/>
        </w:rPr>
        <w:t xml:space="preserve">is </w:t>
      </w:r>
      <w:r w:rsidRPr="008F239A">
        <w:rPr>
          <w:rFonts w:ascii="Arial" w:eastAsia="Calibri" w:hAnsi="Arial" w:cs="Arial"/>
          <w:sz w:val="20"/>
          <w:szCs w:val="20"/>
          <w:lang w:val="en-GB" w:eastAsia="da-DK"/>
        </w:rPr>
        <w:t>given to band planning and the allocation of spectrum, including the forthcoming 3.6 GHz auction</w:t>
      </w:r>
      <w:r>
        <w:rPr>
          <w:rFonts w:ascii="Arial" w:eastAsia="Calibri" w:hAnsi="Arial" w:cs="Arial"/>
          <w:sz w:val="20"/>
          <w:szCs w:val="20"/>
          <w:lang w:val="en-GB" w:eastAsia="da-DK"/>
        </w:rPr>
        <w:t xml:space="preserve">, </w:t>
      </w:r>
      <w:r w:rsidRPr="008F239A">
        <w:rPr>
          <w:rFonts w:ascii="Arial" w:eastAsia="Calibri" w:hAnsi="Arial" w:cs="Arial"/>
          <w:sz w:val="20"/>
          <w:szCs w:val="20"/>
          <w:lang w:val="en-GB" w:eastAsia="da-DK"/>
        </w:rPr>
        <w:t>consideration of 5G, IoT and space communications as key drivers of spectrum demand and their associated pressures.</w:t>
      </w:r>
      <w:r>
        <w:rPr>
          <w:rFonts w:ascii="Arial" w:eastAsia="Calibri" w:hAnsi="Arial" w:cs="Arial"/>
          <w:sz w:val="20"/>
          <w:szCs w:val="20"/>
          <w:lang w:val="en-GB" w:eastAsia="da-DK"/>
        </w:rPr>
        <w:t xml:space="preserve"> See </w:t>
      </w:r>
      <w:hyperlink r:id="rId30" w:history="1">
        <w:r>
          <w:rPr>
            <w:rStyle w:val="Hyperlink"/>
            <w:rFonts w:ascii="Arial" w:eastAsia="Calibri" w:hAnsi="Arial" w:cs="Arial"/>
            <w:sz w:val="20"/>
            <w:szCs w:val="20"/>
            <w:lang w:val="en-GB" w:eastAsia="da-DK"/>
          </w:rPr>
          <w:t>Five-year-spectrum-outlook-2018-22</w:t>
        </w:r>
      </w:hyperlink>
      <w:r>
        <w:rPr>
          <w:rFonts w:ascii="Arial" w:eastAsia="Calibri" w:hAnsi="Arial" w:cs="Arial"/>
          <w:sz w:val="20"/>
          <w:szCs w:val="20"/>
          <w:lang w:val="en-GB" w:eastAsia="da-DK"/>
        </w:rPr>
        <w:t>.</w:t>
      </w:r>
    </w:p>
    <w:p w:rsidR="00742C2B" w:rsidRDefault="00FB1FC2"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The Canadian government department </w:t>
      </w:r>
      <w:r w:rsidR="008C48B8" w:rsidRPr="008C48B8">
        <w:rPr>
          <w:rFonts w:ascii="Arial" w:eastAsia="Calibri" w:hAnsi="Arial" w:cs="Arial"/>
          <w:sz w:val="20"/>
          <w:szCs w:val="20"/>
          <w:lang w:val="en-GB" w:eastAsia="da-DK"/>
        </w:rPr>
        <w:t>Innovation, Science, and Economic Development Canada (ISED), has published its "</w:t>
      </w:r>
      <w:hyperlink r:id="rId31" w:history="1">
        <w:r w:rsidR="008C48B8" w:rsidRPr="00FB1FC2">
          <w:rPr>
            <w:rStyle w:val="Hyperlink"/>
            <w:rFonts w:ascii="Arial" w:eastAsia="Calibri" w:hAnsi="Arial" w:cs="Arial"/>
            <w:sz w:val="20"/>
            <w:szCs w:val="20"/>
            <w:lang w:val="en-GB" w:eastAsia="da-DK"/>
          </w:rPr>
          <w:t>Spectrum Outlook</w:t>
        </w:r>
      </w:hyperlink>
      <w:r w:rsidR="008C48B8" w:rsidRPr="008C48B8">
        <w:rPr>
          <w:rFonts w:ascii="Arial" w:eastAsia="Calibri" w:hAnsi="Arial" w:cs="Arial"/>
          <w:sz w:val="20"/>
          <w:szCs w:val="20"/>
          <w:lang w:val="en-GB" w:eastAsia="da-DK"/>
        </w:rPr>
        <w:t xml:space="preserve">", </w:t>
      </w:r>
      <w:r>
        <w:rPr>
          <w:rFonts w:ascii="Arial" w:eastAsia="Calibri" w:hAnsi="Arial" w:cs="Arial"/>
          <w:sz w:val="20"/>
          <w:szCs w:val="20"/>
          <w:lang w:val="en-GB" w:eastAsia="da-DK"/>
        </w:rPr>
        <w:t>which outline</w:t>
      </w:r>
      <w:r w:rsidR="008C48B8" w:rsidRPr="008C48B8">
        <w:rPr>
          <w:rFonts w:ascii="Arial" w:eastAsia="Calibri" w:hAnsi="Arial" w:cs="Arial"/>
          <w:sz w:val="20"/>
          <w:szCs w:val="20"/>
          <w:lang w:val="en-GB" w:eastAsia="da-DK"/>
        </w:rPr>
        <w:t xml:space="preserve"> </w:t>
      </w:r>
      <w:r>
        <w:rPr>
          <w:rFonts w:ascii="Arial" w:eastAsia="Calibri" w:hAnsi="Arial" w:cs="Arial"/>
          <w:sz w:val="20"/>
          <w:szCs w:val="20"/>
          <w:lang w:val="en-GB" w:eastAsia="da-DK"/>
        </w:rPr>
        <w:t xml:space="preserve">plans and </w:t>
      </w:r>
      <w:r w:rsidR="008C48B8" w:rsidRPr="008C48B8">
        <w:rPr>
          <w:rFonts w:ascii="Arial" w:eastAsia="Calibri" w:hAnsi="Arial" w:cs="Arial"/>
          <w:sz w:val="20"/>
          <w:szCs w:val="20"/>
          <w:lang w:val="en-GB" w:eastAsia="da-DK"/>
        </w:rPr>
        <w:t>priorit</w:t>
      </w:r>
      <w:r>
        <w:rPr>
          <w:rFonts w:ascii="Arial" w:eastAsia="Calibri" w:hAnsi="Arial" w:cs="Arial"/>
          <w:sz w:val="20"/>
          <w:szCs w:val="20"/>
          <w:lang w:val="en-GB" w:eastAsia="da-DK"/>
        </w:rPr>
        <w:t>y bands</w:t>
      </w:r>
      <w:r w:rsidR="008C48B8" w:rsidRPr="008C48B8">
        <w:rPr>
          <w:rFonts w:ascii="Arial" w:eastAsia="Calibri" w:hAnsi="Arial" w:cs="Arial"/>
          <w:sz w:val="20"/>
          <w:szCs w:val="20"/>
          <w:lang w:val="en-GB" w:eastAsia="da-DK"/>
        </w:rPr>
        <w:t xml:space="preserve"> for spectrum release between 2018 and 2022.</w:t>
      </w:r>
      <w:r w:rsidR="008C48B8">
        <w:rPr>
          <w:rFonts w:ascii="Arial" w:eastAsia="Calibri" w:hAnsi="Arial" w:cs="Arial"/>
          <w:sz w:val="20"/>
          <w:szCs w:val="20"/>
          <w:lang w:val="en-GB" w:eastAsia="da-DK"/>
        </w:rPr>
        <w:t xml:space="preserve"> It lists bands according to priority 1-3 (where 1 indicates near term release plans).</w:t>
      </w:r>
    </w:p>
    <w:p w:rsidR="002B6904" w:rsidRDefault="002B6904"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lastRenderedPageBreak/>
        <w:t xml:space="preserve">The priority 1 bands are </w:t>
      </w:r>
      <w:r w:rsidR="008C48B8" w:rsidRPr="008C48B8">
        <w:rPr>
          <w:rFonts w:ascii="Arial" w:eastAsia="Calibri" w:hAnsi="Arial" w:cs="Arial"/>
          <w:sz w:val="20"/>
          <w:szCs w:val="20"/>
          <w:lang w:val="en-GB" w:eastAsia="da-DK"/>
        </w:rPr>
        <w:t>600 MHz (614–698 MHz), 1500 MHz (1525–1559 MHz + 1626.5–1660.5 MHz), 1600 MHz (161</w:t>
      </w:r>
      <w:r>
        <w:rPr>
          <w:rFonts w:ascii="Arial" w:eastAsia="Calibri" w:hAnsi="Arial" w:cs="Arial"/>
          <w:sz w:val="20"/>
          <w:szCs w:val="20"/>
          <w:lang w:val="en-GB" w:eastAsia="da-DK"/>
        </w:rPr>
        <w:t xml:space="preserve">0–1626.5 MHz + 2483.5–2500 MHz), 3500 MHz (3450–3650 MHz), </w:t>
      </w:r>
      <w:r w:rsidRPr="008C48B8">
        <w:rPr>
          <w:rFonts w:ascii="Arial" w:eastAsia="Calibri" w:hAnsi="Arial" w:cs="Arial"/>
          <w:sz w:val="20"/>
          <w:szCs w:val="20"/>
          <w:lang w:val="en-GB" w:eastAsia="da-DK"/>
        </w:rPr>
        <w:t xml:space="preserve">upper 26 GHz (26.5–27.5 GHz), 28 GHz (27.5–28.35 GHz), </w:t>
      </w:r>
      <w:r w:rsidR="00FB1FC2">
        <w:rPr>
          <w:rFonts w:ascii="Arial" w:eastAsia="Calibri" w:hAnsi="Arial" w:cs="Arial"/>
          <w:sz w:val="20"/>
          <w:szCs w:val="20"/>
          <w:lang w:val="en-GB" w:eastAsia="da-DK"/>
        </w:rPr>
        <w:t>32 GHz (31.8-</w:t>
      </w:r>
      <w:r w:rsidR="00FB1FC2" w:rsidRPr="00FB1FC2">
        <w:rPr>
          <w:rFonts w:ascii="Arial" w:eastAsia="Calibri" w:hAnsi="Arial" w:cs="Arial"/>
          <w:sz w:val="20"/>
          <w:szCs w:val="20"/>
          <w:lang w:val="en-GB" w:eastAsia="da-DK"/>
        </w:rPr>
        <w:t>33.4 GHz</w:t>
      </w:r>
      <w:r w:rsidR="00FB1FC2">
        <w:rPr>
          <w:rFonts w:ascii="Arial" w:eastAsia="Calibri" w:hAnsi="Arial" w:cs="Arial"/>
          <w:sz w:val="20"/>
          <w:szCs w:val="20"/>
          <w:lang w:val="en-GB" w:eastAsia="da-DK"/>
        </w:rPr>
        <w:t>,</w:t>
      </w:r>
      <w:r w:rsidR="00FB1FC2" w:rsidRPr="00FB1FC2">
        <w:rPr>
          <w:rFonts w:ascii="Arial" w:eastAsia="Calibri" w:hAnsi="Arial" w:cs="Arial"/>
          <w:sz w:val="20"/>
          <w:szCs w:val="20"/>
          <w:lang w:val="en-GB" w:eastAsia="da-DK"/>
        </w:rPr>
        <w:t xml:space="preserve"> </w:t>
      </w:r>
      <w:r w:rsidR="00FB1FC2">
        <w:rPr>
          <w:rFonts w:ascii="Arial" w:eastAsia="Calibri" w:hAnsi="Arial" w:cs="Arial"/>
          <w:sz w:val="20"/>
          <w:szCs w:val="20"/>
          <w:lang w:val="en-GB" w:eastAsia="da-DK"/>
        </w:rPr>
        <w:t xml:space="preserve">for backhaul) 37–40 GHz, </w:t>
      </w:r>
      <w:r w:rsidRPr="008C48B8">
        <w:rPr>
          <w:rFonts w:ascii="Arial" w:eastAsia="Calibri" w:hAnsi="Arial" w:cs="Arial"/>
          <w:sz w:val="20"/>
          <w:szCs w:val="20"/>
          <w:lang w:val="en-GB" w:eastAsia="da-DK"/>
        </w:rPr>
        <w:t>64–71 GHz</w:t>
      </w:r>
      <w:r w:rsidR="00FB1FC2">
        <w:rPr>
          <w:rFonts w:ascii="Arial" w:eastAsia="Calibri" w:hAnsi="Arial" w:cs="Arial"/>
          <w:sz w:val="20"/>
          <w:szCs w:val="20"/>
          <w:lang w:val="en-GB" w:eastAsia="da-DK"/>
        </w:rPr>
        <w:t>, 71-76 GHz (for backhaul) and 81-86 GHz (for backhaul)</w:t>
      </w:r>
      <w:r>
        <w:rPr>
          <w:rFonts w:ascii="Arial" w:eastAsia="Calibri" w:hAnsi="Arial" w:cs="Arial"/>
          <w:sz w:val="20"/>
          <w:szCs w:val="20"/>
          <w:lang w:val="en-GB" w:eastAsia="da-DK"/>
        </w:rPr>
        <w:t>.</w:t>
      </w:r>
    </w:p>
    <w:p w:rsidR="008C48B8" w:rsidRDefault="008C48B8" w:rsidP="00481D8C">
      <w:pPr>
        <w:spacing w:before="240" w:after="60" w:line="240" w:lineRule="auto"/>
        <w:jc w:val="both"/>
        <w:outlineLvl w:val="0"/>
        <w:rPr>
          <w:rFonts w:ascii="Arial" w:eastAsia="Calibri" w:hAnsi="Arial" w:cs="Arial"/>
          <w:sz w:val="20"/>
          <w:szCs w:val="20"/>
          <w:lang w:val="en-GB" w:eastAsia="da-DK"/>
        </w:rPr>
      </w:pPr>
      <w:r w:rsidRPr="008C48B8">
        <w:rPr>
          <w:rFonts w:ascii="Arial" w:eastAsia="Calibri" w:hAnsi="Arial" w:cs="Arial"/>
          <w:sz w:val="20"/>
          <w:szCs w:val="20"/>
          <w:lang w:val="en-GB" w:eastAsia="da-DK"/>
        </w:rPr>
        <w:t xml:space="preserve">ISED plans to release </w:t>
      </w:r>
      <w:r w:rsidR="002B6904">
        <w:rPr>
          <w:rFonts w:ascii="Arial" w:eastAsia="Calibri" w:hAnsi="Arial" w:cs="Arial"/>
          <w:sz w:val="20"/>
          <w:szCs w:val="20"/>
          <w:lang w:val="en-GB" w:eastAsia="da-DK"/>
        </w:rPr>
        <w:t xml:space="preserve">the </w:t>
      </w:r>
      <w:r w:rsidR="00FB1FC2">
        <w:rPr>
          <w:rFonts w:ascii="Arial" w:eastAsia="Calibri" w:hAnsi="Arial" w:cs="Arial"/>
          <w:sz w:val="20"/>
          <w:szCs w:val="20"/>
          <w:lang w:val="en-GB" w:eastAsia="da-DK"/>
        </w:rPr>
        <w:t>lower</w:t>
      </w:r>
      <w:r w:rsidRPr="008C48B8">
        <w:rPr>
          <w:rFonts w:ascii="Arial" w:eastAsia="Calibri" w:hAnsi="Arial" w:cs="Arial"/>
          <w:sz w:val="20"/>
          <w:szCs w:val="20"/>
          <w:lang w:val="en-GB" w:eastAsia="da-DK"/>
        </w:rPr>
        <w:t xml:space="preserve"> bands </w:t>
      </w:r>
      <w:r w:rsidR="002B6904">
        <w:rPr>
          <w:rFonts w:ascii="Arial" w:eastAsia="Calibri" w:hAnsi="Arial" w:cs="Arial"/>
          <w:sz w:val="20"/>
          <w:szCs w:val="20"/>
          <w:lang w:val="en-GB" w:eastAsia="da-DK"/>
        </w:rPr>
        <w:t xml:space="preserve">(3500 MHz and below) </w:t>
      </w:r>
      <w:r w:rsidRPr="008C48B8">
        <w:rPr>
          <w:rFonts w:ascii="Arial" w:eastAsia="Calibri" w:hAnsi="Arial" w:cs="Arial"/>
          <w:sz w:val="20"/>
          <w:szCs w:val="20"/>
          <w:lang w:val="en-GB" w:eastAsia="da-DK"/>
        </w:rPr>
        <w:t xml:space="preserve">from 2019, </w:t>
      </w:r>
      <w:r w:rsidR="002B6904">
        <w:rPr>
          <w:rFonts w:ascii="Arial" w:eastAsia="Calibri" w:hAnsi="Arial" w:cs="Arial"/>
          <w:sz w:val="20"/>
          <w:szCs w:val="20"/>
          <w:lang w:val="en-GB" w:eastAsia="da-DK"/>
        </w:rPr>
        <w:t>starting with the 600 MHz band. T</w:t>
      </w:r>
      <w:r w:rsidRPr="008C48B8">
        <w:rPr>
          <w:rFonts w:ascii="Arial" w:eastAsia="Calibri" w:hAnsi="Arial" w:cs="Arial"/>
          <w:sz w:val="20"/>
          <w:szCs w:val="20"/>
          <w:lang w:val="en-GB" w:eastAsia="da-DK"/>
        </w:rPr>
        <w:t xml:space="preserve">he 3500 MHz band </w:t>
      </w:r>
      <w:r w:rsidR="002B6904">
        <w:rPr>
          <w:rFonts w:ascii="Arial" w:eastAsia="Calibri" w:hAnsi="Arial" w:cs="Arial"/>
          <w:sz w:val="20"/>
          <w:szCs w:val="20"/>
          <w:lang w:val="en-GB" w:eastAsia="da-DK"/>
        </w:rPr>
        <w:t xml:space="preserve">is planned for release </w:t>
      </w:r>
      <w:r w:rsidRPr="008C48B8">
        <w:rPr>
          <w:rFonts w:ascii="Arial" w:eastAsia="Calibri" w:hAnsi="Arial" w:cs="Arial"/>
          <w:sz w:val="20"/>
          <w:szCs w:val="20"/>
          <w:lang w:val="en-GB" w:eastAsia="da-DK"/>
        </w:rPr>
        <w:t>in 2020.</w:t>
      </w:r>
    </w:p>
    <w:p w:rsidR="008C48B8" w:rsidRDefault="002B6904"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The lower 26 GHz band from </w:t>
      </w:r>
      <w:r w:rsidR="008C48B8" w:rsidRPr="008C48B8">
        <w:rPr>
          <w:rFonts w:ascii="Arial" w:eastAsia="Calibri" w:hAnsi="Arial" w:cs="Arial"/>
          <w:sz w:val="20"/>
          <w:szCs w:val="20"/>
          <w:lang w:val="en-GB" w:eastAsia="da-DK"/>
        </w:rPr>
        <w:t xml:space="preserve">24.25–26.5 GHz </w:t>
      </w:r>
      <w:r>
        <w:rPr>
          <w:rFonts w:ascii="Arial" w:eastAsia="Calibri" w:hAnsi="Arial" w:cs="Arial"/>
          <w:sz w:val="20"/>
          <w:szCs w:val="20"/>
          <w:lang w:val="en-GB" w:eastAsia="da-DK"/>
        </w:rPr>
        <w:t>(</w:t>
      </w:r>
      <w:r w:rsidR="008C48B8" w:rsidRPr="008C48B8">
        <w:rPr>
          <w:rFonts w:ascii="Arial" w:eastAsia="Calibri" w:hAnsi="Arial" w:cs="Arial"/>
          <w:sz w:val="20"/>
          <w:szCs w:val="20"/>
          <w:lang w:val="en-GB" w:eastAsia="da-DK"/>
        </w:rPr>
        <w:t xml:space="preserve">referred to </w:t>
      </w:r>
      <w:r>
        <w:rPr>
          <w:rFonts w:ascii="Arial" w:eastAsia="Calibri" w:hAnsi="Arial" w:cs="Arial"/>
          <w:sz w:val="20"/>
          <w:szCs w:val="20"/>
          <w:lang w:val="en-GB" w:eastAsia="da-DK"/>
        </w:rPr>
        <w:t>as 24 GHz) is classified as priority 2, meaning that work is expected to start during 2018-2022 and is subject to WRC-19 outcomes.</w:t>
      </w:r>
    </w:p>
    <w:p w:rsidR="002B6904" w:rsidRDefault="002B6904"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The remaining C Band spectrum from 3650-4200 MHz is also classified as priority 2.</w:t>
      </w:r>
    </w:p>
    <w:p w:rsidR="00E35FEE" w:rsidRPr="009443AD" w:rsidRDefault="00E35FEE" w:rsidP="00481D8C">
      <w:pPr>
        <w:spacing w:after="0" w:line="240" w:lineRule="auto"/>
        <w:rPr>
          <w:rFonts w:ascii="Arial" w:eastAsia="Calibri" w:hAnsi="Arial" w:cs="Arial"/>
          <w:sz w:val="20"/>
          <w:szCs w:val="20"/>
          <w:lang w:val="en-GB" w:eastAsia="da-DK"/>
        </w:rPr>
      </w:pPr>
      <w:r w:rsidRPr="004F3D96">
        <w:rPr>
          <w:rFonts w:ascii="Arial" w:eastAsia="Calibri" w:hAnsi="Arial" w:cs="Arial"/>
          <w:b/>
          <w:sz w:val="20"/>
          <w:szCs w:val="20"/>
          <w:lang w:val="de-DE" w:eastAsia="da-DK"/>
        </w:rPr>
        <w:t xml:space="preserve">(for information in </w:t>
      </w:r>
      <w:r w:rsidR="008F239A">
        <w:rPr>
          <w:rFonts w:ascii="Arial" w:eastAsia="Calibri" w:hAnsi="Arial" w:cs="Arial"/>
          <w:b/>
          <w:sz w:val="20"/>
          <w:szCs w:val="20"/>
          <w:lang w:val="de-DE" w:eastAsia="da-DK"/>
        </w:rPr>
        <w:t xml:space="preserve">WG FM and </w:t>
      </w:r>
      <w:r>
        <w:rPr>
          <w:rFonts w:ascii="Arial" w:eastAsia="Calibri" w:hAnsi="Arial" w:cs="Arial"/>
          <w:b/>
          <w:sz w:val="20"/>
          <w:szCs w:val="20"/>
          <w:lang w:val="de-DE" w:eastAsia="da-DK"/>
        </w:rPr>
        <w:t>ECC PT1</w:t>
      </w:r>
      <w:r w:rsidRPr="004F3D96">
        <w:rPr>
          <w:rFonts w:ascii="Arial" w:eastAsia="Calibri" w:hAnsi="Arial" w:cs="Arial"/>
          <w:b/>
          <w:sz w:val="20"/>
          <w:szCs w:val="20"/>
          <w:lang w:val="de-DE" w:eastAsia="da-DK"/>
        </w:rPr>
        <w:t>)</w:t>
      </w:r>
      <w:r w:rsidR="00B43306">
        <w:rPr>
          <w:rFonts w:ascii="Arial" w:eastAsia="Calibri" w:hAnsi="Arial" w:cs="Arial"/>
          <w:b/>
          <w:sz w:val="20"/>
          <w:szCs w:val="20"/>
          <w:lang w:val="de-DE" w:eastAsia="da-DK"/>
        </w:rPr>
        <w:t xml:space="preserve"> </w:t>
      </w:r>
    </w:p>
    <w:p w:rsidR="00742C2B" w:rsidRDefault="00742C2B" w:rsidP="00481D8C">
      <w:pPr>
        <w:pStyle w:val="ListParagraph"/>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9443AD">
        <w:rPr>
          <w:rFonts w:ascii="Arial" w:eastAsia="Times New Roman" w:hAnsi="Arial" w:cs="Arial"/>
          <w:b/>
          <w:bCs/>
          <w:caps/>
          <w:color w:val="D2232A"/>
          <w:kern w:val="32"/>
          <w:sz w:val="20"/>
          <w:szCs w:val="32"/>
          <w:lang w:val="en-US"/>
        </w:rPr>
        <w:t xml:space="preserve">5G </w:t>
      </w:r>
      <w:r w:rsidR="006B220F">
        <w:rPr>
          <w:rFonts w:ascii="Arial" w:eastAsia="Times New Roman" w:hAnsi="Arial" w:cs="Arial"/>
          <w:b/>
          <w:bCs/>
          <w:caps/>
          <w:color w:val="D2232A"/>
          <w:kern w:val="32"/>
          <w:sz w:val="20"/>
          <w:szCs w:val="32"/>
          <w:lang w:val="en-US"/>
        </w:rPr>
        <w:t xml:space="preserve">showcase </w:t>
      </w:r>
      <w:r w:rsidR="003748C7">
        <w:rPr>
          <w:rFonts w:ascii="Arial" w:eastAsia="Times New Roman" w:hAnsi="Arial" w:cs="Arial"/>
          <w:b/>
          <w:bCs/>
          <w:caps/>
          <w:color w:val="D2232A"/>
          <w:kern w:val="32"/>
          <w:sz w:val="20"/>
          <w:szCs w:val="32"/>
          <w:lang w:val="en-US"/>
        </w:rPr>
        <w:t>events</w:t>
      </w:r>
      <w:r w:rsidR="00012298">
        <w:rPr>
          <w:rFonts w:ascii="Arial" w:eastAsia="Times New Roman" w:hAnsi="Arial" w:cs="Arial"/>
          <w:b/>
          <w:bCs/>
          <w:caps/>
          <w:color w:val="D2232A"/>
          <w:kern w:val="32"/>
          <w:sz w:val="20"/>
          <w:szCs w:val="32"/>
          <w:lang w:val="en-US"/>
        </w:rPr>
        <w:t xml:space="preserve"> and developments</w:t>
      </w:r>
      <w:r w:rsidR="001D0CA2">
        <w:rPr>
          <w:rFonts w:ascii="Arial" w:eastAsia="Times New Roman" w:hAnsi="Arial" w:cs="Arial"/>
          <w:b/>
          <w:bCs/>
          <w:caps/>
          <w:color w:val="D2232A"/>
          <w:kern w:val="32"/>
          <w:sz w:val="20"/>
          <w:szCs w:val="32"/>
          <w:lang w:val="en-US"/>
        </w:rPr>
        <w:t xml:space="preserve">: Examples </w:t>
      </w:r>
      <w:r w:rsidR="006B220F">
        <w:rPr>
          <w:rFonts w:ascii="Arial" w:eastAsia="Times New Roman" w:hAnsi="Arial" w:cs="Arial"/>
          <w:b/>
          <w:bCs/>
          <w:caps/>
          <w:color w:val="D2232A"/>
          <w:kern w:val="32"/>
          <w:sz w:val="20"/>
          <w:szCs w:val="32"/>
          <w:lang w:val="en-US"/>
        </w:rPr>
        <w:t xml:space="preserve">at </w:t>
      </w:r>
      <w:r w:rsidR="003748C7">
        <w:rPr>
          <w:rFonts w:ascii="Arial" w:eastAsia="Times New Roman" w:hAnsi="Arial" w:cs="Arial"/>
          <w:b/>
          <w:bCs/>
          <w:caps/>
          <w:color w:val="D2232A"/>
          <w:kern w:val="32"/>
          <w:sz w:val="20"/>
          <w:szCs w:val="32"/>
          <w:lang w:val="en-US"/>
        </w:rPr>
        <w:t xml:space="preserve">the </w:t>
      </w:r>
      <w:r w:rsidR="00CC4D42">
        <w:rPr>
          <w:rFonts w:ascii="Arial" w:eastAsia="Times New Roman" w:hAnsi="Arial" w:cs="Arial"/>
          <w:b/>
          <w:bCs/>
          <w:caps/>
          <w:color w:val="D2232A"/>
          <w:kern w:val="32"/>
          <w:sz w:val="20"/>
          <w:szCs w:val="32"/>
          <w:lang w:val="en-US"/>
        </w:rPr>
        <w:t>FIFA</w:t>
      </w:r>
      <w:r w:rsidR="003748C7">
        <w:rPr>
          <w:rFonts w:ascii="Arial" w:eastAsia="Times New Roman" w:hAnsi="Arial" w:cs="Arial"/>
          <w:b/>
          <w:bCs/>
          <w:caps/>
          <w:color w:val="D2232A"/>
          <w:kern w:val="32"/>
          <w:sz w:val="20"/>
          <w:szCs w:val="32"/>
          <w:lang w:val="en-US"/>
        </w:rPr>
        <w:t xml:space="preserve"> world cup</w:t>
      </w:r>
      <w:r w:rsidR="00927DA1">
        <w:rPr>
          <w:rFonts w:ascii="Arial" w:eastAsia="Times New Roman" w:hAnsi="Arial" w:cs="Arial"/>
          <w:b/>
          <w:bCs/>
          <w:caps/>
          <w:color w:val="D2232A"/>
          <w:kern w:val="32"/>
          <w:sz w:val="20"/>
          <w:szCs w:val="32"/>
          <w:lang w:val="en-US"/>
        </w:rPr>
        <w:t xml:space="preserve">, </w:t>
      </w:r>
      <w:r w:rsidR="006B220F">
        <w:rPr>
          <w:rFonts w:ascii="Arial" w:eastAsia="Times New Roman" w:hAnsi="Arial" w:cs="Arial"/>
          <w:b/>
          <w:bCs/>
          <w:caps/>
          <w:color w:val="D2232A"/>
          <w:kern w:val="32"/>
          <w:sz w:val="20"/>
          <w:szCs w:val="32"/>
          <w:lang w:val="en-US"/>
        </w:rPr>
        <w:t>the asian games</w:t>
      </w:r>
      <w:r w:rsidR="00927DA1">
        <w:rPr>
          <w:rFonts w:ascii="Arial" w:eastAsia="Times New Roman" w:hAnsi="Arial" w:cs="Arial"/>
          <w:b/>
          <w:bCs/>
          <w:caps/>
          <w:color w:val="D2232A"/>
          <w:kern w:val="32"/>
          <w:sz w:val="20"/>
          <w:szCs w:val="32"/>
          <w:lang w:val="en-US"/>
        </w:rPr>
        <w:t>, Qatar</w:t>
      </w:r>
      <w:r w:rsidR="00012298">
        <w:rPr>
          <w:rFonts w:ascii="Arial" w:eastAsia="Times New Roman" w:hAnsi="Arial" w:cs="Arial"/>
          <w:b/>
          <w:bCs/>
          <w:caps/>
          <w:color w:val="D2232A"/>
          <w:kern w:val="32"/>
          <w:sz w:val="20"/>
          <w:szCs w:val="32"/>
          <w:lang w:val="en-US"/>
        </w:rPr>
        <w:t>, USA, Japan, South Korea, china</w:t>
      </w:r>
    </w:p>
    <w:p w:rsidR="003748C7" w:rsidRPr="003748C7" w:rsidRDefault="003748C7"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At the FIFA World Cup in June and July in Russia, </w:t>
      </w:r>
      <w:r w:rsidRPr="003748C7">
        <w:rPr>
          <w:rFonts w:ascii="Arial" w:eastAsia="Calibri" w:hAnsi="Arial" w:cs="Arial"/>
          <w:sz w:val="20"/>
          <w:szCs w:val="20"/>
          <w:lang w:val="en-GB" w:eastAsia="da-DK"/>
        </w:rPr>
        <w:t xml:space="preserve">Ericsson partnered with Russian telecommunications company MTS to deploy 5G-ready Massive Multiple-Input Multiple-Output (MIMO) technology on the MTS network in </w:t>
      </w:r>
      <w:r>
        <w:rPr>
          <w:rFonts w:ascii="Arial" w:eastAsia="Calibri" w:hAnsi="Arial" w:cs="Arial"/>
          <w:sz w:val="20"/>
          <w:szCs w:val="20"/>
          <w:lang w:val="en-GB" w:eastAsia="da-DK"/>
        </w:rPr>
        <w:t>7</w:t>
      </w:r>
      <w:r w:rsidRPr="003748C7">
        <w:rPr>
          <w:rFonts w:ascii="Arial" w:eastAsia="Calibri" w:hAnsi="Arial" w:cs="Arial"/>
          <w:sz w:val="20"/>
          <w:szCs w:val="20"/>
          <w:lang w:val="en-GB" w:eastAsia="da-DK"/>
        </w:rPr>
        <w:t xml:space="preserve"> of the 11 tournament cities. This included coverage at select stadiums, fan zones, transportation hot spots, and landmarks including Red Square and </w:t>
      </w:r>
      <w:proofErr w:type="spellStart"/>
      <w:r w:rsidRPr="003748C7">
        <w:rPr>
          <w:rFonts w:ascii="Arial" w:eastAsia="Calibri" w:hAnsi="Arial" w:cs="Arial"/>
          <w:sz w:val="20"/>
          <w:szCs w:val="20"/>
          <w:lang w:val="en-GB" w:eastAsia="da-DK"/>
        </w:rPr>
        <w:t>Tverskaya</w:t>
      </w:r>
      <w:proofErr w:type="spellEnd"/>
      <w:r w:rsidRPr="003748C7">
        <w:rPr>
          <w:rFonts w:ascii="Arial" w:eastAsia="Calibri" w:hAnsi="Arial" w:cs="Arial"/>
          <w:sz w:val="20"/>
          <w:szCs w:val="20"/>
          <w:lang w:val="en-GB" w:eastAsia="da-DK"/>
        </w:rPr>
        <w:t xml:space="preserve"> Street in Moscow</w:t>
      </w:r>
      <w:r>
        <w:rPr>
          <w:rFonts w:ascii="Arial" w:eastAsia="Calibri" w:hAnsi="Arial" w:cs="Arial"/>
          <w:sz w:val="20"/>
          <w:szCs w:val="20"/>
          <w:lang w:val="en-GB" w:eastAsia="da-DK"/>
        </w:rPr>
        <w:t>.</w:t>
      </w:r>
    </w:p>
    <w:p w:rsidR="003748C7" w:rsidRPr="003748C7" w:rsidRDefault="003748C7"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The</w:t>
      </w:r>
      <w:r w:rsidRPr="003748C7">
        <w:rPr>
          <w:rFonts w:ascii="Arial" w:eastAsia="Calibri" w:hAnsi="Arial" w:cs="Arial"/>
          <w:sz w:val="20"/>
          <w:szCs w:val="20"/>
          <w:lang w:val="en-GB" w:eastAsia="da-DK"/>
        </w:rPr>
        <w:t xml:space="preserve"> trial allow</w:t>
      </w:r>
      <w:r>
        <w:rPr>
          <w:rFonts w:ascii="Arial" w:eastAsia="Calibri" w:hAnsi="Arial" w:cs="Arial"/>
          <w:sz w:val="20"/>
          <w:szCs w:val="20"/>
          <w:lang w:val="en-GB" w:eastAsia="da-DK"/>
        </w:rPr>
        <w:t xml:space="preserve">ed </w:t>
      </w:r>
      <w:r w:rsidRPr="003748C7">
        <w:rPr>
          <w:rFonts w:ascii="Arial" w:eastAsia="Calibri" w:hAnsi="Arial" w:cs="Arial"/>
          <w:sz w:val="20"/>
          <w:szCs w:val="20"/>
          <w:lang w:val="en-GB" w:eastAsia="da-DK"/>
        </w:rPr>
        <w:t xml:space="preserve">tens of thousands of </w:t>
      </w:r>
      <w:r>
        <w:rPr>
          <w:rFonts w:ascii="Arial" w:eastAsia="Calibri" w:hAnsi="Arial" w:cs="Arial"/>
          <w:sz w:val="20"/>
          <w:szCs w:val="20"/>
          <w:lang w:val="en-GB" w:eastAsia="da-DK"/>
        </w:rPr>
        <w:t>users</w:t>
      </w:r>
      <w:r w:rsidRPr="003748C7">
        <w:rPr>
          <w:rFonts w:ascii="Arial" w:eastAsia="Calibri" w:hAnsi="Arial" w:cs="Arial"/>
          <w:sz w:val="20"/>
          <w:szCs w:val="20"/>
          <w:lang w:val="en-GB" w:eastAsia="da-DK"/>
        </w:rPr>
        <w:t xml:space="preserve"> in one place to </w:t>
      </w:r>
      <w:r>
        <w:rPr>
          <w:rFonts w:ascii="Arial" w:eastAsia="Calibri" w:hAnsi="Arial" w:cs="Arial"/>
          <w:sz w:val="20"/>
          <w:szCs w:val="20"/>
          <w:lang w:val="en-GB" w:eastAsia="da-DK"/>
        </w:rPr>
        <w:t>experience</w:t>
      </w:r>
      <w:r w:rsidRPr="003748C7">
        <w:rPr>
          <w:rFonts w:ascii="Arial" w:eastAsia="Calibri" w:hAnsi="Arial" w:cs="Arial"/>
          <w:sz w:val="20"/>
          <w:szCs w:val="20"/>
          <w:lang w:val="en-GB" w:eastAsia="da-DK"/>
        </w:rPr>
        <w:t xml:space="preserve"> high-speed </w:t>
      </w:r>
      <w:r>
        <w:rPr>
          <w:rFonts w:ascii="Arial" w:eastAsia="Calibri" w:hAnsi="Arial" w:cs="Arial"/>
          <w:sz w:val="20"/>
          <w:szCs w:val="20"/>
          <w:lang w:val="en-GB" w:eastAsia="da-DK"/>
        </w:rPr>
        <w:t>connectivity.</w:t>
      </w:r>
    </w:p>
    <w:p w:rsidR="006B220F" w:rsidRDefault="00764283"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During the Asian Games held in Indonesia in August 2018, Korea Telecom (KT) in cooperation with local ope</w:t>
      </w:r>
      <w:r w:rsidR="006B220F">
        <w:rPr>
          <w:rFonts w:ascii="Arial" w:eastAsia="Calibri" w:hAnsi="Arial" w:cs="Arial"/>
          <w:sz w:val="20"/>
          <w:szCs w:val="20"/>
          <w:lang w:val="en-GB" w:eastAsia="da-DK"/>
        </w:rPr>
        <w:t>ra</w:t>
      </w:r>
      <w:r>
        <w:rPr>
          <w:rFonts w:ascii="Arial" w:eastAsia="Calibri" w:hAnsi="Arial" w:cs="Arial"/>
          <w:sz w:val="20"/>
          <w:szCs w:val="20"/>
          <w:lang w:val="en-GB" w:eastAsia="da-DK"/>
        </w:rPr>
        <w:t xml:space="preserve">tor </w:t>
      </w:r>
      <w:r w:rsidR="006B220F">
        <w:rPr>
          <w:rFonts w:ascii="Arial" w:eastAsia="Calibri" w:hAnsi="Arial" w:cs="Arial"/>
          <w:sz w:val="20"/>
          <w:szCs w:val="20"/>
          <w:lang w:val="en-GB" w:eastAsia="da-DK"/>
        </w:rPr>
        <w:t>provided a showcase of 5G technology</w:t>
      </w:r>
      <w:r w:rsidR="003748C7">
        <w:rPr>
          <w:rFonts w:ascii="Arial" w:eastAsia="Calibri" w:hAnsi="Arial" w:cs="Arial"/>
          <w:sz w:val="20"/>
          <w:szCs w:val="20"/>
          <w:lang w:val="en-GB" w:eastAsia="da-DK"/>
        </w:rPr>
        <w:t xml:space="preserve"> in the 28 GHz band</w:t>
      </w:r>
      <w:r w:rsidR="006B220F">
        <w:rPr>
          <w:rFonts w:ascii="Arial" w:eastAsia="Calibri" w:hAnsi="Arial" w:cs="Arial"/>
          <w:sz w:val="20"/>
          <w:szCs w:val="20"/>
          <w:lang w:val="en-GB" w:eastAsia="da-DK"/>
        </w:rPr>
        <w:t>.</w:t>
      </w:r>
    </w:p>
    <w:p w:rsidR="006B220F" w:rsidRDefault="006B220F"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This follows KT’s similar successful showcase at the Winter Olympics in February. KT is aiming to provide to the world’s first nationwide 5G network in South Korea by March 2019.</w:t>
      </w:r>
    </w:p>
    <w:p w:rsidR="006B220F" w:rsidRDefault="003748C7"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A</w:t>
      </w:r>
      <w:r w:rsidR="006B220F" w:rsidRPr="006B220F">
        <w:rPr>
          <w:rFonts w:ascii="Arial" w:eastAsia="Calibri" w:hAnsi="Arial" w:cs="Arial"/>
          <w:sz w:val="20"/>
          <w:szCs w:val="20"/>
          <w:lang w:val="en-GB" w:eastAsia="da-DK"/>
        </w:rPr>
        <w:t xml:space="preserve"> 5G Zone</w:t>
      </w:r>
      <w:r>
        <w:rPr>
          <w:rFonts w:ascii="Arial" w:eastAsia="Calibri" w:hAnsi="Arial" w:cs="Arial"/>
          <w:sz w:val="20"/>
          <w:szCs w:val="20"/>
          <w:lang w:val="en-GB" w:eastAsia="da-DK"/>
        </w:rPr>
        <w:t xml:space="preserve"> was set up at the stadium</w:t>
      </w:r>
      <w:r w:rsidR="006B220F" w:rsidRPr="006B220F">
        <w:rPr>
          <w:rFonts w:ascii="Arial" w:eastAsia="Calibri" w:hAnsi="Arial" w:cs="Arial"/>
          <w:sz w:val="20"/>
          <w:szCs w:val="20"/>
          <w:lang w:val="en-GB" w:eastAsia="da-DK"/>
        </w:rPr>
        <w:t xml:space="preserve"> in Jakarta</w:t>
      </w:r>
      <w:r>
        <w:rPr>
          <w:rFonts w:ascii="Arial" w:eastAsia="Calibri" w:hAnsi="Arial" w:cs="Arial"/>
          <w:sz w:val="20"/>
          <w:szCs w:val="20"/>
          <w:lang w:val="en-GB" w:eastAsia="da-DK"/>
        </w:rPr>
        <w:t xml:space="preserve"> to</w:t>
      </w:r>
      <w:r w:rsidR="006B220F" w:rsidRPr="006B220F">
        <w:rPr>
          <w:rFonts w:ascii="Arial" w:eastAsia="Calibri" w:hAnsi="Arial" w:cs="Arial"/>
          <w:sz w:val="20"/>
          <w:szCs w:val="20"/>
          <w:lang w:val="en-GB" w:eastAsia="da-DK"/>
        </w:rPr>
        <w:t xml:space="preserve"> </w:t>
      </w:r>
      <w:r>
        <w:rPr>
          <w:rFonts w:ascii="Arial" w:eastAsia="Calibri" w:hAnsi="Arial" w:cs="Arial"/>
          <w:sz w:val="20"/>
          <w:szCs w:val="20"/>
          <w:lang w:val="en-GB" w:eastAsia="da-DK"/>
        </w:rPr>
        <w:t>provide</w:t>
      </w:r>
      <w:r w:rsidR="006B220F" w:rsidRPr="006B220F">
        <w:rPr>
          <w:rFonts w:ascii="Arial" w:eastAsia="Calibri" w:hAnsi="Arial" w:cs="Arial"/>
          <w:sz w:val="20"/>
          <w:szCs w:val="20"/>
          <w:lang w:val="en-GB" w:eastAsia="da-DK"/>
        </w:rPr>
        <w:t xml:space="preserve"> interact</w:t>
      </w:r>
      <w:r>
        <w:rPr>
          <w:rFonts w:ascii="Arial" w:eastAsia="Calibri" w:hAnsi="Arial" w:cs="Arial"/>
          <w:sz w:val="20"/>
          <w:szCs w:val="20"/>
          <w:lang w:val="en-GB" w:eastAsia="da-DK"/>
        </w:rPr>
        <w:t>ive experiences to sports fans, allowing</w:t>
      </w:r>
      <w:r w:rsidR="006B220F" w:rsidRPr="006B220F">
        <w:rPr>
          <w:rFonts w:ascii="Arial" w:eastAsia="Calibri" w:hAnsi="Arial" w:cs="Arial"/>
          <w:sz w:val="20"/>
          <w:szCs w:val="20"/>
          <w:lang w:val="en-GB" w:eastAsia="da-DK"/>
        </w:rPr>
        <w:t xml:space="preserve"> users to select from real-time shots and view them from different angles in stereoscopic vision. </w:t>
      </w:r>
      <w:r>
        <w:rPr>
          <w:rFonts w:ascii="Arial" w:eastAsia="Calibri" w:hAnsi="Arial" w:cs="Arial"/>
          <w:sz w:val="20"/>
          <w:szCs w:val="20"/>
          <w:lang w:val="en-GB" w:eastAsia="da-DK"/>
        </w:rPr>
        <w:t>Events covered included badminton, basketball and golf.</w:t>
      </w:r>
    </w:p>
    <w:p w:rsidR="00BF1C90" w:rsidRDefault="00BF1C90"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Other notable 5G developments in different countries are listed below.</w:t>
      </w:r>
    </w:p>
    <w:p w:rsidR="00927DA1" w:rsidRPr="00927DA1" w:rsidRDefault="00927DA1" w:rsidP="00481D8C">
      <w:pPr>
        <w:spacing w:before="240" w:after="60" w:line="240" w:lineRule="auto"/>
        <w:jc w:val="both"/>
        <w:outlineLvl w:val="0"/>
        <w:rPr>
          <w:rFonts w:ascii="Arial" w:eastAsia="Calibri" w:hAnsi="Arial" w:cs="Arial"/>
          <w:sz w:val="20"/>
          <w:szCs w:val="20"/>
          <w:lang w:val="en-GB" w:eastAsia="da-DK"/>
        </w:rPr>
      </w:pPr>
      <w:r w:rsidRPr="008D69C0">
        <w:rPr>
          <w:rFonts w:ascii="Arial" w:eastAsia="Calibri" w:hAnsi="Arial" w:cs="Arial"/>
          <w:b/>
          <w:sz w:val="20"/>
          <w:szCs w:val="20"/>
          <w:lang w:val="en-GB" w:eastAsia="da-DK"/>
        </w:rPr>
        <w:t>Qatar</w:t>
      </w:r>
      <w:r>
        <w:rPr>
          <w:rFonts w:ascii="Arial" w:eastAsia="Calibri" w:hAnsi="Arial" w:cs="Arial"/>
          <w:sz w:val="20"/>
          <w:szCs w:val="20"/>
          <w:lang w:val="en-GB" w:eastAsia="da-DK"/>
        </w:rPr>
        <w:t xml:space="preserve">: </w:t>
      </w:r>
      <w:proofErr w:type="spellStart"/>
      <w:r w:rsidRPr="00927DA1">
        <w:rPr>
          <w:rFonts w:ascii="Arial" w:eastAsia="Calibri" w:hAnsi="Arial" w:cs="Arial"/>
          <w:sz w:val="20"/>
          <w:szCs w:val="20"/>
          <w:lang w:val="en-GB" w:eastAsia="da-DK"/>
        </w:rPr>
        <w:t>Ooredoo</w:t>
      </w:r>
      <w:proofErr w:type="spellEnd"/>
      <w:r w:rsidRPr="00927DA1">
        <w:rPr>
          <w:rFonts w:ascii="Arial" w:eastAsia="Calibri" w:hAnsi="Arial" w:cs="Arial"/>
          <w:sz w:val="20"/>
          <w:szCs w:val="20"/>
          <w:lang w:val="en-GB" w:eastAsia="da-DK"/>
        </w:rPr>
        <w:t xml:space="preserve"> claimed in May 2018 to be the first world player to launch 5G nationally with 50 sites providing 5G </w:t>
      </w:r>
      <w:proofErr w:type="spellStart"/>
      <w:r w:rsidRPr="00927DA1">
        <w:rPr>
          <w:rFonts w:ascii="Arial" w:eastAsia="Calibri" w:hAnsi="Arial" w:cs="Arial"/>
          <w:sz w:val="20"/>
          <w:szCs w:val="20"/>
          <w:lang w:val="en-GB" w:eastAsia="da-DK"/>
        </w:rPr>
        <w:t>wTTH</w:t>
      </w:r>
      <w:proofErr w:type="spellEnd"/>
      <w:r w:rsidRPr="00927DA1">
        <w:rPr>
          <w:rFonts w:ascii="Arial" w:eastAsia="Calibri" w:hAnsi="Arial" w:cs="Arial"/>
          <w:sz w:val="20"/>
          <w:szCs w:val="20"/>
          <w:lang w:val="en-GB" w:eastAsia="da-DK"/>
        </w:rPr>
        <w:t xml:space="preserve">(wireless To The Home) services on 3.5 GHz spectrum with very few compatible devices available. </w:t>
      </w:r>
      <w:proofErr w:type="spellStart"/>
      <w:r w:rsidRPr="00927DA1">
        <w:rPr>
          <w:rFonts w:ascii="Arial" w:eastAsia="Calibri" w:hAnsi="Arial" w:cs="Arial"/>
          <w:sz w:val="20"/>
          <w:szCs w:val="20"/>
          <w:lang w:val="en-GB" w:eastAsia="da-DK"/>
        </w:rPr>
        <w:t>Ooredoo</w:t>
      </w:r>
      <w:proofErr w:type="spellEnd"/>
      <w:r w:rsidRPr="00927DA1">
        <w:rPr>
          <w:rFonts w:ascii="Arial" w:eastAsia="Calibri" w:hAnsi="Arial" w:cs="Arial"/>
          <w:sz w:val="20"/>
          <w:szCs w:val="20"/>
          <w:lang w:val="en-GB" w:eastAsia="da-DK"/>
        </w:rPr>
        <w:t xml:space="preserve"> is waiting for manufacturers to produce 5G capable devices (June 2019).</w:t>
      </w:r>
    </w:p>
    <w:p w:rsidR="00927DA1" w:rsidRDefault="00927DA1" w:rsidP="00481D8C">
      <w:pPr>
        <w:spacing w:before="240" w:after="60" w:line="240" w:lineRule="auto"/>
        <w:jc w:val="both"/>
        <w:outlineLvl w:val="0"/>
        <w:rPr>
          <w:rFonts w:ascii="Arial" w:eastAsia="Calibri" w:hAnsi="Arial" w:cs="Arial"/>
          <w:sz w:val="20"/>
          <w:szCs w:val="20"/>
          <w:lang w:val="en-GB" w:eastAsia="da-DK"/>
        </w:rPr>
      </w:pPr>
      <w:r w:rsidRPr="00927DA1">
        <w:rPr>
          <w:rFonts w:ascii="Arial" w:eastAsia="Calibri" w:hAnsi="Arial" w:cs="Arial"/>
          <w:b/>
          <w:sz w:val="20"/>
          <w:szCs w:val="20"/>
          <w:lang w:val="en-GB" w:eastAsia="da-DK"/>
        </w:rPr>
        <w:t>USA: Verizon</w:t>
      </w:r>
      <w:r w:rsidRPr="00927DA1">
        <w:rPr>
          <w:rFonts w:ascii="Arial" w:eastAsia="Calibri" w:hAnsi="Arial" w:cs="Arial"/>
          <w:sz w:val="20"/>
          <w:szCs w:val="20"/>
          <w:lang w:val="en-GB" w:eastAsia="da-DK"/>
        </w:rPr>
        <w:t xml:space="preserve"> started marketing </w:t>
      </w:r>
      <w:r w:rsidR="00BF1C90">
        <w:rPr>
          <w:rFonts w:ascii="Arial" w:eastAsia="Calibri" w:hAnsi="Arial" w:cs="Arial"/>
          <w:sz w:val="20"/>
          <w:szCs w:val="20"/>
          <w:lang w:val="en-GB" w:eastAsia="da-DK"/>
        </w:rPr>
        <w:t xml:space="preserve">its </w:t>
      </w:r>
      <w:r w:rsidRPr="00927DA1">
        <w:rPr>
          <w:rFonts w:ascii="Arial" w:eastAsia="Calibri" w:hAnsi="Arial" w:cs="Arial"/>
          <w:sz w:val="20"/>
          <w:szCs w:val="20"/>
          <w:lang w:val="en-GB" w:eastAsia="da-DK"/>
        </w:rPr>
        <w:t xml:space="preserve">5G Home service on 13 September 2018 with online orders. The service went live on 1 October 2018 in Houston, Indianapolis, Los Angeles and Sacramento. Conditions are 50 USD/month for Verizon customers and at 70 USD/month for new customers. </w:t>
      </w:r>
      <w:r w:rsidR="00BF1C90">
        <w:rPr>
          <w:rFonts w:ascii="Arial" w:eastAsia="Calibri" w:hAnsi="Arial" w:cs="Arial"/>
          <w:sz w:val="20"/>
          <w:szCs w:val="20"/>
          <w:lang w:val="en-GB" w:eastAsia="da-DK"/>
        </w:rPr>
        <w:t>The f</w:t>
      </w:r>
      <w:r w:rsidRPr="00927DA1">
        <w:rPr>
          <w:rFonts w:ascii="Arial" w:eastAsia="Calibri" w:hAnsi="Arial" w:cs="Arial"/>
          <w:sz w:val="20"/>
          <w:szCs w:val="20"/>
          <w:lang w:val="en-GB" w:eastAsia="da-DK"/>
        </w:rPr>
        <w:t>irst 5G home subscribers will have three months free</w:t>
      </w:r>
      <w:r w:rsidR="00BF1C90">
        <w:rPr>
          <w:rFonts w:ascii="Arial" w:eastAsia="Calibri" w:hAnsi="Arial" w:cs="Arial"/>
          <w:sz w:val="20"/>
          <w:szCs w:val="20"/>
          <w:lang w:val="en-GB" w:eastAsia="da-DK"/>
        </w:rPr>
        <w:t>,</w:t>
      </w:r>
      <w:r w:rsidR="00BF1C90" w:rsidRPr="00927DA1">
        <w:rPr>
          <w:rFonts w:ascii="Arial" w:eastAsia="Calibri" w:hAnsi="Arial" w:cs="Arial"/>
          <w:sz w:val="20"/>
          <w:szCs w:val="20"/>
          <w:lang w:val="en-GB" w:eastAsia="da-DK"/>
        </w:rPr>
        <w:t xml:space="preserve"> </w:t>
      </w:r>
      <w:r w:rsidRPr="00927DA1">
        <w:rPr>
          <w:rFonts w:ascii="Arial" w:eastAsia="Calibri" w:hAnsi="Arial" w:cs="Arial"/>
          <w:sz w:val="20"/>
          <w:szCs w:val="20"/>
          <w:lang w:val="en-GB" w:eastAsia="da-DK"/>
        </w:rPr>
        <w:t xml:space="preserve">YouTube TV for free for the first three months, a free Apple 4K HDR TV or a Google Chromecast Ultra. </w:t>
      </w:r>
      <w:r w:rsidR="00BF1C90">
        <w:rPr>
          <w:rFonts w:ascii="Arial" w:eastAsia="Calibri" w:hAnsi="Arial" w:cs="Arial"/>
          <w:sz w:val="20"/>
          <w:szCs w:val="20"/>
          <w:lang w:val="en-GB" w:eastAsia="da-DK"/>
        </w:rPr>
        <w:t xml:space="preserve">Quoted speeds are </w:t>
      </w:r>
      <w:r w:rsidRPr="00927DA1">
        <w:rPr>
          <w:rFonts w:ascii="Arial" w:eastAsia="Calibri" w:hAnsi="Arial" w:cs="Arial"/>
          <w:sz w:val="20"/>
          <w:szCs w:val="20"/>
          <w:lang w:val="en-GB" w:eastAsia="da-DK"/>
        </w:rPr>
        <w:t xml:space="preserve">300 Mbps </w:t>
      </w:r>
      <w:r w:rsidR="00BF1C90">
        <w:rPr>
          <w:rFonts w:ascii="Arial" w:eastAsia="Calibri" w:hAnsi="Arial" w:cs="Arial"/>
          <w:sz w:val="20"/>
          <w:szCs w:val="20"/>
          <w:lang w:val="en-GB" w:eastAsia="da-DK"/>
        </w:rPr>
        <w:t xml:space="preserve">to 1 Gbps </w:t>
      </w:r>
      <w:r w:rsidRPr="00927DA1">
        <w:rPr>
          <w:rFonts w:ascii="Arial" w:eastAsia="Calibri" w:hAnsi="Arial" w:cs="Arial"/>
          <w:sz w:val="20"/>
          <w:szCs w:val="20"/>
          <w:lang w:val="en-GB" w:eastAsia="da-DK"/>
        </w:rPr>
        <w:t>depending on location without any data caps.</w:t>
      </w:r>
    </w:p>
    <w:p w:rsidR="0055415B" w:rsidRDefault="0055415B" w:rsidP="00481D8C">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Other US operators are expected to follow soon. </w:t>
      </w:r>
      <w:r w:rsidRPr="0055415B">
        <w:rPr>
          <w:rFonts w:ascii="Arial" w:eastAsia="Calibri" w:hAnsi="Arial" w:cs="Arial"/>
          <w:sz w:val="20"/>
          <w:szCs w:val="20"/>
          <w:lang w:val="en-GB" w:eastAsia="da-DK"/>
        </w:rPr>
        <w:t>Since early 2017, AT&amp;T has been performing fixed wireless &amp; mobile 5G trials. AT&amp;T plans to launch 5G services to 15 cities or population cent</w:t>
      </w:r>
      <w:r>
        <w:rPr>
          <w:rFonts w:ascii="Arial" w:eastAsia="Calibri" w:hAnsi="Arial" w:cs="Arial"/>
          <w:sz w:val="20"/>
          <w:szCs w:val="20"/>
          <w:lang w:val="en-GB" w:eastAsia="da-DK"/>
        </w:rPr>
        <w:t>res</w:t>
      </w:r>
      <w:r w:rsidRPr="0055415B">
        <w:rPr>
          <w:rFonts w:ascii="Arial" w:eastAsia="Calibri" w:hAnsi="Arial" w:cs="Arial"/>
          <w:sz w:val="20"/>
          <w:szCs w:val="20"/>
          <w:lang w:val="en-GB" w:eastAsia="da-DK"/>
        </w:rPr>
        <w:t xml:space="preserve"> by the end of 2018, including Dallas TX, Atlanta GA, Waco, TX, and Charlotte, NC, Raleigh, NC and Oklahoma City. AT&amp;T remains reserved about 5G FWA. </w:t>
      </w:r>
      <w:r>
        <w:rPr>
          <w:rFonts w:ascii="Arial" w:eastAsia="Calibri" w:hAnsi="Arial" w:cs="Arial"/>
          <w:sz w:val="20"/>
          <w:szCs w:val="20"/>
          <w:lang w:val="en-GB" w:eastAsia="da-DK"/>
        </w:rPr>
        <w:t>A</w:t>
      </w:r>
      <w:r w:rsidRPr="0055415B">
        <w:rPr>
          <w:rFonts w:ascii="Arial" w:eastAsia="Calibri" w:hAnsi="Arial" w:cs="Arial"/>
          <w:sz w:val="20"/>
          <w:szCs w:val="20"/>
          <w:lang w:val="en-GB" w:eastAsia="da-DK"/>
        </w:rPr>
        <w:t>&amp;T is expected to launch 5G with a mobile “puck” as first device.</w:t>
      </w:r>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After launch of the AT&amp;T 5G service in early 2019, the roll-out will be extended to additional cities including Las Vegas, NV, Los Angeles, Nashville, TN, Orlando FL, San Diego, CA and San Jose, CA.</w:t>
      </w:r>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Sprint targets the first half 2019 for the launch of its 5G service to several cities including New York City, Phoenix, Kansas City, Atlanta, Chicago, Houston, Dallas, Los Angeles, and Washington DC</w:t>
      </w:r>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T-Mobile USA recently signed two $2.5bn contracts with Ericsson and Nokia for the provision of 5G infrastructures.</w:t>
      </w:r>
    </w:p>
    <w:p w:rsidR="0055415B" w:rsidRDefault="0055415B" w:rsidP="00481D8C">
      <w:pPr>
        <w:spacing w:before="240" w:after="60" w:line="240" w:lineRule="auto"/>
        <w:jc w:val="both"/>
        <w:outlineLvl w:val="0"/>
        <w:rPr>
          <w:rFonts w:ascii="Arial" w:eastAsia="Calibri" w:hAnsi="Arial" w:cs="Arial"/>
          <w:sz w:val="20"/>
          <w:szCs w:val="20"/>
          <w:lang w:val="en-GB" w:eastAsia="da-DK"/>
        </w:rPr>
      </w:pPr>
      <w:r w:rsidRPr="0055415B">
        <w:rPr>
          <w:rFonts w:ascii="Arial" w:eastAsia="Calibri" w:hAnsi="Arial" w:cs="Arial"/>
          <w:b/>
          <w:sz w:val="20"/>
          <w:szCs w:val="20"/>
          <w:lang w:val="en-GB" w:eastAsia="da-DK"/>
        </w:rPr>
        <w:lastRenderedPageBreak/>
        <w:t xml:space="preserve">The three South Korean MNOs </w:t>
      </w:r>
      <w:r w:rsidRPr="0055415B">
        <w:rPr>
          <w:rFonts w:ascii="Arial" w:eastAsia="Calibri" w:hAnsi="Arial" w:cs="Arial"/>
          <w:sz w:val="20"/>
          <w:szCs w:val="20"/>
          <w:lang w:val="en-GB" w:eastAsia="da-DK"/>
        </w:rPr>
        <w:t>agreed on a jointly 5G launch in March 2019. The MNOs agreed to share 5G deployment and network earlier in April 2018. The intention aims at avoiding a very costly launch campaign when 4G came to reality back in 2011 and generating heavy cost savings of nearly 1 trillion KRW over the next ten years. This announcement also follows 5G spectrum auctions of 3.5 and 28 GHz spectrum in June 2018</w:t>
      </w:r>
      <w:r>
        <w:rPr>
          <w:rFonts w:ascii="Arial" w:eastAsia="Calibri" w:hAnsi="Arial" w:cs="Arial"/>
          <w:sz w:val="20"/>
          <w:szCs w:val="20"/>
          <w:lang w:val="en-GB" w:eastAsia="da-DK"/>
        </w:rPr>
        <w:t>.</w:t>
      </w:r>
    </w:p>
    <w:p w:rsidR="0055415B" w:rsidRDefault="0055415B" w:rsidP="00481D8C">
      <w:pPr>
        <w:spacing w:before="240" w:after="60" w:line="240" w:lineRule="auto"/>
        <w:jc w:val="both"/>
        <w:outlineLvl w:val="0"/>
        <w:rPr>
          <w:rFonts w:ascii="Arial" w:eastAsia="Calibri" w:hAnsi="Arial" w:cs="Arial"/>
          <w:sz w:val="20"/>
          <w:szCs w:val="20"/>
          <w:lang w:val="en-GB" w:eastAsia="da-DK"/>
        </w:rPr>
      </w:pPr>
      <w:r w:rsidRPr="0055415B">
        <w:rPr>
          <w:rFonts w:ascii="Arial" w:eastAsia="Calibri" w:hAnsi="Arial" w:cs="Arial"/>
          <w:b/>
          <w:sz w:val="20"/>
          <w:szCs w:val="20"/>
          <w:lang w:val="en-GB" w:eastAsia="da-DK"/>
        </w:rPr>
        <w:t>Japan:</w:t>
      </w:r>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 xml:space="preserve">NTT DoCoMo </w:t>
      </w:r>
      <w:r w:rsidR="00BF1C90">
        <w:rPr>
          <w:rFonts w:ascii="Arial" w:eastAsia="Calibri" w:hAnsi="Arial" w:cs="Arial"/>
          <w:sz w:val="20"/>
          <w:szCs w:val="20"/>
          <w:lang w:val="en-GB" w:eastAsia="da-DK"/>
        </w:rPr>
        <w:t xml:space="preserve">has </w:t>
      </w:r>
      <w:r w:rsidRPr="0055415B">
        <w:rPr>
          <w:rFonts w:ascii="Arial" w:eastAsia="Calibri" w:hAnsi="Arial" w:cs="Arial"/>
          <w:sz w:val="20"/>
          <w:szCs w:val="20"/>
          <w:lang w:val="en-GB" w:eastAsia="da-DK"/>
        </w:rPr>
        <w:t>carried out a number of 5G trials with the Chinese vendor Huawei. More recently, in May 2018, NTT DOCOMO achieved a 5G field trial at 28GHz, involving a 5G base station and a car travelling at around 293km/h.</w:t>
      </w:r>
      <w:r>
        <w:rPr>
          <w:rFonts w:ascii="Arial" w:eastAsia="Calibri" w:hAnsi="Arial" w:cs="Arial"/>
          <w:sz w:val="20"/>
          <w:szCs w:val="20"/>
          <w:lang w:val="en-GB" w:eastAsia="da-DK"/>
        </w:rPr>
        <w:t xml:space="preserve"> </w:t>
      </w:r>
      <w:proofErr w:type="spellStart"/>
      <w:r>
        <w:rPr>
          <w:rFonts w:ascii="Arial" w:eastAsia="Calibri" w:hAnsi="Arial" w:cs="Arial"/>
          <w:sz w:val="20"/>
          <w:szCs w:val="20"/>
          <w:lang w:val="en-GB" w:eastAsia="da-DK"/>
        </w:rPr>
        <w:t>Sof</w:t>
      </w:r>
      <w:r w:rsidRPr="0055415B">
        <w:rPr>
          <w:rFonts w:ascii="Arial" w:eastAsia="Calibri" w:hAnsi="Arial" w:cs="Arial"/>
          <w:sz w:val="20"/>
          <w:szCs w:val="20"/>
          <w:lang w:val="en-GB" w:eastAsia="da-DK"/>
        </w:rPr>
        <w:t>tBank</w:t>
      </w:r>
      <w:proofErr w:type="spellEnd"/>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has been performing a lot of 5G trials with Huawei or Ericsson since 2017, notably using 4.5</w:t>
      </w:r>
      <w:r w:rsidR="00BF1C90">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GHz frequencies.</w:t>
      </w:r>
    </w:p>
    <w:p w:rsidR="0055415B" w:rsidRPr="0055415B" w:rsidRDefault="0055415B" w:rsidP="00481D8C">
      <w:pPr>
        <w:spacing w:before="240" w:after="60" w:line="240" w:lineRule="auto"/>
        <w:jc w:val="both"/>
        <w:outlineLvl w:val="0"/>
        <w:rPr>
          <w:rFonts w:ascii="Arial" w:eastAsia="Calibri" w:hAnsi="Arial" w:cs="Arial"/>
          <w:sz w:val="20"/>
          <w:szCs w:val="20"/>
          <w:lang w:val="en-GB" w:eastAsia="da-DK"/>
        </w:rPr>
      </w:pPr>
      <w:r w:rsidRPr="00012298">
        <w:rPr>
          <w:rFonts w:ascii="Arial" w:eastAsia="Calibri" w:hAnsi="Arial" w:cs="Arial"/>
          <w:b/>
          <w:sz w:val="20"/>
          <w:szCs w:val="20"/>
          <w:lang w:val="en-GB" w:eastAsia="da-DK"/>
        </w:rPr>
        <w:t>China</w:t>
      </w:r>
      <w:r>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 xml:space="preserve">5G deployment in China is strongly backed by the government. 5G ranks among the strategic </w:t>
      </w:r>
      <w:r w:rsidR="00C845BF" w:rsidRPr="0055415B">
        <w:rPr>
          <w:rFonts w:ascii="Arial" w:eastAsia="Calibri" w:hAnsi="Arial" w:cs="Arial"/>
          <w:sz w:val="20"/>
          <w:szCs w:val="20"/>
          <w:lang w:val="en-GB" w:eastAsia="da-DK"/>
        </w:rPr>
        <w:t>priorit</w:t>
      </w:r>
      <w:r w:rsidR="00C845BF">
        <w:rPr>
          <w:rFonts w:ascii="Arial" w:eastAsia="Calibri" w:hAnsi="Arial" w:cs="Arial"/>
          <w:sz w:val="20"/>
          <w:szCs w:val="20"/>
          <w:lang w:val="en-GB" w:eastAsia="da-DK"/>
        </w:rPr>
        <w:t>ies</w:t>
      </w:r>
      <w:r w:rsidR="00C845BF" w:rsidRPr="0055415B">
        <w:rPr>
          <w:rFonts w:ascii="Arial" w:eastAsia="Calibri" w:hAnsi="Arial" w:cs="Arial"/>
          <w:sz w:val="20"/>
          <w:szCs w:val="20"/>
          <w:lang w:val="en-GB" w:eastAsia="da-DK"/>
        </w:rPr>
        <w:t xml:space="preserve"> </w:t>
      </w:r>
      <w:r w:rsidRPr="0055415B">
        <w:rPr>
          <w:rFonts w:ascii="Arial" w:eastAsia="Calibri" w:hAnsi="Arial" w:cs="Arial"/>
          <w:sz w:val="20"/>
          <w:szCs w:val="20"/>
          <w:lang w:val="en-GB" w:eastAsia="da-DK"/>
        </w:rPr>
        <w:t xml:space="preserve">for the whole country (13th 5-year plan 2015-2020 and Made </w:t>
      </w:r>
      <w:proofErr w:type="gramStart"/>
      <w:r w:rsidRPr="0055415B">
        <w:rPr>
          <w:rFonts w:ascii="Arial" w:eastAsia="Calibri" w:hAnsi="Arial" w:cs="Arial"/>
          <w:sz w:val="20"/>
          <w:szCs w:val="20"/>
          <w:lang w:val="en-GB" w:eastAsia="da-DK"/>
        </w:rPr>
        <w:t>In</w:t>
      </w:r>
      <w:proofErr w:type="gramEnd"/>
      <w:r w:rsidRPr="0055415B">
        <w:rPr>
          <w:rFonts w:ascii="Arial" w:eastAsia="Calibri" w:hAnsi="Arial" w:cs="Arial"/>
          <w:sz w:val="20"/>
          <w:szCs w:val="20"/>
          <w:lang w:val="en-GB" w:eastAsia="da-DK"/>
        </w:rPr>
        <w:t xml:space="preserve"> China 2025 Initiative launched in 2013). </w:t>
      </w:r>
      <w:r w:rsidRPr="00012298">
        <w:rPr>
          <w:rFonts w:ascii="Arial" w:eastAsia="Calibri" w:hAnsi="Arial" w:cs="Arial"/>
          <w:b/>
          <w:sz w:val="20"/>
          <w:szCs w:val="20"/>
          <w:lang w:val="en-GB" w:eastAsia="da-DK"/>
        </w:rPr>
        <w:t>In January 2017, the MIIT published a report on “Development Planning for Information and Communication Industry (2016-2020) in which it sets the objective of becoming one of the Global leaders of 5G</w:t>
      </w:r>
      <w:r w:rsidRPr="0055415B">
        <w:rPr>
          <w:rFonts w:ascii="Arial" w:eastAsia="Calibri" w:hAnsi="Arial" w:cs="Arial"/>
          <w:sz w:val="20"/>
          <w:szCs w:val="20"/>
          <w:lang w:val="en-GB" w:eastAsia="da-DK"/>
        </w:rPr>
        <w:t xml:space="preserve">. The Made </w:t>
      </w:r>
      <w:proofErr w:type="gramStart"/>
      <w:r w:rsidRPr="0055415B">
        <w:rPr>
          <w:rFonts w:ascii="Arial" w:eastAsia="Calibri" w:hAnsi="Arial" w:cs="Arial"/>
          <w:sz w:val="20"/>
          <w:szCs w:val="20"/>
          <w:lang w:val="en-GB" w:eastAsia="da-DK"/>
        </w:rPr>
        <w:t>In</w:t>
      </w:r>
      <w:proofErr w:type="gramEnd"/>
      <w:r w:rsidRPr="0055415B">
        <w:rPr>
          <w:rFonts w:ascii="Arial" w:eastAsia="Calibri" w:hAnsi="Arial" w:cs="Arial"/>
          <w:sz w:val="20"/>
          <w:szCs w:val="20"/>
          <w:lang w:val="en-GB" w:eastAsia="da-DK"/>
        </w:rPr>
        <w:t xml:space="preserve"> China 2025 initiative aims for a commercial 5G launch by 2020. </w:t>
      </w:r>
      <w:r w:rsidR="00C845BF">
        <w:rPr>
          <w:rFonts w:ascii="Arial" w:eastAsia="Calibri" w:hAnsi="Arial" w:cs="Arial"/>
          <w:sz w:val="20"/>
          <w:szCs w:val="20"/>
          <w:lang w:val="en-GB" w:eastAsia="da-DK"/>
        </w:rPr>
        <w:t>The t</w:t>
      </w:r>
      <w:r w:rsidRPr="0055415B">
        <w:rPr>
          <w:rFonts w:ascii="Arial" w:eastAsia="Calibri" w:hAnsi="Arial" w:cs="Arial"/>
          <w:sz w:val="20"/>
          <w:szCs w:val="20"/>
          <w:lang w:val="en-GB" w:eastAsia="da-DK"/>
        </w:rPr>
        <w:t>ime</w:t>
      </w:r>
      <w:r w:rsidR="00C845BF">
        <w:rPr>
          <w:rFonts w:ascii="Arial" w:eastAsia="Calibri" w:hAnsi="Arial" w:cs="Arial"/>
          <w:sz w:val="20"/>
          <w:szCs w:val="20"/>
          <w:lang w:val="en-GB" w:eastAsia="da-DK"/>
        </w:rPr>
        <w:t>scale</w:t>
      </w:r>
      <w:r w:rsidRPr="0055415B">
        <w:rPr>
          <w:rFonts w:ascii="Arial" w:eastAsia="Calibri" w:hAnsi="Arial" w:cs="Arial"/>
          <w:sz w:val="20"/>
          <w:szCs w:val="20"/>
          <w:lang w:val="en-GB" w:eastAsia="da-DK"/>
        </w:rPr>
        <w:t xml:space="preserve"> has accelerated significantly in 2018 and China Mobile brought forward its scheduled 5G launch by one year</w:t>
      </w:r>
      <w:r w:rsidR="00C845BF">
        <w:rPr>
          <w:rFonts w:ascii="Arial" w:eastAsia="Calibri" w:hAnsi="Arial" w:cs="Arial"/>
          <w:sz w:val="20"/>
          <w:szCs w:val="20"/>
          <w:lang w:val="en-GB" w:eastAsia="da-DK"/>
        </w:rPr>
        <w:t>,</w:t>
      </w:r>
      <w:r w:rsidRPr="0055415B">
        <w:rPr>
          <w:rFonts w:ascii="Arial" w:eastAsia="Calibri" w:hAnsi="Arial" w:cs="Arial"/>
          <w:sz w:val="20"/>
          <w:szCs w:val="20"/>
          <w:lang w:val="en-GB" w:eastAsia="da-DK"/>
        </w:rPr>
        <w:t xml:space="preserve"> finally plan</w:t>
      </w:r>
      <w:r w:rsidR="00C845BF">
        <w:rPr>
          <w:rFonts w:ascii="Arial" w:eastAsia="Calibri" w:hAnsi="Arial" w:cs="Arial"/>
          <w:sz w:val="20"/>
          <w:szCs w:val="20"/>
          <w:lang w:val="en-GB" w:eastAsia="da-DK"/>
        </w:rPr>
        <w:t>ning</w:t>
      </w:r>
      <w:r w:rsidRPr="0055415B">
        <w:rPr>
          <w:rFonts w:ascii="Arial" w:eastAsia="Calibri" w:hAnsi="Arial" w:cs="Arial"/>
          <w:sz w:val="20"/>
          <w:szCs w:val="20"/>
          <w:lang w:val="en-GB" w:eastAsia="da-DK"/>
        </w:rPr>
        <w:t xml:space="preserve"> to offer 5G services by year-end 2019 (</w:t>
      </w:r>
      <w:r w:rsidR="00C845BF">
        <w:rPr>
          <w:rFonts w:ascii="Arial" w:eastAsia="Calibri" w:hAnsi="Arial" w:cs="Arial"/>
          <w:sz w:val="20"/>
          <w:szCs w:val="20"/>
          <w:lang w:val="en-GB" w:eastAsia="da-DK"/>
        </w:rPr>
        <w:t xml:space="preserve">with </w:t>
      </w:r>
      <w:r w:rsidRPr="0055415B">
        <w:rPr>
          <w:rFonts w:ascii="Arial" w:eastAsia="Calibri" w:hAnsi="Arial" w:cs="Arial"/>
          <w:sz w:val="20"/>
          <w:szCs w:val="20"/>
          <w:lang w:val="en-GB" w:eastAsia="da-DK"/>
        </w:rPr>
        <w:t xml:space="preserve">pre-commercial launch </w:t>
      </w:r>
      <w:r w:rsidR="00C845BF">
        <w:rPr>
          <w:rFonts w:ascii="Arial" w:eastAsia="Calibri" w:hAnsi="Arial" w:cs="Arial"/>
          <w:sz w:val="20"/>
          <w:szCs w:val="20"/>
          <w:lang w:val="en-GB" w:eastAsia="da-DK"/>
        </w:rPr>
        <w:t>during</w:t>
      </w:r>
      <w:r w:rsidRPr="0055415B">
        <w:rPr>
          <w:rFonts w:ascii="Arial" w:eastAsia="Calibri" w:hAnsi="Arial" w:cs="Arial"/>
          <w:sz w:val="20"/>
          <w:szCs w:val="20"/>
          <w:lang w:val="en-GB" w:eastAsia="da-DK"/>
        </w:rPr>
        <w:t xml:space="preserve"> 2019). China Mobile appears to be the fastest player in China towards 5G. However, competitors do not seem so far from each other in terms of 5G deployment and expected launch: pre-commercial service should be there in 2019 with true commercial service in 2020</w:t>
      </w:r>
    </w:p>
    <w:p w:rsidR="001D0CA2" w:rsidRDefault="001D0CA2" w:rsidP="00B43306">
      <w:pPr>
        <w:keepNext/>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These are </w:t>
      </w:r>
      <w:r w:rsidR="00927DA1">
        <w:rPr>
          <w:rFonts w:ascii="Arial" w:eastAsia="Calibri" w:hAnsi="Arial" w:cs="Arial"/>
          <w:sz w:val="20"/>
          <w:szCs w:val="20"/>
          <w:lang w:val="en-GB" w:eastAsia="da-DK"/>
        </w:rPr>
        <w:t xml:space="preserve">just </w:t>
      </w:r>
      <w:r>
        <w:rPr>
          <w:rFonts w:ascii="Arial" w:eastAsia="Calibri" w:hAnsi="Arial" w:cs="Arial"/>
          <w:sz w:val="20"/>
          <w:szCs w:val="20"/>
          <w:lang w:val="en-GB" w:eastAsia="da-DK"/>
        </w:rPr>
        <w:t xml:space="preserve">examples </w:t>
      </w:r>
      <w:r w:rsidR="00927DA1">
        <w:rPr>
          <w:rFonts w:ascii="Arial" w:eastAsia="Calibri" w:hAnsi="Arial" w:cs="Arial"/>
          <w:sz w:val="20"/>
          <w:szCs w:val="20"/>
          <w:lang w:val="en-GB" w:eastAsia="da-DK"/>
        </w:rPr>
        <w:t xml:space="preserve">from outside of Europe, </w:t>
      </w:r>
      <w:r>
        <w:rPr>
          <w:rFonts w:ascii="Arial" w:eastAsia="Calibri" w:hAnsi="Arial" w:cs="Arial"/>
          <w:sz w:val="20"/>
          <w:szCs w:val="20"/>
          <w:lang w:val="en-GB" w:eastAsia="da-DK"/>
        </w:rPr>
        <w:t xml:space="preserve">while in </w:t>
      </w:r>
      <w:r w:rsidR="00927DA1">
        <w:rPr>
          <w:rFonts w:ascii="Arial" w:eastAsia="Calibri" w:hAnsi="Arial" w:cs="Arial"/>
          <w:sz w:val="20"/>
          <w:szCs w:val="20"/>
          <w:lang w:val="en-GB" w:eastAsia="da-DK"/>
        </w:rPr>
        <w:t xml:space="preserve">Europe, </w:t>
      </w:r>
      <w:r>
        <w:rPr>
          <w:rFonts w:ascii="Arial" w:eastAsia="Calibri" w:hAnsi="Arial" w:cs="Arial"/>
          <w:sz w:val="20"/>
          <w:szCs w:val="20"/>
          <w:lang w:val="en-GB" w:eastAsia="da-DK"/>
        </w:rPr>
        <w:t>m</w:t>
      </w:r>
      <w:r w:rsidRPr="001D0CA2">
        <w:rPr>
          <w:rFonts w:ascii="Arial" w:eastAsia="Calibri" w:hAnsi="Arial" w:cs="Arial"/>
          <w:sz w:val="20"/>
          <w:szCs w:val="20"/>
          <w:lang w:val="en-GB" w:eastAsia="da-DK"/>
        </w:rPr>
        <w:t>ore</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than</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110</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pre-commercial</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5G</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trials</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and</w:t>
      </w:r>
      <w:r>
        <w:rPr>
          <w:rFonts w:ascii="Arial" w:eastAsia="Calibri" w:hAnsi="Arial" w:cs="Arial"/>
          <w:sz w:val="20"/>
          <w:szCs w:val="20"/>
          <w:lang w:val="en-GB" w:eastAsia="da-DK"/>
        </w:rPr>
        <w:t xml:space="preserve"> </w:t>
      </w:r>
      <w:r w:rsidRPr="001D0CA2">
        <w:rPr>
          <w:rFonts w:ascii="Arial" w:eastAsia="Calibri" w:hAnsi="Arial" w:cs="Arial"/>
          <w:sz w:val="20"/>
          <w:szCs w:val="20"/>
          <w:lang w:val="en-GB" w:eastAsia="da-DK"/>
        </w:rPr>
        <w:t>pilots</w:t>
      </w:r>
      <w:r>
        <w:rPr>
          <w:rFonts w:ascii="Arial" w:eastAsia="Calibri" w:hAnsi="Arial" w:cs="Arial"/>
          <w:sz w:val="20"/>
          <w:szCs w:val="20"/>
          <w:lang w:val="en-GB" w:eastAsia="da-DK"/>
        </w:rPr>
        <w:t xml:space="preserve"> have been </w:t>
      </w:r>
      <w:r w:rsidRPr="001D0CA2">
        <w:rPr>
          <w:rFonts w:ascii="Arial" w:eastAsia="Calibri" w:hAnsi="Arial" w:cs="Arial"/>
          <w:sz w:val="20"/>
          <w:szCs w:val="20"/>
          <w:lang w:val="en-GB" w:eastAsia="da-DK"/>
        </w:rPr>
        <w:t>launched</w:t>
      </w:r>
      <w:r w:rsidR="00C845BF">
        <w:rPr>
          <w:rFonts w:ascii="Arial" w:eastAsia="Calibri" w:hAnsi="Arial" w:cs="Arial"/>
          <w:sz w:val="20"/>
          <w:szCs w:val="20"/>
          <w:lang w:val="en-GB" w:eastAsia="da-DK"/>
        </w:rPr>
        <w:t xml:space="preserve"> in a recent count</w:t>
      </w:r>
      <w:r>
        <w:rPr>
          <w:rFonts w:ascii="Arial" w:eastAsia="Calibri" w:hAnsi="Arial" w:cs="Arial"/>
          <w:sz w:val="20"/>
          <w:szCs w:val="20"/>
          <w:lang w:val="en-GB" w:eastAsia="da-DK"/>
        </w:rPr>
        <w:t xml:space="preserve">. See </w:t>
      </w:r>
      <w:hyperlink r:id="rId32" w:history="1">
        <w:r w:rsidRPr="00D13971">
          <w:rPr>
            <w:rStyle w:val="Hyperlink"/>
            <w:rFonts w:ascii="Arial" w:eastAsia="Calibri" w:hAnsi="Arial" w:cs="Arial"/>
            <w:sz w:val="20"/>
            <w:szCs w:val="20"/>
            <w:lang w:val="en-GB" w:eastAsia="da-DK"/>
          </w:rPr>
          <w:t>http://5gobservatory.eu</w:t>
        </w:r>
      </w:hyperlink>
      <w:r>
        <w:rPr>
          <w:rFonts w:ascii="Arial" w:eastAsia="Calibri" w:hAnsi="Arial" w:cs="Arial"/>
          <w:sz w:val="20"/>
          <w:szCs w:val="20"/>
          <w:lang w:val="en-GB" w:eastAsia="da-DK"/>
        </w:rPr>
        <w:t>.</w:t>
      </w:r>
    </w:p>
    <w:p w:rsidR="00C37928" w:rsidRDefault="005E4537" w:rsidP="00B43306">
      <w:pPr>
        <w:keepNext/>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ECC PT1</w:t>
      </w:r>
      <w:r w:rsidRPr="004F3D96">
        <w:rPr>
          <w:rFonts w:ascii="Arial" w:eastAsia="Calibri" w:hAnsi="Arial" w:cs="Arial"/>
          <w:b/>
          <w:sz w:val="20"/>
          <w:szCs w:val="20"/>
          <w:lang w:val="de-DE" w:eastAsia="da-DK"/>
        </w:rPr>
        <w:t>)</w:t>
      </w:r>
    </w:p>
    <w:p w:rsidR="00742C2B" w:rsidRDefault="00742C2B"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9443AD">
        <w:rPr>
          <w:rFonts w:ascii="Arial" w:eastAsia="Times New Roman" w:hAnsi="Arial" w:cs="Arial"/>
          <w:b/>
          <w:bCs/>
          <w:caps/>
          <w:color w:val="D2232A"/>
          <w:kern w:val="32"/>
          <w:sz w:val="20"/>
          <w:szCs w:val="32"/>
          <w:lang w:val="en-US"/>
        </w:rPr>
        <w:t>5G device announcements</w:t>
      </w:r>
    </w:p>
    <w:p w:rsidR="00012298" w:rsidRDefault="00012298" w:rsidP="00C37928">
      <w:pPr>
        <w:spacing w:before="240" w:after="60" w:line="240" w:lineRule="auto"/>
        <w:jc w:val="both"/>
        <w:outlineLvl w:val="0"/>
        <w:rPr>
          <w:rFonts w:ascii="Arial" w:eastAsia="Calibri" w:hAnsi="Arial" w:cs="Arial"/>
          <w:sz w:val="20"/>
          <w:szCs w:val="20"/>
          <w:lang w:val="en-GB" w:eastAsia="da-DK"/>
        </w:rPr>
      </w:pPr>
      <w:r w:rsidRPr="00012298">
        <w:rPr>
          <w:rFonts w:ascii="Arial" w:eastAsia="Calibri" w:hAnsi="Arial" w:cs="Arial"/>
          <w:sz w:val="20"/>
          <w:szCs w:val="20"/>
          <w:lang w:val="en-GB" w:eastAsia="da-DK"/>
        </w:rPr>
        <w:t xml:space="preserve">Several 5G basebands </w:t>
      </w:r>
      <w:r>
        <w:rPr>
          <w:rFonts w:ascii="Arial" w:eastAsia="Calibri" w:hAnsi="Arial" w:cs="Arial"/>
          <w:sz w:val="20"/>
          <w:szCs w:val="20"/>
          <w:lang w:val="en-GB" w:eastAsia="da-DK"/>
        </w:rPr>
        <w:t xml:space="preserve">have been </w:t>
      </w:r>
      <w:r w:rsidRPr="00012298">
        <w:rPr>
          <w:rFonts w:ascii="Arial" w:eastAsia="Calibri" w:hAnsi="Arial" w:cs="Arial"/>
          <w:sz w:val="20"/>
          <w:szCs w:val="20"/>
          <w:lang w:val="en-GB" w:eastAsia="da-DK"/>
        </w:rPr>
        <w:t xml:space="preserve">already announced with various </w:t>
      </w:r>
      <w:r w:rsidR="00C95D8A" w:rsidRPr="00012298">
        <w:rPr>
          <w:rFonts w:ascii="Arial" w:eastAsia="Calibri" w:hAnsi="Arial" w:cs="Arial"/>
          <w:sz w:val="20"/>
          <w:szCs w:val="20"/>
          <w:lang w:val="en-GB" w:eastAsia="da-DK"/>
        </w:rPr>
        <w:t>levels</w:t>
      </w:r>
      <w:r w:rsidRPr="00012298">
        <w:rPr>
          <w:rFonts w:ascii="Arial" w:eastAsia="Calibri" w:hAnsi="Arial" w:cs="Arial"/>
          <w:sz w:val="20"/>
          <w:szCs w:val="20"/>
          <w:lang w:val="en-GB" w:eastAsia="da-DK"/>
        </w:rPr>
        <w:t xml:space="preserve"> of development and readiness. Qualcomm, Samsung and Huawei seem to have commercial products supporting both &lt;6GHz and 28GHz.</w:t>
      </w:r>
    </w:p>
    <w:p w:rsidR="006D079C" w:rsidRPr="009443AD" w:rsidRDefault="006D079C" w:rsidP="00C37928">
      <w:pPr>
        <w:spacing w:before="240" w:after="60" w:line="240" w:lineRule="auto"/>
        <w:jc w:val="both"/>
        <w:outlineLvl w:val="0"/>
        <w:rPr>
          <w:rFonts w:ascii="Arial" w:eastAsia="Calibri" w:hAnsi="Arial" w:cs="Arial"/>
          <w:sz w:val="20"/>
          <w:szCs w:val="20"/>
          <w:lang w:val="en-GB" w:eastAsia="da-DK"/>
        </w:rPr>
      </w:pPr>
      <w:r w:rsidRPr="009443AD">
        <w:rPr>
          <w:rFonts w:ascii="Arial" w:eastAsia="Calibri" w:hAnsi="Arial" w:cs="Arial"/>
          <w:sz w:val="20"/>
          <w:szCs w:val="20"/>
          <w:lang w:val="en-GB" w:eastAsia="da-DK"/>
        </w:rPr>
        <w:t>Samsung announced ’the industry’s first 5G modem that is fully compatible with 3GPP Release 15’ in August. The Exynos 5100 modem chipset functions as a Cat-19 LTE device (1.6 Gbps download speed, 8 channel carrier aggregation, 256QAM modulation on DL and UL, and 4x4 MIMO) as well as supporting 5G New Radio (NR) in sub-6 GHz and mmWave spectrum for DL speeds of up to 6 Gbit/s. It also supports GSM and various 3G modes.</w:t>
      </w:r>
    </w:p>
    <w:p w:rsidR="006D079C" w:rsidRDefault="006D079C" w:rsidP="00C37928">
      <w:pPr>
        <w:spacing w:before="240" w:after="60" w:line="240" w:lineRule="auto"/>
        <w:jc w:val="both"/>
        <w:outlineLvl w:val="0"/>
        <w:rPr>
          <w:rFonts w:ascii="Arial" w:eastAsia="Calibri" w:hAnsi="Arial" w:cs="Arial"/>
          <w:sz w:val="20"/>
          <w:szCs w:val="20"/>
          <w:lang w:val="en-GB" w:eastAsia="da-DK"/>
        </w:rPr>
      </w:pPr>
      <w:r w:rsidRPr="009443AD">
        <w:rPr>
          <w:rFonts w:ascii="Arial" w:eastAsia="Calibri" w:hAnsi="Arial" w:cs="Arial"/>
          <w:sz w:val="20"/>
          <w:szCs w:val="20"/>
          <w:lang w:val="en-GB" w:eastAsia="da-DK"/>
        </w:rPr>
        <w:t>This joins previous early 5G chipset announcements from other manufacturers including Qualcomm’s Snapdragon X50 and Intel’s XMM 8060</w:t>
      </w:r>
      <w:r w:rsidR="0013311C">
        <w:rPr>
          <w:rFonts w:ascii="Arial" w:eastAsia="Calibri" w:hAnsi="Arial" w:cs="Arial"/>
          <w:sz w:val="20"/>
          <w:szCs w:val="20"/>
          <w:lang w:val="en-GB" w:eastAsia="da-DK"/>
        </w:rPr>
        <w:t xml:space="preserve">, and more recent announcements including </w:t>
      </w:r>
      <w:proofErr w:type="spellStart"/>
      <w:r w:rsidR="0013311C" w:rsidRPr="0013311C">
        <w:rPr>
          <w:rFonts w:ascii="Arial" w:eastAsia="Calibri" w:hAnsi="Arial" w:cs="Arial"/>
          <w:sz w:val="20"/>
          <w:szCs w:val="20"/>
          <w:lang w:val="en-GB" w:eastAsia="da-DK"/>
        </w:rPr>
        <w:t>MediaTek’s</w:t>
      </w:r>
      <w:proofErr w:type="spellEnd"/>
      <w:r w:rsidR="0013311C" w:rsidRPr="0013311C">
        <w:rPr>
          <w:rFonts w:ascii="Arial" w:eastAsia="Calibri" w:hAnsi="Arial" w:cs="Arial"/>
          <w:sz w:val="20"/>
          <w:szCs w:val="20"/>
          <w:lang w:val="en-GB" w:eastAsia="da-DK"/>
        </w:rPr>
        <w:t xml:space="preserve"> </w:t>
      </w:r>
      <w:proofErr w:type="spellStart"/>
      <w:r w:rsidR="0013311C" w:rsidRPr="0013311C">
        <w:rPr>
          <w:rFonts w:ascii="Arial" w:eastAsia="Calibri" w:hAnsi="Arial" w:cs="Arial"/>
          <w:sz w:val="20"/>
          <w:szCs w:val="20"/>
          <w:lang w:val="en-GB" w:eastAsia="da-DK"/>
        </w:rPr>
        <w:t>Helio</w:t>
      </w:r>
      <w:proofErr w:type="spellEnd"/>
      <w:r w:rsidR="0013311C" w:rsidRPr="0013311C">
        <w:rPr>
          <w:rFonts w:ascii="Arial" w:eastAsia="Calibri" w:hAnsi="Arial" w:cs="Arial"/>
          <w:sz w:val="20"/>
          <w:szCs w:val="20"/>
          <w:lang w:val="en-GB" w:eastAsia="da-DK"/>
        </w:rPr>
        <w:t xml:space="preserve"> M7</w:t>
      </w:r>
      <w:r w:rsidR="0013311C">
        <w:rPr>
          <w:rFonts w:ascii="Arial" w:eastAsia="Calibri" w:hAnsi="Arial" w:cs="Arial"/>
          <w:sz w:val="20"/>
          <w:szCs w:val="20"/>
          <w:lang w:val="en-GB" w:eastAsia="da-DK"/>
        </w:rPr>
        <w:t xml:space="preserve">0 and Hi-Silicon’s </w:t>
      </w:r>
      <w:proofErr w:type="spellStart"/>
      <w:r w:rsidR="0013311C" w:rsidRPr="0013311C">
        <w:rPr>
          <w:rFonts w:ascii="Arial" w:eastAsia="Calibri" w:hAnsi="Arial" w:cs="Arial"/>
          <w:sz w:val="20"/>
          <w:szCs w:val="20"/>
          <w:lang w:val="en-GB" w:eastAsia="da-DK"/>
        </w:rPr>
        <w:t>Balong</w:t>
      </w:r>
      <w:proofErr w:type="spellEnd"/>
      <w:r w:rsidR="0013311C" w:rsidRPr="0013311C">
        <w:rPr>
          <w:rFonts w:ascii="Arial" w:eastAsia="Calibri" w:hAnsi="Arial" w:cs="Arial"/>
          <w:sz w:val="20"/>
          <w:szCs w:val="20"/>
          <w:lang w:val="en-GB" w:eastAsia="da-DK"/>
        </w:rPr>
        <w:t xml:space="preserve"> 5G01</w:t>
      </w:r>
      <w:r w:rsidR="0013311C">
        <w:rPr>
          <w:rFonts w:ascii="Arial" w:eastAsia="Calibri" w:hAnsi="Arial" w:cs="Arial"/>
          <w:sz w:val="20"/>
          <w:szCs w:val="20"/>
          <w:lang w:val="en-GB" w:eastAsia="da-DK"/>
        </w:rPr>
        <w:t xml:space="preserve">. A limited number of early 5G devices from Huawei and Samsung using some of these chipsets are available but details are limited. </w:t>
      </w:r>
      <w:proofErr w:type="spellStart"/>
      <w:r w:rsidR="0013311C" w:rsidRPr="0013311C">
        <w:rPr>
          <w:rFonts w:ascii="Arial" w:eastAsia="Calibri" w:hAnsi="Arial" w:cs="Arial"/>
          <w:sz w:val="20"/>
          <w:szCs w:val="20"/>
          <w:lang w:val="en-GB" w:eastAsia="da-DK"/>
        </w:rPr>
        <w:t>MediaTek</w:t>
      </w:r>
      <w:proofErr w:type="spellEnd"/>
      <w:r w:rsidR="0013311C" w:rsidRPr="0013311C">
        <w:rPr>
          <w:rFonts w:ascii="Arial" w:eastAsia="Calibri" w:hAnsi="Arial" w:cs="Arial"/>
          <w:sz w:val="20"/>
          <w:szCs w:val="20"/>
          <w:lang w:val="en-GB" w:eastAsia="da-DK"/>
        </w:rPr>
        <w:t xml:space="preserve"> </w:t>
      </w:r>
      <w:r w:rsidR="0013311C">
        <w:rPr>
          <w:rFonts w:ascii="Arial" w:eastAsia="Calibri" w:hAnsi="Arial" w:cs="Arial"/>
          <w:sz w:val="20"/>
          <w:szCs w:val="20"/>
          <w:lang w:val="en-GB" w:eastAsia="da-DK"/>
        </w:rPr>
        <w:t xml:space="preserve">has announced that devices using its </w:t>
      </w:r>
      <w:proofErr w:type="spellStart"/>
      <w:r w:rsidR="0013311C" w:rsidRPr="0013311C">
        <w:rPr>
          <w:rFonts w:ascii="Arial" w:eastAsia="Calibri" w:hAnsi="Arial" w:cs="Arial"/>
          <w:sz w:val="20"/>
          <w:szCs w:val="20"/>
          <w:lang w:val="en-GB" w:eastAsia="da-DK"/>
        </w:rPr>
        <w:t>Helio</w:t>
      </w:r>
      <w:proofErr w:type="spellEnd"/>
      <w:r w:rsidR="0013311C" w:rsidRPr="0013311C">
        <w:rPr>
          <w:rFonts w:ascii="Arial" w:eastAsia="Calibri" w:hAnsi="Arial" w:cs="Arial"/>
          <w:sz w:val="20"/>
          <w:szCs w:val="20"/>
          <w:lang w:val="en-GB" w:eastAsia="da-DK"/>
        </w:rPr>
        <w:t xml:space="preserve"> M70 modem will be commercially available in 2019.</w:t>
      </w:r>
    </w:p>
    <w:p w:rsidR="0013311C" w:rsidRPr="009443AD" w:rsidRDefault="0013311C" w:rsidP="00C37928">
      <w:pPr>
        <w:spacing w:before="240" w:after="60" w:line="240" w:lineRule="auto"/>
        <w:jc w:val="both"/>
        <w:outlineLvl w:val="0"/>
        <w:rPr>
          <w:rFonts w:ascii="Arial" w:eastAsia="Calibri" w:hAnsi="Arial" w:cs="Arial"/>
          <w:sz w:val="20"/>
          <w:szCs w:val="20"/>
          <w:lang w:val="en-GB" w:eastAsia="da-DK"/>
        </w:rPr>
      </w:pPr>
      <w:r w:rsidRPr="009443AD">
        <w:rPr>
          <w:rFonts w:ascii="Arial" w:eastAsia="Calibri" w:hAnsi="Arial" w:cs="Arial"/>
          <w:sz w:val="20"/>
          <w:szCs w:val="20"/>
          <w:lang w:val="en-GB" w:eastAsia="da-DK"/>
        </w:rPr>
        <w:t xml:space="preserve">One further development has been the announcement by Qualcomm of </w:t>
      </w:r>
      <w:proofErr w:type="gramStart"/>
      <w:r w:rsidRPr="009443AD">
        <w:rPr>
          <w:rFonts w:ascii="Arial" w:eastAsia="Calibri" w:hAnsi="Arial" w:cs="Arial"/>
          <w:sz w:val="20"/>
          <w:szCs w:val="20"/>
          <w:lang w:val="en-GB" w:eastAsia="da-DK"/>
        </w:rPr>
        <w:t>a</w:t>
      </w:r>
      <w:proofErr w:type="gramEnd"/>
      <w:r w:rsidRPr="009443AD">
        <w:rPr>
          <w:rFonts w:ascii="Arial" w:eastAsia="Calibri" w:hAnsi="Arial" w:cs="Arial"/>
          <w:sz w:val="20"/>
          <w:szCs w:val="20"/>
          <w:lang w:val="en-GB" w:eastAsia="da-DK"/>
        </w:rPr>
        <w:t xml:space="preserve"> mmWave antenna module (QTM052, designed to complement the X50 modem chipset) and a sub-6 GHz RF front-end module (QPM56xx) developed specifically for 5G NR.</w:t>
      </w:r>
    </w:p>
    <w:p w:rsidR="0013311C" w:rsidRPr="009443AD" w:rsidRDefault="0013311C" w:rsidP="00C37928">
      <w:pPr>
        <w:spacing w:before="240" w:after="60" w:line="240" w:lineRule="auto"/>
        <w:jc w:val="both"/>
        <w:outlineLvl w:val="0"/>
        <w:rPr>
          <w:rFonts w:ascii="Arial" w:eastAsia="Calibri" w:hAnsi="Arial" w:cs="Arial"/>
          <w:sz w:val="20"/>
          <w:szCs w:val="20"/>
          <w:lang w:val="en-GB" w:eastAsia="da-DK"/>
        </w:rPr>
      </w:pPr>
      <w:r w:rsidRPr="009443AD">
        <w:rPr>
          <w:rFonts w:ascii="Arial" w:eastAsia="Calibri" w:hAnsi="Arial" w:cs="Arial"/>
          <w:sz w:val="20"/>
          <w:szCs w:val="20"/>
          <w:lang w:val="en-GB" w:eastAsia="da-DK"/>
        </w:rPr>
        <w:t>5G mobile processors/platforms are at an earlier stage of commercialisation than modem chipsets.</w:t>
      </w:r>
    </w:p>
    <w:p w:rsidR="006D079C" w:rsidRPr="009443AD" w:rsidRDefault="006D079C" w:rsidP="00C37928">
      <w:pPr>
        <w:spacing w:before="240" w:after="60" w:line="240" w:lineRule="auto"/>
        <w:jc w:val="both"/>
        <w:outlineLvl w:val="0"/>
        <w:rPr>
          <w:rFonts w:ascii="Arial" w:eastAsia="Calibri" w:hAnsi="Arial" w:cs="Arial"/>
          <w:sz w:val="20"/>
          <w:szCs w:val="20"/>
          <w:lang w:val="en-GB" w:eastAsia="da-DK"/>
        </w:rPr>
      </w:pPr>
      <w:r w:rsidRPr="009443AD">
        <w:rPr>
          <w:rFonts w:ascii="Arial" w:eastAsia="Calibri" w:hAnsi="Arial" w:cs="Arial"/>
          <w:sz w:val="20"/>
          <w:szCs w:val="20"/>
          <w:lang w:val="en-GB" w:eastAsia="da-DK"/>
        </w:rPr>
        <w:t xml:space="preserve">Separately, Sprint and LG announced a 5G phone is planned to be available in the first half of next year to be launched in conjunction with the Sprint 5G </w:t>
      </w:r>
      <w:proofErr w:type="gramStart"/>
      <w:r w:rsidRPr="009443AD">
        <w:rPr>
          <w:rFonts w:ascii="Arial" w:eastAsia="Calibri" w:hAnsi="Arial" w:cs="Arial"/>
          <w:sz w:val="20"/>
          <w:szCs w:val="20"/>
          <w:lang w:val="en-GB" w:eastAsia="da-DK"/>
        </w:rPr>
        <w:t>network</w:t>
      </w:r>
      <w:proofErr w:type="gramEnd"/>
      <w:r w:rsidRPr="009443AD">
        <w:rPr>
          <w:rFonts w:ascii="Arial" w:eastAsia="Calibri" w:hAnsi="Arial" w:cs="Arial"/>
          <w:sz w:val="20"/>
          <w:szCs w:val="20"/>
          <w:lang w:val="en-GB" w:eastAsia="da-DK"/>
        </w:rPr>
        <w:t xml:space="preserve"> in the US. </w:t>
      </w:r>
      <w:r w:rsidR="00485B3D" w:rsidRPr="009443AD">
        <w:rPr>
          <w:rFonts w:ascii="Arial" w:eastAsia="Calibri" w:hAnsi="Arial" w:cs="Arial"/>
          <w:sz w:val="20"/>
          <w:szCs w:val="20"/>
          <w:lang w:val="en-GB" w:eastAsia="da-DK"/>
        </w:rPr>
        <w:t>Sprint believes</w:t>
      </w:r>
      <w:r w:rsidRPr="009443AD">
        <w:rPr>
          <w:rFonts w:ascii="Arial" w:eastAsia="Calibri" w:hAnsi="Arial" w:cs="Arial"/>
          <w:sz w:val="20"/>
          <w:szCs w:val="20"/>
          <w:lang w:val="en-GB" w:eastAsia="da-DK"/>
        </w:rPr>
        <w:t xml:space="preserve"> this will be the first available 5G smartphone in the US.</w:t>
      </w:r>
    </w:p>
    <w:p w:rsidR="006D079C" w:rsidRDefault="006D079C" w:rsidP="00C37928">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w:t>
      </w:r>
      <w:r w:rsidRPr="009443AD">
        <w:rPr>
          <w:rFonts w:ascii="Arial" w:eastAsia="Calibri" w:hAnsi="Arial" w:cs="Arial"/>
          <w:sz w:val="20"/>
          <w:szCs w:val="20"/>
          <w:lang w:val="en-GB" w:eastAsia="da-DK"/>
        </w:rPr>
        <w:t xml:space="preserve">he </w:t>
      </w:r>
      <w:r>
        <w:rPr>
          <w:rFonts w:ascii="Arial" w:eastAsia="Calibri" w:hAnsi="Arial" w:cs="Arial"/>
          <w:sz w:val="20"/>
          <w:szCs w:val="20"/>
          <w:lang w:val="en-GB" w:eastAsia="da-DK"/>
        </w:rPr>
        <w:t>device is planned to</w:t>
      </w:r>
      <w:r w:rsidRPr="009443AD">
        <w:rPr>
          <w:rFonts w:ascii="Arial" w:eastAsia="Calibri" w:hAnsi="Arial" w:cs="Arial"/>
          <w:sz w:val="20"/>
          <w:szCs w:val="20"/>
          <w:lang w:val="en-GB" w:eastAsia="da-DK"/>
        </w:rPr>
        <w:t xml:space="preserve"> support Sprint’s 2.5 GHz spectrum for 5G. </w:t>
      </w:r>
      <w:r>
        <w:rPr>
          <w:rFonts w:ascii="Arial" w:eastAsia="Calibri" w:hAnsi="Arial" w:cs="Arial"/>
          <w:sz w:val="20"/>
          <w:szCs w:val="20"/>
          <w:lang w:val="en-GB" w:eastAsia="da-DK"/>
        </w:rPr>
        <w:t>The operator</w:t>
      </w:r>
      <w:r w:rsidRPr="009443AD">
        <w:rPr>
          <w:rFonts w:ascii="Arial" w:eastAsia="Calibri" w:hAnsi="Arial" w:cs="Arial"/>
          <w:sz w:val="20"/>
          <w:szCs w:val="20"/>
          <w:lang w:val="en-GB" w:eastAsia="da-DK"/>
        </w:rPr>
        <w:t xml:space="preserve"> is currently in the process of deploying 2.5 GHz 5G equipment</w:t>
      </w:r>
      <w:r w:rsidR="005E4537">
        <w:rPr>
          <w:rFonts w:ascii="Arial" w:eastAsia="Calibri" w:hAnsi="Arial" w:cs="Arial"/>
          <w:sz w:val="20"/>
          <w:szCs w:val="20"/>
          <w:lang w:val="en-GB" w:eastAsia="da-DK"/>
        </w:rPr>
        <w:t xml:space="preserve">, </w:t>
      </w:r>
      <w:r w:rsidRPr="009443AD">
        <w:rPr>
          <w:rFonts w:ascii="Arial" w:eastAsia="Calibri" w:hAnsi="Arial" w:cs="Arial"/>
          <w:sz w:val="20"/>
          <w:szCs w:val="20"/>
          <w:lang w:val="en-GB" w:eastAsia="da-DK"/>
        </w:rPr>
        <w:t xml:space="preserve">mainly </w:t>
      </w:r>
      <w:r w:rsidR="005E4537">
        <w:rPr>
          <w:rFonts w:ascii="Arial" w:eastAsia="Calibri" w:hAnsi="Arial" w:cs="Arial"/>
          <w:sz w:val="20"/>
          <w:szCs w:val="20"/>
          <w:lang w:val="en-GB" w:eastAsia="da-DK"/>
        </w:rPr>
        <w:t>using</w:t>
      </w:r>
      <w:r w:rsidRPr="009443AD">
        <w:rPr>
          <w:rFonts w:ascii="Arial" w:eastAsia="Calibri" w:hAnsi="Arial" w:cs="Arial"/>
          <w:sz w:val="20"/>
          <w:szCs w:val="20"/>
          <w:lang w:val="en-GB" w:eastAsia="da-DK"/>
        </w:rPr>
        <w:t xml:space="preserve"> massive MIMO antennas</w:t>
      </w:r>
      <w:r w:rsidR="005E4537">
        <w:rPr>
          <w:rFonts w:ascii="Arial" w:eastAsia="Calibri" w:hAnsi="Arial" w:cs="Arial"/>
          <w:sz w:val="20"/>
          <w:szCs w:val="20"/>
          <w:lang w:val="en-GB" w:eastAsia="da-DK"/>
        </w:rPr>
        <w:t xml:space="preserve">, </w:t>
      </w:r>
      <w:r w:rsidRPr="009443AD">
        <w:rPr>
          <w:rFonts w:ascii="Arial" w:eastAsia="Calibri" w:hAnsi="Arial" w:cs="Arial"/>
          <w:sz w:val="20"/>
          <w:szCs w:val="20"/>
          <w:lang w:val="en-GB" w:eastAsia="da-DK"/>
        </w:rPr>
        <w:t>to all of its towers across the country</w:t>
      </w:r>
      <w:r w:rsidR="0013311C">
        <w:rPr>
          <w:rFonts w:ascii="Arial" w:eastAsia="Calibri" w:hAnsi="Arial" w:cs="Arial"/>
          <w:sz w:val="20"/>
          <w:szCs w:val="20"/>
          <w:lang w:val="en-GB" w:eastAsia="da-DK"/>
        </w:rPr>
        <w:t>, with two-thirds of its macro sites upgraded so far.</w:t>
      </w:r>
    </w:p>
    <w:p w:rsidR="00012298" w:rsidRDefault="00012298" w:rsidP="00276849">
      <w:pPr>
        <w:spacing w:before="240" w:after="60" w:line="240" w:lineRule="auto"/>
        <w:outlineLvl w:val="0"/>
        <w:rPr>
          <w:rFonts w:ascii="Arial" w:eastAsia="Calibri" w:hAnsi="Arial" w:cs="Arial"/>
          <w:sz w:val="20"/>
          <w:szCs w:val="20"/>
          <w:lang w:val="en-GB" w:eastAsia="da-DK"/>
        </w:rPr>
      </w:pPr>
      <w:r>
        <w:rPr>
          <w:noProof/>
          <w:lang w:eastAsia="da-DK"/>
        </w:rPr>
        <w:lastRenderedPageBreak/>
        <w:drawing>
          <wp:inline distT="0" distB="0" distL="0" distR="0" wp14:anchorId="34284A13" wp14:editId="08AE7B0B">
            <wp:extent cx="5250094" cy="273350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250094" cy="2733502"/>
                    </a:xfrm>
                    <a:prstGeom prst="rect">
                      <a:avLst/>
                    </a:prstGeom>
                  </pic:spPr>
                </pic:pic>
              </a:graphicData>
            </a:graphic>
          </wp:inline>
        </w:drawing>
      </w:r>
    </w:p>
    <w:p w:rsidR="00012298" w:rsidRDefault="00012298" w:rsidP="00C37928">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Source of the table: </w:t>
      </w:r>
      <w:proofErr w:type="spellStart"/>
      <w:r>
        <w:rPr>
          <w:rFonts w:ascii="Arial" w:eastAsia="Calibri" w:hAnsi="Arial" w:cs="Arial"/>
          <w:sz w:val="20"/>
          <w:szCs w:val="20"/>
          <w:lang w:val="en-GB" w:eastAsia="da-DK"/>
        </w:rPr>
        <w:t>iDate</w:t>
      </w:r>
      <w:proofErr w:type="spellEnd"/>
    </w:p>
    <w:p w:rsidR="005E4537" w:rsidRPr="00E46405" w:rsidRDefault="005E4537" w:rsidP="00C37928">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ECC PT1</w:t>
      </w:r>
      <w:r w:rsidRPr="004F3D96">
        <w:rPr>
          <w:rFonts w:ascii="Arial" w:eastAsia="Calibri" w:hAnsi="Arial" w:cs="Arial"/>
          <w:b/>
          <w:sz w:val="20"/>
          <w:szCs w:val="20"/>
          <w:lang w:val="de-DE" w:eastAsia="da-DK"/>
        </w:rPr>
        <w:t>)</w:t>
      </w:r>
    </w:p>
    <w:p w:rsidR="0034479C" w:rsidRDefault="00742C2B" w:rsidP="00481D8C">
      <w:pPr>
        <w:pStyle w:val="ListParagraph"/>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9443AD">
        <w:rPr>
          <w:rFonts w:ascii="Arial" w:eastAsia="Times New Roman" w:hAnsi="Arial" w:cs="Arial"/>
          <w:b/>
          <w:bCs/>
          <w:caps/>
          <w:color w:val="D2232A"/>
          <w:kern w:val="32"/>
          <w:sz w:val="20"/>
          <w:szCs w:val="32"/>
          <w:lang w:val="en-US"/>
        </w:rPr>
        <w:t>USA</w:t>
      </w:r>
      <w:r w:rsidR="009443AD">
        <w:rPr>
          <w:rFonts w:ascii="Arial" w:eastAsia="Times New Roman" w:hAnsi="Arial" w:cs="Arial"/>
          <w:b/>
          <w:bCs/>
          <w:caps/>
          <w:color w:val="D2232A"/>
          <w:kern w:val="32"/>
          <w:sz w:val="20"/>
          <w:szCs w:val="32"/>
          <w:lang w:val="en-US"/>
        </w:rPr>
        <w:t>, Puerto Rico, New Zealand</w:t>
      </w:r>
      <w:r w:rsidRPr="009443AD">
        <w:rPr>
          <w:rFonts w:ascii="Arial" w:eastAsia="Times New Roman" w:hAnsi="Arial" w:cs="Arial"/>
          <w:b/>
          <w:bCs/>
          <w:caps/>
          <w:color w:val="D2232A"/>
          <w:kern w:val="32"/>
          <w:sz w:val="20"/>
          <w:szCs w:val="32"/>
          <w:lang w:val="en-US"/>
        </w:rPr>
        <w:t>: Google Project Loon balloon proposals in 700 MHz and 800 MHz</w:t>
      </w:r>
    </w:p>
    <w:p w:rsidR="005E4537" w:rsidRPr="005E4537" w:rsidRDefault="005E4537" w:rsidP="001A75CF">
      <w:pPr>
        <w:spacing w:before="240" w:after="60" w:line="240" w:lineRule="auto"/>
        <w:jc w:val="both"/>
        <w:outlineLvl w:val="0"/>
        <w:rPr>
          <w:rFonts w:ascii="Arial" w:eastAsia="Calibri" w:hAnsi="Arial" w:cs="Arial"/>
          <w:sz w:val="20"/>
          <w:szCs w:val="20"/>
          <w:lang w:val="en-GB" w:eastAsia="da-DK"/>
        </w:rPr>
      </w:pPr>
      <w:r w:rsidRPr="005E4537">
        <w:rPr>
          <w:rFonts w:ascii="Arial" w:eastAsia="Calibri" w:hAnsi="Arial" w:cs="Arial"/>
          <w:sz w:val="20"/>
          <w:szCs w:val="20"/>
          <w:lang w:val="en-GB" w:eastAsia="da-DK"/>
        </w:rPr>
        <w:t xml:space="preserve">Loon, the </w:t>
      </w:r>
      <w:r>
        <w:rPr>
          <w:rFonts w:ascii="Arial" w:eastAsia="Calibri" w:hAnsi="Arial" w:cs="Arial"/>
          <w:sz w:val="20"/>
          <w:szCs w:val="20"/>
          <w:lang w:val="en-GB" w:eastAsia="da-DK"/>
        </w:rPr>
        <w:t xml:space="preserve">Google </w:t>
      </w:r>
      <w:r w:rsidRPr="005E4537">
        <w:rPr>
          <w:rFonts w:ascii="Arial" w:eastAsia="Calibri" w:hAnsi="Arial" w:cs="Arial"/>
          <w:sz w:val="20"/>
          <w:szCs w:val="20"/>
          <w:lang w:val="en-GB" w:eastAsia="da-DK"/>
        </w:rPr>
        <w:t>balloon project</w:t>
      </w:r>
      <w:r>
        <w:rPr>
          <w:rFonts w:ascii="Arial" w:eastAsia="Calibri" w:hAnsi="Arial" w:cs="Arial"/>
          <w:sz w:val="20"/>
          <w:szCs w:val="20"/>
          <w:lang w:val="en-GB" w:eastAsia="da-DK"/>
        </w:rPr>
        <w:t>,</w:t>
      </w:r>
      <w:r w:rsidRPr="005E4537">
        <w:rPr>
          <w:rFonts w:ascii="Arial" w:eastAsia="Calibri" w:hAnsi="Arial" w:cs="Arial"/>
          <w:sz w:val="20"/>
          <w:szCs w:val="20"/>
          <w:lang w:val="en-GB" w:eastAsia="da-DK"/>
        </w:rPr>
        <w:t xml:space="preserve"> </w:t>
      </w:r>
      <w:r>
        <w:rPr>
          <w:rFonts w:ascii="Arial" w:eastAsia="Calibri" w:hAnsi="Arial" w:cs="Arial"/>
          <w:sz w:val="20"/>
          <w:szCs w:val="20"/>
          <w:lang w:val="en-GB" w:eastAsia="da-DK"/>
        </w:rPr>
        <w:t>has requested the FCC to allow tests in</w:t>
      </w:r>
      <w:r w:rsidRPr="005E4537">
        <w:rPr>
          <w:rFonts w:ascii="Arial" w:eastAsia="Calibri" w:hAnsi="Arial" w:cs="Arial"/>
          <w:sz w:val="20"/>
          <w:szCs w:val="20"/>
          <w:lang w:val="en-GB" w:eastAsia="da-DK"/>
        </w:rPr>
        <w:t xml:space="preserve"> </w:t>
      </w:r>
      <w:r>
        <w:rPr>
          <w:rFonts w:ascii="Arial" w:eastAsia="Calibri" w:hAnsi="Arial" w:cs="Arial"/>
          <w:sz w:val="20"/>
          <w:szCs w:val="20"/>
          <w:lang w:val="en-GB" w:eastAsia="da-DK"/>
        </w:rPr>
        <w:t>the 700 and 800 MHz bands (</w:t>
      </w:r>
      <w:r w:rsidRPr="005E4537">
        <w:rPr>
          <w:rFonts w:ascii="Arial" w:eastAsia="Calibri" w:hAnsi="Arial" w:cs="Arial"/>
          <w:sz w:val="20"/>
          <w:szCs w:val="20"/>
          <w:lang w:val="en-GB" w:eastAsia="da-DK"/>
        </w:rPr>
        <w:t>LTE bands 20 and 28</w:t>
      </w:r>
      <w:r>
        <w:rPr>
          <w:rFonts w:ascii="Arial" w:eastAsia="Calibri" w:hAnsi="Arial" w:cs="Arial"/>
          <w:sz w:val="20"/>
          <w:szCs w:val="20"/>
          <w:lang w:val="en-GB" w:eastAsia="da-DK"/>
        </w:rPr>
        <w:t>)</w:t>
      </w:r>
      <w:r w:rsidRPr="005E4537">
        <w:rPr>
          <w:rFonts w:ascii="Arial" w:eastAsia="Calibri" w:hAnsi="Arial" w:cs="Arial"/>
          <w:sz w:val="20"/>
          <w:szCs w:val="20"/>
          <w:lang w:val="en-GB" w:eastAsia="da-DK"/>
        </w:rPr>
        <w:t xml:space="preserve"> in the area surrounding its launch facility in Winnemucca, Nevada.</w:t>
      </w:r>
    </w:p>
    <w:p w:rsidR="005E4537" w:rsidRPr="005E4537" w:rsidRDefault="005E4537" w:rsidP="001A75CF">
      <w:pPr>
        <w:spacing w:before="240" w:after="60" w:line="240" w:lineRule="auto"/>
        <w:jc w:val="both"/>
        <w:outlineLvl w:val="0"/>
        <w:rPr>
          <w:rFonts w:ascii="Arial" w:eastAsia="Calibri" w:hAnsi="Arial" w:cs="Arial"/>
          <w:sz w:val="20"/>
          <w:szCs w:val="20"/>
          <w:lang w:val="en-GB" w:eastAsia="da-DK"/>
        </w:rPr>
      </w:pPr>
      <w:r w:rsidRPr="005E4537">
        <w:rPr>
          <w:rFonts w:ascii="Arial" w:eastAsia="Calibri" w:hAnsi="Arial" w:cs="Arial"/>
          <w:sz w:val="20"/>
          <w:szCs w:val="20"/>
          <w:lang w:val="en-GB" w:eastAsia="da-DK"/>
        </w:rPr>
        <w:t xml:space="preserve">Loon balloons with directional antennas will be positioned over the proposed test area and used to relay communications between handsets on the ground. </w:t>
      </w:r>
      <w:r>
        <w:rPr>
          <w:rFonts w:ascii="Arial" w:eastAsia="Calibri" w:hAnsi="Arial" w:cs="Arial"/>
          <w:sz w:val="20"/>
          <w:szCs w:val="20"/>
          <w:lang w:val="en-GB" w:eastAsia="da-DK"/>
        </w:rPr>
        <w:t>Standard LTE</w:t>
      </w:r>
      <w:r w:rsidRPr="005E4537">
        <w:rPr>
          <w:rFonts w:ascii="Arial" w:eastAsia="Calibri" w:hAnsi="Arial" w:cs="Arial"/>
          <w:sz w:val="20"/>
          <w:szCs w:val="20"/>
          <w:lang w:val="en-GB" w:eastAsia="da-DK"/>
        </w:rPr>
        <w:t xml:space="preserve"> handsets </w:t>
      </w:r>
      <w:r>
        <w:rPr>
          <w:rFonts w:ascii="Arial" w:eastAsia="Calibri" w:hAnsi="Arial" w:cs="Arial"/>
          <w:sz w:val="20"/>
          <w:szCs w:val="20"/>
          <w:lang w:val="en-GB" w:eastAsia="da-DK"/>
        </w:rPr>
        <w:t xml:space="preserve">will be used </w:t>
      </w:r>
      <w:r w:rsidRPr="005E4537">
        <w:rPr>
          <w:rFonts w:ascii="Arial" w:eastAsia="Calibri" w:hAnsi="Arial" w:cs="Arial"/>
          <w:sz w:val="20"/>
          <w:szCs w:val="20"/>
          <w:lang w:val="en-GB" w:eastAsia="da-DK"/>
        </w:rPr>
        <w:t>to co</w:t>
      </w:r>
      <w:r>
        <w:rPr>
          <w:rFonts w:ascii="Arial" w:eastAsia="Calibri" w:hAnsi="Arial" w:cs="Arial"/>
          <w:sz w:val="20"/>
          <w:szCs w:val="20"/>
          <w:lang w:val="en-GB" w:eastAsia="da-DK"/>
        </w:rPr>
        <w:t xml:space="preserve">mmunicate with the balloons which use </w:t>
      </w:r>
      <w:r w:rsidRPr="005E4537">
        <w:rPr>
          <w:rFonts w:ascii="Arial" w:eastAsia="Calibri" w:hAnsi="Arial" w:cs="Arial"/>
          <w:sz w:val="20"/>
          <w:szCs w:val="20"/>
          <w:lang w:val="en-GB" w:eastAsia="da-DK"/>
        </w:rPr>
        <w:t>Wi-Fi or E-band frequencies to interconnect with ground terminals.</w:t>
      </w:r>
    </w:p>
    <w:p w:rsidR="005E4537" w:rsidRPr="005E4537" w:rsidRDefault="005E4537" w:rsidP="001A75CF">
      <w:pPr>
        <w:spacing w:before="240" w:after="60" w:line="240" w:lineRule="auto"/>
        <w:jc w:val="both"/>
        <w:outlineLvl w:val="0"/>
        <w:rPr>
          <w:rFonts w:ascii="Arial" w:eastAsia="Calibri" w:hAnsi="Arial" w:cs="Arial"/>
          <w:sz w:val="20"/>
          <w:szCs w:val="20"/>
          <w:lang w:val="en-GB" w:eastAsia="da-DK"/>
        </w:rPr>
      </w:pPr>
      <w:r w:rsidRPr="005E4537">
        <w:rPr>
          <w:rFonts w:ascii="Arial" w:eastAsia="Calibri" w:hAnsi="Arial" w:cs="Arial"/>
          <w:sz w:val="20"/>
          <w:szCs w:val="20"/>
          <w:lang w:val="en-GB" w:eastAsia="da-DK"/>
        </w:rPr>
        <w:t xml:space="preserve">Loon </w:t>
      </w:r>
      <w:r>
        <w:rPr>
          <w:rFonts w:ascii="Arial" w:eastAsia="Calibri" w:hAnsi="Arial" w:cs="Arial"/>
          <w:sz w:val="20"/>
          <w:szCs w:val="20"/>
          <w:lang w:val="en-GB" w:eastAsia="da-DK"/>
        </w:rPr>
        <w:t xml:space="preserve">has </w:t>
      </w:r>
      <w:r w:rsidRPr="005E4537">
        <w:rPr>
          <w:rFonts w:ascii="Arial" w:eastAsia="Calibri" w:hAnsi="Arial" w:cs="Arial"/>
          <w:sz w:val="20"/>
          <w:szCs w:val="20"/>
          <w:lang w:val="en-GB" w:eastAsia="da-DK"/>
        </w:rPr>
        <w:t xml:space="preserve">the ability to terminate transmissions if the balloons exit the test area. </w:t>
      </w:r>
      <w:r>
        <w:rPr>
          <w:rFonts w:ascii="Arial" w:eastAsia="Calibri" w:hAnsi="Arial" w:cs="Arial"/>
          <w:sz w:val="20"/>
          <w:szCs w:val="20"/>
          <w:lang w:val="en-GB" w:eastAsia="da-DK"/>
        </w:rPr>
        <w:t>I</w:t>
      </w:r>
      <w:r w:rsidRPr="005E4537">
        <w:rPr>
          <w:rFonts w:ascii="Arial" w:eastAsia="Calibri" w:hAnsi="Arial" w:cs="Arial"/>
          <w:sz w:val="20"/>
          <w:szCs w:val="20"/>
          <w:lang w:val="en-GB" w:eastAsia="da-DK"/>
        </w:rPr>
        <w:t>n addition, connections to the ground infrastructure can be used to manually disable transmissions, and the airborne radios will automatically be disabled if the connection to the ground infrastructure is lost for a certain period of time.</w:t>
      </w:r>
    </w:p>
    <w:p w:rsidR="005E4537" w:rsidRPr="005E4537" w:rsidRDefault="005E4537" w:rsidP="001A75CF">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Tests are planned until March 2019.</w:t>
      </w:r>
      <w:r w:rsidR="009F3EFE">
        <w:rPr>
          <w:rFonts w:ascii="Arial" w:eastAsia="Calibri" w:hAnsi="Arial" w:cs="Arial"/>
          <w:sz w:val="20"/>
          <w:szCs w:val="20"/>
          <w:lang w:val="en-GB" w:eastAsia="da-DK"/>
        </w:rPr>
        <w:t xml:space="preserve"> </w:t>
      </w:r>
      <w:r w:rsidRPr="005E4537">
        <w:rPr>
          <w:rFonts w:ascii="Arial" w:eastAsia="Calibri" w:hAnsi="Arial" w:cs="Arial"/>
          <w:sz w:val="20"/>
          <w:szCs w:val="20"/>
          <w:lang w:val="en-GB" w:eastAsia="da-DK"/>
        </w:rPr>
        <w:t xml:space="preserve">Loon </w:t>
      </w:r>
      <w:r>
        <w:rPr>
          <w:rFonts w:ascii="Arial" w:eastAsia="Calibri" w:hAnsi="Arial" w:cs="Arial"/>
          <w:sz w:val="20"/>
          <w:szCs w:val="20"/>
          <w:lang w:val="en-GB" w:eastAsia="da-DK"/>
        </w:rPr>
        <w:t xml:space="preserve">had </w:t>
      </w:r>
      <w:r w:rsidRPr="005E4537">
        <w:rPr>
          <w:rFonts w:ascii="Arial" w:eastAsia="Calibri" w:hAnsi="Arial" w:cs="Arial"/>
          <w:sz w:val="20"/>
          <w:szCs w:val="20"/>
          <w:lang w:val="en-GB" w:eastAsia="da-DK"/>
        </w:rPr>
        <w:t xml:space="preserve">previously </w:t>
      </w:r>
      <w:r>
        <w:rPr>
          <w:rFonts w:ascii="Arial" w:eastAsia="Calibri" w:hAnsi="Arial" w:cs="Arial"/>
          <w:sz w:val="20"/>
          <w:szCs w:val="20"/>
          <w:lang w:val="en-GB" w:eastAsia="da-DK"/>
        </w:rPr>
        <w:t>been</w:t>
      </w:r>
      <w:r w:rsidRPr="005E4537">
        <w:rPr>
          <w:rFonts w:ascii="Arial" w:eastAsia="Calibri" w:hAnsi="Arial" w:cs="Arial"/>
          <w:sz w:val="20"/>
          <w:szCs w:val="20"/>
          <w:lang w:val="en-GB" w:eastAsia="da-DK"/>
        </w:rPr>
        <w:t xml:space="preserve"> granted authority to use </w:t>
      </w:r>
      <w:r>
        <w:rPr>
          <w:rFonts w:ascii="Arial" w:eastAsia="Calibri" w:hAnsi="Arial" w:cs="Arial"/>
          <w:sz w:val="20"/>
          <w:szCs w:val="20"/>
          <w:lang w:val="en-GB" w:eastAsia="da-DK"/>
        </w:rPr>
        <w:t>the 800 MHz</w:t>
      </w:r>
      <w:r w:rsidRPr="005E4537">
        <w:rPr>
          <w:rFonts w:ascii="Arial" w:eastAsia="Calibri" w:hAnsi="Arial" w:cs="Arial"/>
          <w:sz w:val="20"/>
          <w:szCs w:val="20"/>
          <w:lang w:val="en-GB" w:eastAsia="da-DK"/>
        </w:rPr>
        <w:t xml:space="preserve"> </w:t>
      </w:r>
      <w:r>
        <w:rPr>
          <w:rFonts w:ascii="Arial" w:eastAsia="Calibri" w:hAnsi="Arial" w:cs="Arial"/>
          <w:sz w:val="20"/>
          <w:szCs w:val="20"/>
          <w:lang w:val="en-GB" w:eastAsia="da-DK"/>
        </w:rPr>
        <w:t>for a limited period.</w:t>
      </w:r>
    </w:p>
    <w:p w:rsidR="005E4537" w:rsidRDefault="005E4537" w:rsidP="001A75CF">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Loon started as a “</w:t>
      </w:r>
      <w:proofErr w:type="spellStart"/>
      <w:r>
        <w:rPr>
          <w:rFonts w:ascii="Arial" w:eastAsia="Calibri" w:hAnsi="Arial" w:cs="Arial"/>
          <w:sz w:val="20"/>
          <w:szCs w:val="20"/>
          <w:lang w:val="en-GB" w:eastAsia="da-DK"/>
        </w:rPr>
        <w:t>moonshot</w:t>
      </w:r>
      <w:proofErr w:type="spellEnd"/>
      <w:r>
        <w:rPr>
          <w:rFonts w:ascii="Arial" w:eastAsia="Calibri" w:hAnsi="Arial" w:cs="Arial"/>
          <w:sz w:val="20"/>
          <w:szCs w:val="20"/>
          <w:lang w:val="en-GB" w:eastAsia="da-DK"/>
        </w:rPr>
        <w:t>” project within Google “X” in 2011, but now has independent status within the Alphabet parent company.</w:t>
      </w:r>
    </w:p>
    <w:p w:rsidR="005E4537" w:rsidRPr="005E4537" w:rsidRDefault="009F3EFE" w:rsidP="001A75CF">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Initial pilots were conducted in New Zealand in 2013. T</w:t>
      </w:r>
      <w:r w:rsidR="005E4537" w:rsidRPr="005E4537">
        <w:rPr>
          <w:rFonts w:ascii="Arial" w:eastAsia="Calibri" w:hAnsi="Arial" w:cs="Arial"/>
          <w:sz w:val="20"/>
          <w:szCs w:val="20"/>
          <w:lang w:val="en-GB" w:eastAsia="da-DK"/>
        </w:rPr>
        <w:t xml:space="preserve">he technology </w:t>
      </w:r>
      <w:r>
        <w:rPr>
          <w:rFonts w:ascii="Arial" w:eastAsia="Calibri" w:hAnsi="Arial" w:cs="Arial"/>
          <w:sz w:val="20"/>
          <w:szCs w:val="20"/>
          <w:lang w:val="en-GB" w:eastAsia="da-DK"/>
        </w:rPr>
        <w:t xml:space="preserve">has since been developed </w:t>
      </w:r>
      <w:r w:rsidR="005E4537" w:rsidRPr="005E4537">
        <w:rPr>
          <w:rFonts w:ascii="Arial" w:eastAsia="Calibri" w:hAnsi="Arial" w:cs="Arial"/>
          <w:sz w:val="20"/>
          <w:szCs w:val="20"/>
          <w:lang w:val="en-GB" w:eastAsia="da-DK"/>
        </w:rPr>
        <w:t>so that it works with operators’ terrestrial networks. Loon transmits an operator’s signal from connection points on the ground, beams it across balloons in the stratosphere, and then sends that signa</w:t>
      </w:r>
      <w:r>
        <w:rPr>
          <w:rFonts w:ascii="Arial" w:eastAsia="Calibri" w:hAnsi="Arial" w:cs="Arial"/>
          <w:sz w:val="20"/>
          <w:szCs w:val="20"/>
          <w:lang w:val="en-GB" w:eastAsia="da-DK"/>
        </w:rPr>
        <w:t>l back to a user’s LTE device.</w:t>
      </w:r>
    </w:p>
    <w:p w:rsidR="005E4537" w:rsidRDefault="005E4537" w:rsidP="001A75CF">
      <w:pPr>
        <w:spacing w:before="240" w:after="60" w:line="240" w:lineRule="auto"/>
        <w:jc w:val="both"/>
        <w:outlineLvl w:val="0"/>
        <w:rPr>
          <w:rFonts w:ascii="Arial" w:eastAsia="Calibri" w:hAnsi="Arial" w:cs="Arial"/>
          <w:sz w:val="20"/>
          <w:szCs w:val="20"/>
          <w:lang w:val="en-GB" w:eastAsia="da-DK"/>
        </w:rPr>
      </w:pPr>
      <w:r w:rsidRPr="005E4537">
        <w:rPr>
          <w:rFonts w:ascii="Arial" w:eastAsia="Calibri" w:hAnsi="Arial" w:cs="Arial"/>
          <w:sz w:val="20"/>
          <w:szCs w:val="20"/>
          <w:lang w:val="en-GB" w:eastAsia="da-DK"/>
        </w:rPr>
        <w:t>Last year, Loon worked with U.S. mobile operators to provide internet service to thou</w:t>
      </w:r>
      <w:r w:rsidR="009F3EFE">
        <w:rPr>
          <w:rFonts w:ascii="Arial" w:eastAsia="Calibri" w:hAnsi="Arial" w:cs="Arial"/>
          <w:sz w:val="20"/>
          <w:szCs w:val="20"/>
          <w:lang w:val="en-GB" w:eastAsia="da-DK"/>
        </w:rPr>
        <w:t xml:space="preserve">sands of people in Puerto Rico following Hurricane Maria. </w:t>
      </w:r>
    </w:p>
    <w:p w:rsidR="001C2E7A" w:rsidRPr="001C2E7A" w:rsidRDefault="00C845BF" w:rsidP="001A75CF">
      <w:pPr>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Other </w:t>
      </w:r>
      <w:r w:rsidR="001C2E7A">
        <w:rPr>
          <w:rFonts w:ascii="Arial" w:eastAsia="Calibri" w:hAnsi="Arial" w:cs="Arial"/>
          <w:sz w:val="20"/>
          <w:szCs w:val="20"/>
          <w:lang w:val="en-GB" w:eastAsia="da-DK"/>
        </w:rPr>
        <w:t xml:space="preserve">projects and products </w:t>
      </w:r>
      <w:r>
        <w:rPr>
          <w:rFonts w:ascii="Arial" w:eastAsia="Calibri" w:hAnsi="Arial" w:cs="Arial"/>
          <w:sz w:val="20"/>
          <w:szCs w:val="20"/>
          <w:lang w:val="en-GB" w:eastAsia="da-DK"/>
        </w:rPr>
        <w:t xml:space="preserve">also </w:t>
      </w:r>
      <w:r w:rsidR="001C2E7A">
        <w:rPr>
          <w:rFonts w:ascii="Arial" w:eastAsia="Calibri" w:hAnsi="Arial" w:cs="Arial"/>
          <w:sz w:val="20"/>
          <w:szCs w:val="20"/>
          <w:lang w:val="en-GB" w:eastAsia="da-DK"/>
        </w:rPr>
        <w:t>exist</w:t>
      </w:r>
      <w:r>
        <w:rPr>
          <w:rFonts w:ascii="Arial" w:eastAsia="Calibri" w:hAnsi="Arial" w:cs="Arial"/>
          <w:sz w:val="20"/>
          <w:szCs w:val="20"/>
          <w:lang w:val="en-GB" w:eastAsia="da-DK"/>
        </w:rPr>
        <w:t xml:space="preserve"> which</w:t>
      </w:r>
      <w:r w:rsidR="001C2E7A">
        <w:rPr>
          <w:rFonts w:ascii="Arial" w:eastAsia="Calibri" w:hAnsi="Arial" w:cs="Arial"/>
          <w:sz w:val="20"/>
          <w:szCs w:val="20"/>
          <w:lang w:val="en-GB" w:eastAsia="da-DK"/>
        </w:rPr>
        <w:t xml:space="preserve"> </w:t>
      </w:r>
      <w:r>
        <w:rPr>
          <w:rFonts w:ascii="Arial" w:eastAsia="Calibri" w:hAnsi="Arial" w:cs="Arial"/>
          <w:sz w:val="20"/>
          <w:szCs w:val="20"/>
          <w:lang w:val="en-GB" w:eastAsia="da-DK"/>
        </w:rPr>
        <w:t xml:space="preserve">use </w:t>
      </w:r>
      <w:r w:rsidR="001C2E7A">
        <w:rPr>
          <w:rFonts w:ascii="Arial" w:eastAsia="Calibri" w:hAnsi="Arial" w:cs="Arial"/>
          <w:sz w:val="20"/>
          <w:szCs w:val="20"/>
          <w:lang w:val="en-GB" w:eastAsia="da-DK"/>
        </w:rPr>
        <w:t>balloons for a</w:t>
      </w:r>
      <w:r w:rsidR="001C2E7A" w:rsidRPr="001C2E7A">
        <w:rPr>
          <w:rFonts w:ascii="Arial" w:eastAsia="Calibri" w:hAnsi="Arial" w:cs="Arial"/>
          <w:sz w:val="20"/>
          <w:szCs w:val="20"/>
          <w:lang w:val="en-GB" w:eastAsia="da-DK"/>
        </w:rPr>
        <w:t xml:space="preserve">irborne </w:t>
      </w:r>
      <w:r w:rsidR="001C2E7A">
        <w:rPr>
          <w:rFonts w:ascii="Arial" w:eastAsia="Calibri" w:hAnsi="Arial" w:cs="Arial"/>
          <w:sz w:val="20"/>
          <w:szCs w:val="20"/>
          <w:lang w:val="en-GB" w:eastAsia="da-DK"/>
        </w:rPr>
        <w:t>b</w:t>
      </w:r>
      <w:r w:rsidR="001C2E7A" w:rsidRPr="001C2E7A">
        <w:rPr>
          <w:rFonts w:ascii="Arial" w:eastAsia="Calibri" w:hAnsi="Arial" w:cs="Arial"/>
          <w:sz w:val="20"/>
          <w:szCs w:val="20"/>
          <w:lang w:val="en-GB" w:eastAsia="da-DK"/>
        </w:rPr>
        <w:t xml:space="preserve">ase </w:t>
      </w:r>
      <w:r w:rsidR="001C2E7A">
        <w:rPr>
          <w:rFonts w:ascii="Arial" w:eastAsia="Calibri" w:hAnsi="Arial" w:cs="Arial"/>
          <w:sz w:val="20"/>
          <w:szCs w:val="20"/>
          <w:lang w:val="en-GB" w:eastAsia="da-DK"/>
        </w:rPr>
        <w:t>s</w:t>
      </w:r>
      <w:r w:rsidR="001C2E7A" w:rsidRPr="001C2E7A">
        <w:rPr>
          <w:rFonts w:ascii="Arial" w:eastAsia="Calibri" w:hAnsi="Arial" w:cs="Arial"/>
          <w:sz w:val="20"/>
          <w:szCs w:val="20"/>
          <w:lang w:val="en-GB" w:eastAsia="da-DK"/>
        </w:rPr>
        <w:t>tations</w:t>
      </w:r>
      <w:r w:rsidR="001C2E7A">
        <w:rPr>
          <w:rFonts w:ascii="Arial" w:eastAsia="Calibri" w:hAnsi="Arial" w:cs="Arial"/>
          <w:sz w:val="20"/>
          <w:szCs w:val="20"/>
          <w:lang w:val="en-GB" w:eastAsia="da-DK"/>
        </w:rPr>
        <w:t xml:space="preserve">, e.g. </w:t>
      </w:r>
      <w:r w:rsidR="001C2E7A" w:rsidRPr="001C2E7A">
        <w:rPr>
          <w:rFonts w:ascii="Arial" w:eastAsia="Calibri" w:hAnsi="Arial" w:cs="Arial"/>
          <w:sz w:val="20"/>
          <w:szCs w:val="20"/>
          <w:lang w:val="en-GB" w:eastAsia="da-DK"/>
        </w:rPr>
        <w:t xml:space="preserve">for </w:t>
      </w:r>
      <w:r w:rsidR="001C2E7A">
        <w:rPr>
          <w:rFonts w:ascii="Arial" w:eastAsia="Calibri" w:hAnsi="Arial" w:cs="Arial"/>
          <w:sz w:val="20"/>
          <w:szCs w:val="20"/>
          <w:lang w:val="en-GB" w:eastAsia="da-DK"/>
        </w:rPr>
        <w:t>e</w:t>
      </w:r>
      <w:r w:rsidR="001C2E7A" w:rsidRPr="001C2E7A">
        <w:rPr>
          <w:rFonts w:ascii="Arial" w:eastAsia="Calibri" w:hAnsi="Arial" w:cs="Arial"/>
          <w:sz w:val="20"/>
          <w:szCs w:val="20"/>
          <w:lang w:val="en-GB" w:eastAsia="da-DK"/>
        </w:rPr>
        <w:t>mergency</w:t>
      </w:r>
      <w:r w:rsidR="001C2E7A">
        <w:rPr>
          <w:rFonts w:ascii="Arial" w:eastAsia="Calibri" w:hAnsi="Arial" w:cs="Arial"/>
          <w:sz w:val="20"/>
          <w:szCs w:val="20"/>
          <w:lang w:val="en-GB" w:eastAsia="da-DK"/>
        </w:rPr>
        <w:t xml:space="preserve"> (disaster relief), </w:t>
      </w:r>
      <w:r>
        <w:rPr>
          <w:rFonts w:ascii="Arial" w:eastAsia="Calibri" w:hAnsi="Arial" w:cs="Arial"/>
          <w:sz w:val="20"/>
          <w:szCs w:val="20"/>
          <w:lang w:val="en-GB" w:eastAsia="da-DK"/>
        </w:rPr>
        <w:t>defence</w:t>
      </w:r>
      <w:r w:rsidR="001C2E7A">
        <w:rPr>
          <w:rFonts w:ascii="Arial" w:eastAsia="Calibri" w:hAnsi="Arial" w:cs="Arial"/>
          <w:sz w:val="20"/>
          <w:szCs w:val="20"/>
          <w:lang w:val="en-GB" w:eastAsia="da-DK"/>
        </w:rPr>
        <w:t>, t</w:t>
      </w:r>
      <w:r w:rsidR="001C2E7A" w:rsidRPr="001C2E7A">
        <w:rPr>
          <w:rFonts w:ascii="Arial" w:eastAsia="Calibri" w:hAnsi="Arial" w:cs="Arial"/>
          <w:sz w:val="20"/>
          <w:szCs w:val="20"/>
          <w:lang w:val="en-GB" w:eastAsia="da-DK"/>
        </w:rPr>
        <w:t xml:space="preserve">emporary </w:t>
      </w:r>
      <w:r w:rsidR="001C2E7A">
        <w:rPr>
          <w:rFonts w:ascii="Arial" w:eastAsia="Calibri" w:hAnsi="Arial" w:cs="Arial"/>
          <w:sz w:val="20"/>
          <w:szCs w:val="20"/>
          <w:lang w:val="en-GB" w:eastAsia="da-DK"/>
        </w:rPr>
        <w:t>e</w:t>
      </w:r>
      <w:r w:rsidR="001C2E7A" w:rsidRPr="001C2E7A">
        <w:rPr>
          <w:rFonts w:ascii="Arial" w:eastAsia="Calibri" w:hAnsi="Arial" w:cs="Arial"/>
          <w:sz w:val="20"/>
          <w:szCs w:val="20"/>
          <w:lang w:val="en-GB" w:eastAsia="da-DK"/>
        </w:rPr>
        <w:t>vents</w:t>
      </w:r>
      <w:r w:rsidR="001C2E7A">
        <w:rPr>
          <w:rFonts w:ascii="Arial" w:eastAsia="Calibri" w:hAnsi="Arial" w:cs="Arial"/>
          <w:sz w:val="20"/>
          <w:szCs w:val="20"/>
          <w:lang w:val="en-GB" w:eastAsia="da-DK"/>
        </w:rPr>
        <w:t xml:space="preserve">, surveillance, or local capacity provision in rural areas. Such platforms provide normally HD </w:t>
      </w:r>
      <w:r w:rsidR="001C2E7A" w:rsidRPr="001C2E7A">
        <w:rPr>
          <w:rFonts w:ascii="Arial" w:eastAsia="Calibri" w:hAnsi="Arial" w:cs="Arial"/>
          <w:sz w:val="20"/>
          <w:szCs w:val="20"/>
          <w:lang w:val="en-GB" w:eastAsia="da-DK"/>
        </w:rPr>
        <w:t>camera</w:t>
      </w:r>
      <w:r w:rsidR="001C2E7A">
        <w:rPr>
          <w:rFonts w:ascii="Arial" w:eastAsia="Calibri" w:hAnsi="Arial" w:cs="Arial"/>
          <w:sz w:val="20"/>
          <w:szCs w:val="20"/>
          <w:lang w:val="en-GB" w:eastAsia="da-DK"/>
        </w:rPr>
        <w:t xml:space="preserve">s (video link downlinked in real-time) and </w:t>
      </w:r>
      <w:r w:rsidR="001C2E7A" w:rsidRPr="001C2E7A">
        <w:rPr>
          <w:rFonts w:ascii="Arial" w:eastAsia="Calibri" w:hAnsi="Arial" w:cs="Arial"/>
          <w:sz w:val="20"/>
          <w:szCs w:val="20"/>
          <w:lang w:val="en-GB" w:eastAsia="da-DK"/>
        </w:rPr>
        <w:t>miniaturised 4G/LTE modem</w:t>
      </w:r>
      <w:r w:rsidR="001C2E7A">
        <w:rPr>
          <w:rFonts w:ascii="Arial" w:eastAsia="Calibri" w:hAnsi="Arial" w:cs="Arial"/>
          <w:sz w:val="20"/>
          <w:szCs w:val="20"/>
          <w:lang w:val="en-GB" w:eastAsia="da-DK"/>
        </w:rPr>
        <w:t>s, and the payload is within a range between 3 to 10 kg. Because of changing frequency utilisation conditions from country-to-country, the payloads often have software defined radio capabilities and can be customised to the requirements for spectrum use at a dedicated location.</w:t>
      </w:r>
    </w:p>
    <w:p w:rsidR="009F3EFE" w:rsidRDefault="001C2E7A" w:rsidP="001A75CF">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 </w:t>
      </w:r>
      <w:r w:rsidR="009F3EFE" w:rsidRPr="004F3D96">
        <w:rPr>
          <w:rFonts w:ascii="Arial" w:eastAsia="Calibri" w:hAnsi="Arial" w:cs="Arial"/>
          <w:b/>
          <w:sz w:val="20"/>
          <w:szCs w:val="20"/>
          <w:lang w:val="de-DE" w:eastAsia="da-DK"/>
        </w:rPr>
        <w:t xml:space="preserve">(for information in </w:t>
      </w:r>
      <w:r w:rsidR="009F3EFE">
        <w:rPr>
          <w:rFonts w:ascii="Arial" w:eastAsia="Calibri" w:hAnsi="Arial" w:cs="Arial"/>
          <w:b/>
          <w:sz w:val="20"/>
          <w:szCs w:val="20"/>
          <w:lang w:val="de-DE" w:eastAsia="da-DK"/>
        </w:rPr>
        <w:t>ECC PT1, WGFM</w:t>
      </w:r>
      <w:r w:rsidR="009F3EFE" w:rsidRPr="004F3D96">
        <w:rPr>
          <w:rFonts w:ascii="Arial" w:eastAsia="Calibri" w:hAnsi="Arial" w:cs="Arial"/>
          <w:b/>
          <w:sz w:val="20"/>
          <w:szCs w:val="20"/>
          <w:lang w:val="de-DE" w:eastAsia="da-DK"/>
        </w:rPr>
        <w:t>)</w:t>
      </w:r>
    </w:p>
    <w:p w:rsidR="001E56D9" w:rsidRPr="00110835" w:rsidRDefault="00110835"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lastRenderedPageBreak/>
        <w:t xml:space="preserve">M2M via Satellite: </w:t>
      </w:r>
      <w:r w:rsidR="001E56D9" w:rsidRPr="00110835">
        <w:rPr>
          <w:rFonts w:ascii="Arial" w:eastAsia="Times New Roman" w:hAnsi="Arial" w:cs="Arial"/>
          <w:b/>
          <w:bCs/>
          <w:caps/>
          <w:color w:val="D2232A"/>
          <w:kern w:val="32"/>
          <w:sz w:val="20"/>
          <w:szCs w:val="32"/>
          <w:lang w:val="en-US"/>
        </w:rPr>
        <w:t>Orbcomm Launches satellite services in China</w:t>
      </w:r>
    </w:p>
    <w:p w:rsidR="001E56D9" w:rsidRDefault="001E56D9" w:rsidP="00110835">
      <w:pPr>
        <w:keepNext/>
        <w:spacing w:before="240" w:after="60" w:line="240" w:lineRule="auto"/>
        <w:jc w:val="both"/>
        <w:outlineLvl w:val="0"/>
        <w:rPr>
          <w:rFonts w:ascii="Arial" w:eastAsia="Calibri" w:hAnsi="Arial" w:cs="Arial"/>
          <w:sz w:val="20"/>
          <w:szCs w:val="20"/>
          <w:lang w:val="en-GB" w:eastAsia="da-DK"/>
        </w:rPr>
      </w:pPr>
      <w:r w:rsidRPr="00110835">
        <w:rPr>
          <w:rFonts w:ascii="Arial" w:eastAsia="Calibri" w:hAnsi="Arial" w:cs="Arial"/>
          <w:sz w:val="20"/>
          <w:szCs w:val="20"/>
          <w:lang w:val="en-GB" w:eastAsia="da-DK"/>
        </w:rPr>
        <w:t xml:space="preserve">As </w:t>
      </w:r>
      <w:r w:rsidR="00110835" w:rsidRPr="00110835">
        <w:rPr>
          <w:rFonts w:ascii="Arial" w:eastAsia="Calibri" w:hAnsi="Arial" w:cs="Arial"/>
          <w:sz w:val="20"/>
          <w:szCs w:val="20"/>
          <w:lang w:val="en-GB" w:eastAsia="da-DK"/>
        </w:rPr>
        <w:t>announced</w:t>
      </w:r>
      <w:r w:rsidRPr="00110835">
        <w:rPr>
          <w:rFonts w:ascii="Arial" w:eastAsia="Calibri" w:hAnsi="Arial" w:cs="Arial"/>
          <w:sz w:val="20"/>
          <w:szCs w:val="20"/>
          <w:lang w:val="en-GB" w:eastAsia="da-DK"/>
        </w:rPr>
        <w:t xml:space="preserve"> on 3 October 2018, one of the biggest M2M via satellite operators, LEO constellation operator Orbcomm, launched satellite services and solutions targeted at the heavy equipment, transportations and logistics, and maritime industries in China. A Chinese telecommunications operator recently received the authorisation to use Orbcomm’s satellite constellation. Asia Pacific Navigation Telecommunications Satellite (APNTS), ORBCOMM’s local partner in China, will participate in providing service, support and distribution. The companies plan to build a China gateway earth station (GES) to serve as a network link between the Orbcomm satellite system and its worldwide infrastructure. That will enable Orbcomm to more effectively deliver the advanced services provided by its satellite constellation, making communications more efficient, reliable and globally available for industrial internet of things (IoT) customers. Additional Orbcomm GES facilities in China are in the planning stages. The regulatory approval combined with the addition of an Orbcomm GES in China will significantly improve service levels and coverage in the region, as well as provide access to a new high-growth market for deployment of </w:t>
      </w:r>
      <w:proofErr w:type="spellStart"/>
      <w:r w:rsidRPr="00110835">
        <w:rPr>
          <w:rFonts w:ascii="Arial" w:eastAsia="Calibri" w:hAnsi="Arial" w:cs="Arial"/>
          <w:sz w:val="20"/>
          <w:szCs w:val="20"/>
          <w:lang w:val="en-GB" w:eastAsia="da-DK"/>
        </w:rPr>
        <w:t>Orbcomm’s</w:t>
      </w:r>
      <w:proofErr w:type="spellEnd"/>
      <w:r w:rsidRPr="00110835">
        <w:rPr>
          <w:rFonts w:ascii="Arial" w:eastAsia="Calibri" w:hAnsi="Arial" w:cs="Arial"/>
          <w:sz w:val="20"/>
          <w:szCs w:val="20"/>
          <w:lang w:val="en-GB" w:eastAsia="da-DK"/>
        </w:rPr>
        <w:t xml:space="preserve"> industrial </w:t>
      </w:r>
      <w:proofErr w:type="spellStart"/>
      <w:r w:rsidRPr="00110835">
        <w:rPr>
          <w:rFonts w:ascii="Arial" w:eastAsia="Calibri" w:hAnsi="Arial" w:cs="Arial"/>
          <w:sz w:val="20"/>
          <w:szCs w:val="20"/>
          <w:lang w:val="en-GB" w:eastAsia="da-DK"/>
        </w:rPr>
        <w:t>IoT</w:t>
      </w:r>
      <w:proofErr w:type="spellEnd"/>
      <w:r w:rsidR="00110835">
        <w:rPr>
          <w:rFonts w:ascii="Arial" w:eastAsia="Calibri" w:hAnsi="Arial" w:cs="Arial"/>
          <w:sz w:val="20"/>
          <w:szCs w:val="20"/>
          <w:lang w:val="en-GB" w:eastAsia="da-DK"/>
        </w:rPr>
        <w:t>/M2M</w:t>
      </w:r>
      <w:r w:rsidRPr="00110835">
        <w:rPr>
          <w:rFonts w:ascii="Arial" w:eastAsia="Calibri" w:hAnsi="Arial" w:cs="Arial"/>
          <w:sz w:val="20"/>
          <w:szCs w:val="20"/>
          <w:lang w:val="en-GB" w:eastAsia="da-DK"/>
        </w:rPr>
        <w:t xml:space="preserve"> solutions. Orbcomm targets especially the transportation and logistics and maritime industries</w:t>
      </w:r>
      <w:r w:rsidR="00110835" w:rsidRPr="00110835">
        <w:rPr>
          <w:rFonts w:ascii="Arial" w:eastAsia="Calibri" w:hAnsi="Arial" w:cs="Arial"/>
          <w:sz w:val="20"/>
          <w:szCs w:val="20"/>
          <w:lang w:val="en-GB" w:eastAsia="da-DK"/>
        </w:rPr>
        <w:t xml:space="preserve"> with solutions to </w:t>
      </w:r>
      <w:r w:rsidRPr="00110835">
        <w:rPr>
          <w:rFonts w:ascii="Arial" w:eastAsia="Calibri" w:hAnsi="Arial" w:cs="Arial"/>
          <w:sz w:val="20"/>
          <w:szCs w:val="20"/>
          <w:lang w:val="en-GB" w:eastAsia="da-DK"/>
        </w:rPr>
        <w:t xml:space="preserve">improve the efficiency and performance of </w:t>
      </w:r>
      <w:r w:rsidR="00110835" w:rsidRPr="00110835">
        <w:rPr>
          <w:rFonts w:ascii="Arial" w:eastAsia="Calibri" w:hAnsi="Arial" w:cs="Arial"/>
          <w:sz w:val="20"/>
          <w:szCs w:val="20"/>
          <w:lang w:val="en-GB" w:eastAsia="da-DK"/>
        </w:rPr>
        <w:t xml:space="preserve">such </w:t>
      </w:r>
      <w:proofErr w:type="gramStart"/>
      <w:r w:rsidR="00485B3D" w:rsidRPr="00110835">
        <w:rPr>
          <w:rFonts w:ascii="Arial" w:eastAsia="Calibri" w:hAnsi="Arial" w:cs="Arial"/>
          <w:sz w:val="20"/>
          <w:szCs w:val="20"/>
          <w:lang w:val="en-GB" w:eastAsia="da-DK"/>
        </w:rPr>
        <w:t>businesses‘</w:t>
      </w:r>
      <w:r w:rsidR="00485B3D">
        <w:rPr>
          <w:rFonts w:ascii="Arial" w:eastAsia="Calibri" w:hAnsi="Arial" w:cs="Arial"/>
          <w:sz w:val="20"/>
          <w:szCs w:val="20"/>
          <w:lang w:val="en-GB" w:eastAsia="da-DK"/>
        </w:rPr>
        <w:t xml:space="preserve"> </w:t>
      </w:r>
      <w:r w:rsidR="00485B3D" w:rsidRPr="00110835">
        <w:rPr>
          <w:rFonts w:ascii="Arial" w:eastAsia="Calibri" w:hAnsi="Arial" w:cs="Arial"/>
          <w:sz w:val="20"/>
          <w:szCs w:val="20"/>
          <w:lang w:val="en-GB" w:eastAsia="da-DK"/>
        </w:rPr>
        <w:t>operations</w:t>
      </w:r>
      <w:proofErr w:type="gramEnd"/>
      <w:r w:rsidR="00110835">
        <w:rPr>
          <w:rFonts w:ascii="Arial" w:eastAsia="Calibri" w:hAnsi="Arial" w:cs="Arial"/>
          <w:sz w:val="20"/>
          <w:szCs w:val="20"/>
          <w:lang w:val="en-GB" w:eastAsia="da-DK"/>
        </w:rPr>
        <w:t xml:space="preserve">, e.g. also by </w:t>
      </w:r>
      <w:r w:rsidR="00110835" w:rsidRPr="00110835">
        <w:rPr>
          <w:rFonts w:ascii="Arial" w:eastAsia="Calibri" w:hAnsi="Arial" w:cs="Arial"/>
          <w:sz w:val="20"/>
          <w:szCs w:val="20"/>
          <w:lang w:val="en-GB" w:eastAsia="da-DK"/>
        </w:rPr>
        <w:t>remotely track, monitor, and control fixed and mobile assets</w:t>
      </w:r>
      <w:r w:rsidR="00110835">
        <w:rPr>
          <w:rFonts w:ascii="Arial" w:eastAsia="Calibri" w:hAnsi="Arial" w:cs="Arial"/>
          <w:sz w:val="20"/>
          <w:szCs w:val="20"/>
          <w:lang w:val="en-GB" w:eastAsia="da-DK"/>
        </w:rPr>
        <w:t>. Seeing the amount of trade, in particular in, from and to, Europe and China/Asia, this development seems to be important.</w:t>
      </w:r>
    </w:p>
    <w:p w:rsidR="008D69C0" w:rsidRDefault="008D69C0" w:rsidP="008D69C0">
      <w:pPr>
        <w:keepNext/>
        <w:spacing w:before="240" w:after="60" w:line="240" w:lineRule="auto"/>
        <w:jc w:val="both"/>
        <w:outlineLvl w:val="0"/>
        <w:rPr>
          <w:rFonts w:ascii="Arial" w:eastAsia="Calibri" w:hAnsi="Arial" w:cs="Arial"/>
          <w:sz w:val="20"/>
          <w:szCs w:val="20"/>
          <w:lang w:val="en-GB" w:eastAsia="da-DK"/>
        </w:rPr>
      </w:pPr>
      <w:r>
        <w:rPr>
          <w:rFonts w:ascii="Arial" w:eastAsia="Calibri" w:hAnsi="Arial" w:cs="Arial"/>
          <w:sz w:val="20"/>
          <w:szCs w:val="20"/>
          <w:lang w:val="en-GB" w:eastAsia="da-DK"/>
        </w:rPr>
        <w:t xml:space="preserve">Note that in Europe, </w:t>
      </w:r>
      <w:r w:rsidRPr="008D69C0">
        <w:rPr>
          <w:rFonts w:ascii="Arial" w:eastAsia="Calibri" w:hAnsi="Arial" w:cs="Arial"/>
          <w:sz w:val="20"/>
          <w:szCs w:val="20"/>
          <w:lang w:val="en-GB" w:eastAsia="da-DK"/>
        </w:rPr>
        <w:t>ECTRA Decision (99)02</w:t>
      </w:r>
      <w:r>
        <w:rPr>
          <w:rFonts w:ascii="Arial" w:eastAsia="Calibri" w:hAnsi="Arial" w:cs="Arial"/>
          <w:sz w:val="20"/>
          <w:szCs w:val="20"/>
          <w:lang w:val="en-GB" w:eastAsia="da-DK"/>
        </w:rPr>
        <w:t xml:space="preserve">, </w:t>
      </w:r>
      <w:r w:rsidRPr="008D69C0">
        <w:rPr>
          <w:rFonts w:ascii="Arial" w:eastAsia="Calibri" w:hAnsi="Arial" w:cs="Arial"/>
          <w:sz w:val="20"/>
          <w:szCs w:val="20"/>
          <w:lang w:val="en-GB" w:eastAsia="da-DK"/>
        </w:rPr>
        <w:t>ECC/</w:t>
      </w:r>
      <w:proofErr w:type="gramStart"/>
      <w:r w:rsidRPr="008D69C0">
        <w:rPr>
          <w:rFonts w:ascii="Arial" w:eastAsia="Calibri" w:hAnsi="Arial" w:cs="Arial"/>
          <w:sz w:val="20"/>
          <w:szCs w:val="20"/>
          <w:lang w:val="en-GB" w:eastAsia="da-DK"/>
        </w:rPr>
        <w:t>DEC(</w:t>
      </w:r>
      <w:proofErr w:type="gramEnd"/>
      <w:r w:rsidRPr="008D69C0">
        <w:rPr>
          <w:rFonts w:ascii="Arial" w:eastAsia="Calibri" w:hAnsi="Arial" w:cs="Arial"/>
          <w:sz w:val="20"/>
          <w:szCs w:val="20"/>
          <w:lang w:val="en-GB" w:eastAsia="da-DK"/>
        </w:rPr>
        <w:t>99)0</w:t>
      </w:r>
      <w:r>
        <w:rPr>
          <w:rFonts w:ascii="Arial" w:eastAsia="Calibri" w:hAnsi="Arial" w:cs="Arial"/>
          <w:sz w:val="20"/>
          <w:szCs w:val="20"/>
          <w:lang w:val="en-GB" w:eastAsia="da-DK"/>
        </w:rPr>
        <w:t xml:space="preserve">5 and ECC/DEC/(99)06 are in place. These Decisions have not been amended since 1999. </w:t>
      </w:r>
      <w:r w:rsidR="007449E4">
        <w:rPr>
          <w:rFonts w:ascii="Arial" w:eastAsia="Calibri" w:hAnsi="Arial" w:cs="Arial"/>
          <w:sz w:val="20"/>
          <w:szCs w:val="20"/>
          <w:lang w:val="en-GB" w:eastAsia="da-DK"/>
        </w:rPr>
        <w:t xml:space="preserve">The overall implementation situation has still not achieved full European harmonisation for S-PCS below 1 GHz (those systems are typically based on LEO satellite orbits). As an example, for </w:t>
      </w:r>
      <w:r w:rsidR="007449E4" w:rsidRPr="007449E4">
        <w:rPr>
          <w:rFonts w:ascii="Arial" w:eastAsia="Calibri" w:hAnsi="Arial" w:cs="Arial"/>
          <w:sz w:val="20"/>
          <w:szCs w:val="20"/>
          <w:lang w:val="en-GB" w:eastAsia="da-DK"/>
        </w:rPr>
        <w:t>399.9-400.05 MHz</w:t>
      </w:r>
      <w:r w:rsidR="007449E4">
        <w:rPr>
          <w:rFonts w:ascii="Arial" w:eastAsia="Calibri" w:hAnsi="Arial" w:cs="Arial"/>
          <w:sz w:val="20"/>
          <w:szCs w:val="20"/>
          <w:lang w:val="en-GB" w:eastAsia="da-DK"/>
        </w:rPr>
        <w:t>/</w:t>
      </w:r>
      <w:r w:rsidR="007449E4" w:rsidRPr="007449E4">
        <w:rPr>
          <w:rFonts w:ascii="Arial" w:eastAsia="Calibri" w:hAnsi="Arial" w:cs="Arial"/>
          <w:sz w:val="20"/>
          <w:szCs w:val="20"/>
          <w:lang w:val="en-GB" w:eastAsia="da-DK"/>
        </w:rPr>
        <w:t>400.15-401</w:t>
      </w:r>
      <w:r w:rsidR="007449E4">
        <w:rPr>
          <w:rFonts w:ascii="Arial" w:eastAsia="Calibri" w:hAnsi="Arial" w:cs="Arial"/>
          <w:sz w:val="20"/>
          <w:szCs w:val="20"/>
          <w:lang w:val="en-GB" w:eastAsia="da-DK"/>
        </w:rPr>
        <w:t xml:space="preserve"> MHz, there are currently 27 satellite network filings at the ITU registered. A review in FM44 might be required (noting also the work on a new draft ECC Report on M2M via satellite).</w:t>
      </w:r>
    </w:p>
    <w:p w:rsidR="00C845BF" w:rsidRDefault="00C845BF" w:rsidP="00C845BF">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WGFM, FM44</w:t>
      </w:r>
      <w:r w:rsidRPr="004F3D96">
        <w:rPr>
          <w:rFonts w:ascii="Arial" w:eastAsia="Calibri" w:hAnsi="Arial" w:cs="Arial"/>
          <w:b/>
          <w:sz w:val="20"/>
          <w:szCs w:val="20"/>
          <w:lang w:val="de-DE" w:eastAsia="da-DK"/>
        </w:rPr>
        <w:t>)</w:t>
      </w:r>
    </w:p>
    <w:p w:rsidR="00BA0702" w:rsidRPr="00BA0702" w:rsidRDefault="00BA0702"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BA0702">
        <w:rPr>
          <w:rFonts w:ascii="Arial" w:eastAsia="Times New Roman" w:hAnsi="Arial" w:cs="Arial"/>
          <w:b/>
          <w:bCs/>
          <w:caps/>
          <w:color w:val="D2232A"/>
          <w:kern w:val="32"/>
          <w:sz w:val="20"/>
          <w:szCs w:val="32"/>
          <w:lang w:val="en-US"/>
        </w:rPr>
        <w:t>Globalstar provides evidence about noise rise in 5150-5250 MHz and requests FCC investigations</w:t>
      </w:r>
      <w:r w:rsidR="008D69C0">
        <w:rPr>
          <w:rFonts w:ascii="Arial" w:eastAsia="Times New Roman" w:hAnsi="Arial" w:cs="Arial"/>
          <w:b/>
          <w:bCs/>
          <w:caps/>
          <w:color w:val="D2232A"/>
          <w:kern w:val="32"/>
          <w:sz w:val="20"/>
          <w:szCs w:val="32"/>
          <w:lang w:val="en-US"/>
        </w:rPr>
        <w:t>; and Chile changing regulations in 5150-5250 MHz</w:t>
      </w:r>
    </w:p>
    <w:p w:rsidR="00BA0702" w:rsidRPr="00AD6ABA" w:rsidRDefault="00BA0702" w:rsidP="00B43306">
      <w:pPr>
        <w:spacing w:before="240" w:after="240" w:line="240" w:lineRule="auto"/>
        <w:jc w:val="both"/>
        <w:rPr>
          <w:rFonts w:ascii="Arial" w:eastAsia="Times New Roman" w:hAnsi="Arial" w:cs="Arial"/>
          <w:sz w:val="20"/>
          <w:szCs w:val="20"/>
          <w:lang w:val="en-US" w:eastAsia="da-DK"/>
        </w:rPr>
      </w:pPr>
      <w:r w:rsidRPr="00AD6ABA">
        <w:rPr>
          <w:rFonts w:ascii="Arial" w:eastAsia="Times New Roman" w:hAnsi="Arial" w:cs="Arial"/>
          <w:sz w:val="20"/>
          <w:szCs w:val="20"/>
          <w:lang w:val="en-US" w:eastAsia="da-DK"/>
        </w:rPr>
        <w:t xml:space="preserve">Mobile satellite services (MSS) provider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said harmful interference </w:t>
      </w:r>
      <w:r w:rsidRPr="00BA0702">
        <w:rPr>
          <w:rFonts w:ascii="Arial" w:eastAsia="Times New Roman" w:hAnsi="Arial" w:cs="Arial"/>
          <w:sz w:val="20"/>
          <w:szCs w:val="20"/>
          <w:lang w:val="en-US" w:eastAsia="da-DK"/>
        </w:rPr>
        <w:t xml:space="preserve">is </w:t>
      </w:r>
      <w:r w:rsidRPr="00AD6ABA">
        <w:rPr>
          <w:rFonts w:ascii="Arial" w:eastAsia="Times New Roman" w:hAnsi="Arial" w:cs="Arial"/>
          <w:sz w:val="20"/>
          <w:szCs w:val="20"/>
          <w:lang w:val="en-US" w:eastAsia="da-DK"/>
        </w:rPr>
        <w:t>seriously degrad</w:t>
      </w:r>
      <w:r w:rsidRPr="00BA0702">
        <w:rPr>
          <w:rFonts w:ascii="Arial" w:eastAsia="Times New Roman" w:hAnsi="Arial" w:cs="Arial"/>
          <w:sz w:val="20"/>
          <w:szCs w:val="20"/>
          <w:lang w:val="en-US" w:eastAsia="da-DK"/>
        </w:rPr>
        <w:t>ing</w:t>
      </w:r>
      <w:r w:rsidRPr="00AD6ABA">
        <w:rPr>
          <w:rFonts w:ascii="Arial" w:eastAsia="Times New Roman" w:hAnsi="Arial" w:cs="Arial"/>
          <w:sz w:val="20"/>
          <w:szCs w:val="20"/>
          <w:lang w:val="en-US" w:eastAsia="da-DK"/>
        </w:rPr>
        <w:t xml:space="preserve"> </w:t>
      </w:r>
      <w:proofErr w:type="spellStart"/>
      <w:r w:rsidRPr="00AD6ABA">
        <w:rPr>
          <w:rFonts w:ascii="Arial" w:eastAsia="Times New Roman" w:hAnsi="Arial" w:cs="Arial"/>
          <w:sz w:val="20"/>
          <w:szCs w:val="20"/>
          <w:lang w:val="en-US" w:eastAsia="da-DK"/>
        </w:rPr>
        <w:t>Globalstar’s</w:t>
      </w:r>
      <w:proofErr w:type="spellEnd"/>
      <w:r w:rsidRPr="00AD6ABA">
        <w:rPr>
          <w:rFonts w:ascii="Arial" w:eastAsia="Times New Roman" w:hAnsi="Arial" w:cs="Arial"/>
          <w:sz w:val="20"/>
          <w:szCs w:val="20"/>
          <w:lang w:val="en-US" w:eastAsia="da-DK"/>
        </w:rPr>
        <w:t xml:space="preserve"> MSS offerings including public-safety community services if the </w:t>
      </w:r>
      <w:r w:rsidRPr="00BA0702">
        <w:rPr>
          <w:rFonts w:ascii="Arial" w:eastAsia="Times New Roman" w:hAnsi="Arial" w:cs="Arial"/>
          <w:sz w:val="20"/>
          <w:szCs w:val="20"/>
          <w:lang w:val="en-US" w:eastAsia="da-DK"/>
        </w:rPr>
        <w:t xml:space="preserve">FCC </w:t>
      </w:r>
      <w:r w:rsidRPr="00AD6ABA">
        <w:rPr>
          <w:rFonts w:ascii="Arial" w:eastAsia="Times New Roman" w:hAnsi="Arial" w:cs="Arial"/>
          <w:sz w:val="20"/>
          <w:szCs w:val="20"/>
          <w:lang w:val="en-US" w:eastAsia="da-DK"/>
        </w:rPr>
        <w:t>does not promptly investigate and explore remedies to the 5.1 GHz noise rise.</w:t>
      </w:r>
    </w:p>
    <w:p w:rsidR="00BA0702" w:rsidRPr="00AD6ABA" w:rsidRDefault="00BA0702" w:rsidP="00B43306">
      <w:pPr>
        <w:spacing w:before="240" w:after="240" w:line="240" w:lineRule="auto"/>
        <w:jc w:val="both"/>
        <w:rPr>
          <w:rFonts w:ascii="Arial" w:eastAsia="Times New Roman" w:hAnsi="Arial" w:cs="Arial"/>
          <w:sz w:val="20"/>
          <w:szCs w:val="20"/>
          <w:lang w:val="en-US" w:eastAsia="da-DK"/>
        </w:rPr>
      </w:pPr>
      <w:r w:rsidRPr="00AD6ABA">
        <w:rPr>
          <w:rFonts w:ascii="Arial" w:eastAsia="Times New Roman" w:hAnsi="Arial" w:cs="Arial"/>
          <w:sz w:val="20"/>
          <w:szCs w:val="20"/>
          <w:lang w:val="en-US" w:eastAsia="da-DK"/>
        </w:rPr>
        <w:t xml:space="preserve">In a new FCC filing,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said its products and services are used daily by public-safety personnel and other customers around the world for emergency communications, in many instances resulting in life-saving rescues. Harmful aggregate interference to </w:t>
      </w:r>
      <w:proofErr w:type="spellStart"/>
      <w:r w:rsidRPr="00AD6ABA">
        <w:rPr>
          <w:rFonts w:ascii="Arial" w:eastAsia="Times New Roman" w:hAnsi="Arial" w:cs="Arial"/>
          <w:sz w:val="20"/>
          <w:szCs w:val="20"/>
          <w:lang w:val="en-US" w:eastAsia="da-DK"/>
        </w:rPr>
        <w:t>Globalstar’s</w:t>
      </w:r>
      <w:proofErr w:type="spellEnd"/>
      <w:r w:rsidRPr="00AD6ABA">
        <w:rPr>
          <w:rFonts w:ascii="Arial" w:eastAsia="Times New Roman" w:hAnsi="Arial" w:cs="Arial"/>
          <w:sz w:val="20"/>
          <w:szCs w:val="20"/>
          <w:lang w:val="en-US" w:eastAsia="da-DK"/>
        </w:rPr>
        <w:t xml:space="preserve"> MSS feeder uplink spectrum at 5.1 GHz will have a substantial, detrimental impact on </w:t>
      </w:r>
      <w:proofErr w:type="spellStart"/>
      <w:r w:rsidRPr="00AD6ABA">
        <w:rPr>
          <w:rFonts w:ascii="Arial" w:eastAsia="Times New Roman" w:hAnsi="Arial" w:cs="Arial"/>
          <w:sz w:val="20"/>
          <w:szCs w:val="20"/>
          <w:lang w:val="en-US" w:eastAsia="da-DK"/>
        </w:rPr>
        <w:t>Globalstar’s</w:t>
      </w:r>
      <w:proofErr w:type="spellEnd"/>
      <w:r w:rsidRPr="00AD6ABA">
        <w:rPr>
          <w:rFonts w:ascii="Arial" w:eastAsia="Times New Roman" w:hAnsi="Arial" w:cs="Arial"/>
          <w:sz w:val="20"/>
          <w:szCs w:val="20"/>
          <w:lang w:val="en-US" w:eastAsia="da-DK"/>
        </w:rPr>
        <w:t xml:space="preserve"> two-way satellite services, the carrier said.</w:t>
      </w:r>
    </w:p>
    <w:p w:rsidR="00BA0702" w:rsidRPr="00AD6ABA" w:rsidRDefault="00BA0702" w:rsidP="00B43306">
      <w:pPr>
        <w:spacing w:before="240" w:after="240" w:line="240" w:lineRule="auto"/>
        <w:jc w:val="both"/>
        <w:rPr>
          <w:rFonts w:ascii="Arial" w:eastAsia="Times New Roman" w:hAnsi="Arial" w:cs="Arial"/>
          <w:sz w:val="20"/>
          <w:szCs w:val="20"/>
          <w:lang w:val="en-US" w:eastAsia="da-DK"/>
        </w:rPr>
      </w:pPr>
      <w:r w:rsidRPr="00AD6ABA">
        <w:rPr>
          <w:rFonts w:ascii="Arial" w:eastAsia="Times New Roman" w:hAnsi="Arial" w:cs="Arial"/>
          <w:sz w:val="20"/>
          <w:szCs w:val="20"/>
          <w:lang w:val="en-US" w:eastAsia="da-DK"/>
        </w:rPr>
        <w:t xml:space="preserve">Earlier this year,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requested the FCC issue a notice of inquiry (NOI) into the cause of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experiencing a 2 dB rise in the noise floor of its licensed 5 GHz spectrum in North America. The FCC allowed unlicensed use on a shared basis in the 5 GHz band, and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requested </w:t>
      </w:r>
      <w:r w:rsidRPr="00BA0702">
        <w:rPr>
          <w:rFonts w:ascii="Arial" w:eastAsia="Times New Roman" w:hAnsi="Arial" w:cs="Arial"/>
          <w:sz w:val="20"/>
          <w:szCs w:val="20"/>
          <w:lang w:val="en-US" w:eastAsia="da-DK"/>
        </w:rPr>
        <w:t xml:space="preserve">a notice of inquiry </w:t>
      </w:r>
      <w:r w:rsidRPr="00AD6ABA">
        <w:rPr>
          <w:rFonts w:ascii="Arial" w:eastAsia="Times New Roman" w:hAnsi="Arial" w:cs="Arial"/>
          <w:sz w:val="20"/>
          <w:szCs w:val="20"/>
          <w:lang w:val="en-US" w:eastAsia="da-DK"/>
        </w:rPr>
        <w:t>to gather additional information and help determine the cause.</w:t>
      </w:r>
      <w:r w:rsidRPr="00BA0702">
        <w:rPr>
          <w:rFonts w:ascii="Arial" w:eastAsia="Times New Roman" w:hAnsi="Arial" w:cs="Arial"/>
          <w:sz w:val="20"/>
          <w:szCs w:val="20"/>
          <w:lang w:val="en-US" w:eastAsia="da-DK"/>
        </w:rPr>
        <w:t xml:space="preserve"> </w:t>
      </w:r>
      <w:r w:rsidRPr="00AD6ABA">
        <w:rPr>
          <w:rFonts w:ascii="Arial" w:eastAsia="Times New Roman" w:hAnsi="Arial" w:cs="Arial"/>
          <w:sz w:val="20"/>
          <w:szCs w:val="20"/>
          <w:lang w:val="en-US" w:eastAsia="da-DK"/>
        </w:rPr>
        <w:t xml:space="preserve">The National Public Safety Telecommunications Council (NPSTC) </w:t>
      </w:r>
      <w:hyperlink r:id="rId34" w:history="1">
        <w:r w:rsidRPr="00AD6ABA">
          <w:rPr>
            <w:rFonts w:ascii="Arial" w:eastAsia="Times New Roman" w:hAnsi="Arial" w:cs="Arial"/>
            <w:sz w:val="20"/>
            <w:szCs w:val="20"/>
            <w:lang w:val="en-US" w:eastAsia="da-DK"/>
          </w:rPr>
          <w:t>submitted comments supporting the request</w:t>
        </w:r>
      </w:hyperlink>
      <w:r w:rsidRPr="00AD6ABA">
        <w:rPr>
          <w:rFonts w:ascii="Arial" w:eastAsia="Times New Roman" w:hAnsi="Arial" w:cs="Arial"/>
          <w:sz w:val="20"/>
          <w:szCs w:val="20"/>
          <w:lang w:val="en-US" w:eastAsia="da-DK"/>
        </w:rPr>
        <w:t>.</w:t>
      </w:r>
    </w:p>
    <w:p w:rsidR="00BA0702" w:rsidRPr="00AD6ABA" w:rsidRDefault="00BA0702" w:rsidP="00B43306">
      <w:pPr>
        <w:spacing w:before="240" w:after="240" w:line="240" w:lineRule="auto"/>
        <w:jc w:val="both"/>
        <w:rPr>
          <w:rFonts w:ascii="Arial" w:eastAsia="Times New Roman" w:hAnsi="Arial" w:cs="Arial"/>
          <w:sz w:val="20"/>
          <w:szCs w:val="20"/>
          <w:lang w:val="en-US" w:eastAsia="da-DK"/>
        </w:rPr>
      </w:pP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said its real-world data and technical analysis demonstrate that </w:t>
      </w:r>
      <w:r w:rsidRPr="00AD6ABA">
        <w:rPr>
          <w:rFonts w:ascii="Arial" w:eastAsia="Times New Roman" w:hAnsi="Arial" w:cs="Arial"/>
          <w:b/>
          <w:sz w:val="20"/>
          <w:szCs w:val="20"/>
          <w:lang w:val="en-US" w:eastAsia="da-DK"/>
        </w:rPr>
        <w:t xml:space="preserve">this noise rise is the result of outdoor, higher-power operation of U-NII-1 </w:t>
      </w:r>
      <w:r>
        <w:rPr>
          <w:rFonts w:ascii="Arial" w:eastAsia="Times New Roman" w:hAnsi="Arial" w:cs="Arial"/>
          <w:b/>
          <w:sz w:val="20"/>
          <w:szCs w:val="20"/>
          <w:lang w:val="en-US" w:eastAsia="da-DK"/>
        </w:rPr>
        <w:t xml:space="preserve">(5150-5250 MHz) </w:t>
      </w:r>
      <w:r w:rsidRPr="00AD6ABA">
        <w:rPr>
          <w:rFonts w:ascii="Arial" w:eastAsia="Times New Roman" w:hAnsi="Arial" w:cs="Arial"/>
          <w:b/>
          <w:sz w:val="20"/>
          <w:szCs w:val="20"/>
          <w:lang w:val="en-US" w:eastAsia="da-DK"/>
        </w:rPr>
        <w:t>Wi-Fi access points and other devices, permitted by the commission in April 2014.</w:t>
      </w:r>
      <w:r w:rsidRPr="00AD6ABA">
        <w:rPr>
          <w:rFonts w:ascii="Arial" w:eastAsia="Times New Roman" w:hAnsi="Arial" w:cs="Arial"/>
          <w:sz w:val="20"/>
          <w:szCs w:val="20"/>
          <w:lang w:val="en-US" w:eastAsia="da-DK"/>
        </w:rPr>
        <w:t xml:space="preserve"> </w:t>
      </w:r>
    </w:p>
    <w:p w:rsidR="00BA0702" w:rsidRDefault="00BA0702" w:rsidP="00B43306">
      <w:pPr>
        <w:spacing w:before="240" w:after="240" w:line="240" w:lineRule="auto"/>
        <w:jc w:val="both"/>
        <w:rPr>
          <w:rFonts w:ascii="Arial" w:eastAsia="Times New Roman" w:hAnsi="Arial" w:cs="Arial"/>
          <w:sz w:val="20"/>
          <w:szCs w:val="20"/>
          <w:lang w:val="en-US" w:eastAsia="da-DK"/>
        </w:rPr>
      </w:pPr>
      <w:r w:rsidRPr="00AD6ABA">
        <w:rPr>
          <w:rFonts w:ascii="Arial" w:eastAsia="Times New Roman" w:hAnsi="Arial" w:cs="Arial"/>
          <w:sz w:val="20"/>
          <w:szCs w:val="20"/>
          <w:lang w:val="en-US" w:eastAsia="da-DK"/>
        </w:rPr>
        <w:t xml:space="preserve">The </w:t>
      </w:r>
      <w:r w:rsidRPr="00BA0702">
        <w:rPr>
          <w:rFonts w:ascii="Arial" w:eastAsia="Times New Roman" w:hAnsi="Arial" w:cs="Arial"/>
          <w:sz w:val="20"/>
          <w:szCs w:val="20"/>
          <w:lang w:val="en-US" w:eastAsia="da-DK"/>
        </w:rPr>
        <w:t xml:space="preserve">FCC </w:t>
      </w:r>
      <w:r w:rsidRPr="00AD6ABA">
        <w:rPr>
          <w:rFonts w:ascii="Arial" w:eastAsia="Times New Roman" w:hAnsi="Arial" w:cs="Arial"/>
          <w:sz w:val="20"/>
          <w:szCs w:val="20"/>
          <w:lang w:val="en-US" w:eastAsia="da-DK"/>
        </w:rPr>
        <w:t xml:space="preserve">has a statutory obligation to protect licensed services, and it committed in its 2014 order to take ‘corrective action’ in response to any harmful interference to </w:t>
      </w:r>
      <w:r w:rsidRPr="00BA0702">
        <w:rPr>
          <w:rFonts w:ascii="Arial" w:eastAsia="Times New Roman" w:hAnsi="Arial" w:cs="Arial"/>
          <w:sz w:val="20"/>
          <w:szCs w:val="20"/>
          <w:lang w:val="en-US" w:eastAsia="da-DK"/>
        </w:rPr>
        <w:t xml:space="preserve">the </w:t>
      </w:r>
      <w:r w:rsidRPr="00AD6ABA">
        <w:rPr>
          <w:rFonts w:ascii="Arial" w:eastAsia="Times New Roman" w:hAnsi="Arial" w:cs="Arial"/>
          <w:sz w:val="20"/>
          <w:szCs w:val="20"/>
          <w:lang w:val="en-US" w:eastAsia="da-DK"/>
        </w:rPr>
        <w:t>MSS</w:t>
      </w:r>
      <w:r w:rsidRPr="00BA0702">
        <w:rPr>
          <w:rFonts w:ascii="Arial" w:eastAsia="Times New Roman" w:hAnsi="Arial" w:cs="Arial"/>
          <w:sz w:val="20"/>
          <w:szCs w:val="20"/>
          <w:lang w:val="en-US" w:eastAsia="da-DK"/>
        </w:rPr>
        <w:t xml:space="preserve">. </w:t>
      </w:r>
      <w:proofErr w:type="spellStart"/>
      <w:r w:rsidRPr="00BA0702">
        <w:rPr>
          <w:rFonts w:ascii="Arial" w:eastAsia="Times New Roman" w:hAnsi="Arial" w:cs="Arial"/>
          <w:sz w:val="20"/>
          <w:szCs w:val="20"/>
          <w:lang w:val="en-US" w:eastAsia="da-DK"/>
        </w:rPr>
        <w:t>Globalstar</w:t>
      </w:r>
      <w:proofErr w:type="spellEnd"/>
      <w:r w:rsidRPr="00BA0702">
        <w:rPr>
          <w:rFonts w:ascii="Arial" w:eastAsia="Times New Roman" w:hAnsi="Arial" w:cs="Arial"/>
          <w:sz w:val="20"/>
          <w:szCs w:val="20"/>
          <w:lang w:val="en-US" w:eastAsia="da-DK"/>
        </w:rPr>
        <w:t xml:space="preserve"> now urges the FCC </w:t>
      </w:r>
      <w:r w:rsidRPr="00AD6ABA">
        <w:rPr>
          <w:rFonts w:ascii="Arial" w:eastAsia="Times New Roman" w:hAnsi="Arial" w:cs="Arial"/>
          <w:sz w:val="20"/>
          <w:szCs w:val="20"/>
          <w:lang w:val="en-US" w:eastAsia="da-DK"/>
        </w:rPr>
        <w:t>should open a proceeding on these interference issues rather than look the other way and do nothing.</w:t>
      </w:r>
      <w:r w:rsidRPr="00BA0702">
        <w:rPr>
          <w:rFonts w:ascii="Arial" w:eastAsia="Times New Roman" w:hAnsi="Arial" w:cs="Arial"/>
          <w:sz w:val="20"/>
          <w:szCs w:val="20"/>
          <w:lang w:val="en-US" w:eastAsia="da-DK"/>
        </w:rPr>
        <w:t xml:space="preserve"> </w:t>
      </w:r>
      <w:r w:rsidRPr="00AD6ABA">
        <w:rPr>
          <w:rFonts w:ascii="Arial" w:eastAsia="Times New Roman" w:hAnsi="Arial" w:cs="Arial"/>
          <w:sz w:val="20"/>
          <w:szCs w:val="20"/>
          <w:lang w:val="en-US" w:eastAsia="da-DK"/>
        </w:rPr>
        <w:t xml:space="preserve">The full </w:t>
      </w:r>
      <w:proofErr w:type="spellStart"/>
      <w:r w:rsidRPr="00AD6ABA">
        <w:rPr>
          <w:rFonts w:ascii="Arial" w:eastAsia="Times New Roman" w:hAnsi="Arial" w:cs="Arial"/>
          <w:sz w:val="20"/>
          <w:szCs w:val="20"/>
          <w:lang w:val="en-US" w:eastAsia="da-DK"/>
        </w:rPr>
        <w:t>Globalstar</w:t>
      </w:r>
      <w:proofErr w:type="spellEnd"/>
      <w:r w:rsidRPr="00AD6ABA">
        <w:rPr>
          <w:rFonts w:ascii="Arial" w:eastAsia="Times New Roman" w:hAnsi="Arial" w:cs="Arial"/>
          <w:sz w:val="20"/>
          <w:szCs w:val="20"/>
          <w:lang w:val="en-US" w:eastAsia="da-DK"/>
        </w:rPr>
        <w:t xml:space="preserve"> filing is </w:t>
      </w:r>
      <w:hyperlink r:id="rId35" w:history="1">
        <w:r w:rsidRPr="00AD6ABA">
          <w:rPr>
            <w:rFonts w:ascii="Arial" w:eastAsia="Times New Roman" w:hAnsi="Arial" w:cs="Arial"/>
            <w:color w:val="FF0000"/>
            <w:sz w:val="20"/>
            <w:szCs w:val="20"/>
            <w:u w:val="single"/>
            <w:lang w:val="en-US" w:eastAsia="da-DK"/>
          </w:rPr>
          <w:t>here</w:t>
        </w:r>
      </w:hyperlink>
      <w:r w:rsidRPr="00AD6ABA">
        <w:rPr>
          <w:rFonts w:ascii="Arial" w:eastAsia="Times New Roman" w:hAnsi="Arial" w:cs="Arial"/>
          <w:sz w:val="20"/>
          <w:szCs w:val="20"/>
          <w:lang w:val="en-US" w:eastAsia="da-DK"/>
        </w:rPr>
        <w:t xml:space="preserve">. </w:t>
      </w:r>
    </w:p>
    <w:p w:rsidR="008D69C0" w:rsidRPr="008D69C0" w:rsidRDefault="008D69C0" w:rsidP="00B43306">
      <w:pPr>
        <w:spacing w:before="240" w:after="240" w:line="240" w:lineRule="auto"/>
        <w:jc w:val="both"/>
        <w:rPr>
          <w:rFonts w:ascii="Arial" w:eastAsia="Times New Roman" w:hAnsi="Arial" w:cs="Arial"/>
          <w:sz w:val="20"/>
          <w:szCs w:val="20"/>
          <w:lang w:val="en-US" w:eastAsia="da-DK"/>
        </w:rPr>
      </w:pPr>
      <w:r>
        <w:rPr>
          <w:rFonts w:ascii="Arial" w:eastAsia="Times New Roman" w:hAnsi="Arial" w:cs="Arial"/>
          <w:sz w:val="20"/>
          <w:szCs w:val="20"/>
          <w:lang w:val="en-US" w:eastAsia="da-DK"/>
        </w:rPr>
        <w:t>In another note, r</w:t>
      </w:r>
      <w:r w:rsidRPr="008D69C0">
        <w:rPr>
          <w:rFonts w:ascii="Arial" w:eastAsia="Times New Roman" w:hAnsi="Arial" w:cs="Arial"/>
          <w:sz w:val="20"/>
          <w:szCs w:val="20"/>
          <w:lang w:val="en-US" w:eastAsia="da-DK"/>
        </w:rPr>
        <w:t xml:space="preserve">ecently, Chile’s regulatory authority, </w:t>
      </w:r>
      <w:proofErr w:type="spellStart"/>
      <w:r w:rsidRPr="008D69C0">
        <w:rPr>
          <w:rFonts w:ascii="Arial" w:eastAsia="Times New Roman" w:hAnsi="Arial" w:cs="Arial"/>
          <w:sz w:val="20"/>
          <w:szCs w:val="20"/>
          <w:lang w:val="en-US" w:eastAsia="da-DK"/>
        </w:rPr>
        <w:t>Subsecretaría</w:t>
      </w:r>
      <w:proofErr w:type="spellEnd"/>
      <w:r w:rsidRPr="008D69C0">
        <w:rPr>
          <w:rFonts w:ascii="Arial" w:eastAsia="Times New Roman" w:hAnsi="Arial" w:cs="Arial"/>
          <w:sz w:val="20"/>
          <w:szCs w:val="20"/>
          <w:lang w:val="en-US" w:eastAsia="da-DK"/>
        </w:rPr>
        <w:t xml:space="preserve"> de </w:t>
      </w:r>
      <w:proofErr w:type="spellStart"/>
      <w:r w:rsidRPr="008D69C0">
        <w:rPr>
          <w:rFonts w:ascii="Arial" w:eastAsia="Times New Roman" w:hAnsi="Arial" w:cs="Arial"/>
          <w:sz w:val="20"/>
          <w:szCs w:val="20"/>
          <w:lang w:val="en-US" w:eastAsia="da-DK"/>
        </w:rPr>
        <w:t>Telecomunicaciones</w:t>
      </w:r>
      <w:proofErr w:type="spellEnd"/>
      <w:r w:rsidRPr="008D69C0">
        <w:rPr>
          <w:rFonts w:ascii="Arial" w:eastAsia="Times New Roman" w:hAnsi="Arial" w:cs="Arial"/>
          <w:sz w:val="20"/>
          <w:szCs w:val="20"/>
          <w:lang w:val="en-US" w:eastAsia="da-DK"/>
        </w:rPr>
        <w:t xml:space="preserve"> (SUBTEL), modified its regulations for </w:t>
      </w:r>
      <w:r>
        <w:rPr>
          <w:rFonts w:ascii="Arial" w:eastAsia="Times New Roman" w:hAnsi="Arial" w:cs="Arial"/>
          <w:sz w:val="20"/>
          <w:szCs w:val="20"/>
          <w:lang w:val="en-US" w:eastAsia="da-DK"/>
        </w:rPr>
        <w:t xml:space="preserve">5 GHz WAS/RLAN </w:t>
      </w:r>
      <w:r w:rsidRPr="008D69C0">
        <w:rPr>
          <w:rFonts w:ascii="Arial" w:eastAsia="Times New Roman" w:hAnsi="Arial" w:cs="Arial"/>
          <w:sz w:val="20"/>
          <w:szCs w:val="20"/>
          <w:lang w:val="en-US" w:eastAsia="da-DK"/>
        </w:rPr>
        <w:t xml:space="preserve">to allow up to 1 W maximum power output, a significant increase from the prior 150 mW allowance. </w:t>
      </w:r>
      <w:r>
        <w:rPr>
          <w:rFonts w:ascii="Arial" w:eastAsia="Times New Roman" w:hAnsi="Arial" w:cs="Arial"/>
          <w:sz w:val="20"/>
          <w:szCs w:val="20"/>
          <w:lang w:val="en-US" w:eastAsia="da-DK"/>
        </w:rPr>
        <w:t xml:space="preserve">The </w:t>
      </w:r>
      <w:r w:rsidRPr="008D69C0">
        <w:rPr>
          <w:rFonts w:ascii="Arial" w:eastAsia="Times New Roman" w:hAnsi="Arial" w:cs="Arial"/>
          <w:sz w:val="20"/>
          <w:szCs w:val="20"/>
          <w:lang w:val="en-US" w:eastAsia="da-DK"/>
        </w:rPr>
        <w:t>changes are as follows:</w:t>
      </w:r>
    </w:p>
    <w:p w:rsidR="008D69C0" w:rsidRPr="008D69C0" w:rsidRDefault="008D69C0" w:rsidP="00481D8C">
      <w:pPr>
        <w:pStyle w:val="ListParagraph"/>
        <w:numPr>
          <w:ilvl w:val="0"/>
          <w:numId w:val="4"/>
        </w:numPr>
        <w:spacing w:after="60" w:line="240" w:lineRule="auto"/>
        <w:ind w:left="709" w:hanging="349"/>
        <w:rPr>
          <w:rFonts w:ascii="Arial" w:eastAsia="Times New Roman" w:hAnsi="Arial" w:cs="Arial"/>
          <w:sz w:val="20"/>
          <w:szCs w:val="20"/>
          <w:lang w:val="en-US" w:eastAsia="da-DK"/>
        </w:rPr>
      </w:pPr>
      <w:r>
        <w:rPr>
          <w:rFonts w:ascii="Arial" w:eastAsia="Times New Roman" w:hAnsi="Arial" w:cs="Arial"/>
          <w:sz w:val="20"/>
          <w:szCs w:val="20"/>
          <w:lang w:val="en-US" w:eastAsia="da-DK"/>
        </w:rPr>
        <w:lastRenderedPageBreak/>
        <w:t>the b</w:t>
      </w:r>
      <w:r w:rsidRPr="008D69C0">
        <w:rPr>
          <w:rFonts w:ascii="Arial" w:eastAsia="Times New Roman" w:hAnsi="Arial" w:cs="Arial"/>
          <w:sz w:val="20"/>
          <w:szCs w:val="20"/>
          <w:lang w:val="en-US" w:eastAsia="da-DK"/>
        </w:rPr>
        <w:t>and 5725-5850 MHz now has the same value for outdoor and indoor devices at 1W; previously, the outdoor operation had to be 50 mW</w:t>
      </w:r>
      <w:r>
        <w:rPr>
          <w:rFonts w:ascii="Arial" w:eastAsia="Times New Roman" w:hAnsi="Arial" w:cs="Arial"/>
          <w:sz w:val="20"/>
          <w:szCs w:val="20"/>
          <w:lang w:val="en-US" w:eastAsia="da-DK"/>
        </w:rPr>
        <w:t>;</w:t>
      </w:r>
    </w:p>
    <w:p w:rsidR="008D69C0" w:rsidRDefault="008D69C0" w:rsidP="00481D8C">
      <w:pPr>
        <w:pStyle w:val="ListParagraph"/>
        <w:numPr>
          <w:ilvl w:val="0"/>
          <w:numId w:val="4"/>
        </w:numPr>
        <w:spacing w:after="60" w:line="240" w:lineRule="auto"/>
        <w:ind w:left="709" w:hanging="349"/>
        <w:rPr>
          <w:rFonts w:ascii="Arial" w:eastAsia="Times New Roman" w:hAnsi="Arial" w:cs="Arial"/>
          <w:sz w:val="20"/>
          <w:szCs w:val="20"/>
          <w:lang w:val="en-US" w:eastAsia="da-DK"/>
        </w:rPr>
      </w:pPr>
      <w:proofErr w:type="gramStart"/>
      <w:r>
        <w:rPr>
          <w:rFonts w:ascii="Arial" w:eastAsia="Times New Roman" w:hAnsi="Arial" w:cs="Arial"/>
          <w:sz w:val="20"/>
          <w:szCs w:val="20"/>
          <w:lang w:val="en-US" w:eastAsia="da-DK"/>
        </w:rPr>
        <w:t>the</w:t>
      </w:r>
      <w:proofErr w:type="gramEnd"/>
      <w:r>
        <w:rPr>
          <w:rFonts w:ascii="Arial" w:eastAsia="Times New Roman" w:hAnsi="Arial" w:cs="Arial"/>
          <w:sz w:val="20"/>
          <w:szCs w:val="20"/>
          <w:lang w:val="en-US" w:eastAsia="da-DK"/>
        </w:rPr>
        <w:t xml:space="preserve"> b</w:t>
      </w:r>
      <w:r w:rsidRPr="008D69C0">
        <w:rPr>
          <w:rFonts w:ascii="Arial" w:eastAsia="Times New Roman" w:hAnsi="Arial" w:cs="Arial"/>
          <w:sz w:val="20"/>
          <w:szCs w:val="20"/>
          <w:lang w:val="en-US" w:eastAsia="da-DK"/>
        </w:rPr>
        <w:t>and 5150-5250 MHz is still restricted to indoor only, but now the limit is 200 mW instead of 150 mW.</w:t>
      </w:r>
    </w:p>
    <w:p w:rsidR="008D69C0" w:rsidRPr="008D69C0" w:rsidRDefault="008D69C0" w:rsidP="008D69C0">
      <w:pPr>
        <w:spacing w:before="240" w:after="240" w:line="240" w:lineRule="auto"/>
        <w:rPr>
          <w:rFonts w:ascii="Arial" w:eastAsia="Times New Roman" w:hAnsi="Arial" w:cs="Arial"/>
          <w:sz w:val="20"/>
          <w:szCs w:val="20"/>
          <w:lang w:val="en-US" w:eastAsia="da-DK"/>
        </w:rPr>
      </w:pPr>
      <w:r>
        <w:rPr>
          <w:rFonts w:ascii="Arial" w:eastAsia="Times New Roman" w:hAnsi="Arial" w:cs="Arial"/>
          <w:sz w:val="20"/>
          <w:szCs w:val="20"/>
          <w:lang w:val="en-US" w:eastAsia="da-DK"/>
        </w:rPr>
        <w:t xml:space="preserve">I.e. not all countries in Latin America follow the USA’s example to withdraw the outdoor </w:t>
      </w:r>
      <w:r w:rsidR="00485B3D">
        <w:rPr>
          <w:rFonts w:ascii="Arial" w:eastAsia="Times New Roman" w:hAnsi="Arial" w:cs="Arial"/>
          <w:sz w:val="20"/>
          <w:szCs w:val="20"/>
          <w:lang w:val="en-US" w:eastAsia="da-DK"/>
        </w:rPr>
        <w:t>restriction</w:t>
      </w:r>
      <w:r>
        <w:rPr>
          <w:rFonts w:ascii="Arial" w:eastAsia="Times New Roman" w:hAnsi="Arial" w:cs="Arial"/>
          <w:sz w:val="20"/>
          <w:szCs w:val="20"/>
          <w:lang w:val="en-US" w:eastAsia="da-DK"/>
        </w:rPr>
        <w:t xml:space="preserve"> in 5150-5250 MHz.</w:t>
      </w:r>
    </w:p>
    <w:p w:rsidR="00BF1C90" w:rsidRDefault="00BF1C90" w:rsidP="00BF1C90">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 xml:space="preserve">(for information in </w:t>
      </w:r>
      <w:r>
        <w:rPr>
          <w:rFonts w:ascii="Arial" w:eastAsia="Calibri" w:hAnsi="Arial" w:cs="Arial"/>
          <w:b/>
          <w:sz w:val="20"/>
          <w:szCs w:val="20"/>
          <w:lang w:val="de-DE" w:eastAsia="da-DK"/>
        </w:rPr>
        <w:t>WGFM, FM44</w:t>
      </w:r>
      <w:r w:rsidR="008D69C0">
        <w:rPr>
          <w:rFonts w:ascii="Arial" w:eastAsia="Calibri" w:hAnsi="Arial" w:cs="Arial"/>
          <w:b/>
          <w:sz w:val="20"/>
          <w:szCs w:val="20"/>
          <w:lang w:val="de-DE" w:eastAsia="da-DK"/>
        </w:rPr>
        <w:t>, FM57</w:t>
      </w:r>
      <w:r w:rsidRPr="004F3D96">
        <w:rPr>
          <w:rFonts w:ascii="Arial" w:eastAsia="Calibri" w:hAnsi="Arial" w:cs="Arial"/>
          <w:b/>
          <w:sz w:val="20"/>
          <w:szCs w:val="20"/>
          <w:lang w:val="de-DE" w:eastAsia="da-DK"/>
        </w:rPr>
        <w:t>)</w:t>
      </w:r>
    </w:p>
    <w:p w:rsidR="00BF1C90" w:rsidRPr="00184608" w:rsidRDefault="007449E4" w:rsidP="00481D8C">
      <w:pPr>
        <w:pStyle w:val="ListParagraph"/>
        <w:keepNext/>
        <w:numPr>
          <w:ilvl w:val="0"/>
          <w:numId w:val="2"/>
        </w:numPr>
        <w:spacing w:before="600" w:after="60" w:line="240" w:lineRule="auto"/>
        <w:jc w:val="both"/>
        <w:outlineLvl w:val="0"/>
        <w:rPr>
          <w:rFonts w:ascii="Arial" w:eastAsia="Times New Roman" w:hAnsi="Arial" w:cs="Arial"/>
          <w:b/>
          <w:bCs/>
          <w:caps/>
          <w:color w:val="D2232A"/>
          <w:kern w:val="32"/>
          <w:sz w:val="20"/>
          <w:szCs w:val="32"/>
          <w:lang w:val="en-US"/>
        </w:rPr>
      </w:pPr>
      <w:r w:rsidRPr="00184608">
        <w:rPr>
          <w:rFonts w:ascii="Arial" w:eastAsia="Times New Roman" w:hAnsi="Arial" w:cs="Arial"/>
          <w:b/>
          <w:bCs/>
          <w:caps/>
          <w:color w:val="D2232A"/>
          <w:kern w:val="32"/>
          <w:sz w:val="20"/>
          <w:szCs w:val="32"/>
          <w:lang w:val="en-US"/>
        </w:rPr>
        <w:t>77-81 GHz SRR (Short Range Radars) – worldwide overview</w:t>
      </w:r>
    </w:p>
    <w:p w:rsidR="007449E4" w:rsidRPr="00184608" w:rsidRDefault="007449E4" w:rsidP="007449E4">
      <w:pPr>
        <w:spacing w:after="0" w:line="240" w:lineRule="auto"/>
        <w:rPr>
          <w:rFonts w:ascii="Arial" w:eastAsia="Calibri" w:hAnsi="Arial" w:cs="Arial"/>
          <w:sz w:val="20"/>
          <w:szCs w:val="20"/>
          <w:lang w:val="en-US"/>
        </w:rPr>
      </w:pPr>
      <w:r w:rsidRPr="00184608">
        <w:rPr>
          <w:rFonts w:ascii="Arial" w:eastAsia="Calibri" w:hAnsi="Arial" w:cs="Arial"/>
          <w:sz w:val="20"/>
          <w:szCs w:val="20"/>
          <w:lang w:val="en-US"/>
        </w:rPr>
        <w:t xml:space="preserve">As earlier reported in the ECO Bulletin 02/2018, the </w:t>
      </w:r>
      <w:r w:rsidRPr="007449E4">
        <w:rPr>
          <w:rFonts w:ascii="Arial" w:eastAsia="Calibri" w:hAnsi="Arial" w:cs="Arial"/>
          <w:sz w:val="20"/>
          <w:szCs w:val="20"/>
          <w:lang w:val="en-US"/>
        </w:rPr>
        <w:t>USA and Japan</w:t>
      </w:r>
      <w:r w:rsidRPr="00184608">
        <w:rPr>
          <w:rFonts w:ascii="Arial" w:eastAsia="Calibri" w:hAnsi="Arial" w:cs="Arial"/>
          <w:sz w:val="20"/>
          <w:szCs w:val="20"/>
          <w:lang w:val="en-US"/>
        </w:rPr>
        <w:t xml:space="preserve"> have implemented 77-81 GHz SRR regulations:</w:t>
      </w:r>
    </w:p>
    <w:p w:rsidR="007449E4" w:rsidRPr="007449E4" w:rsidRDefault="007449E4" w:rsidP="00481D8C">
      <w:pPr>
        <w:pStyle w:val="ListParagraph"/>
        <w:numPr>
          <w:ilvl w:val="0"/>
          <w:numId w:val="5"/>
        </w:numPr>
        <w:spacing w:after="60" w:line="240" w:lineRule="auto"/>
        <w:rPr>
          <w:rFonts w:ascii="Arial" w:eastAsia="Calibri" w:hAnsi="Arial" w:cs="Arial"/>
          <w:sz w:val="20"/>
          <w:szCs w:val="20"/>
          <w:lang w:val="en-US" w:eastAsia="da-DK"/>
        </w:rPr>
      </w:pPr>
      <w:r w:rsidRPr="00184608">
        <w:rPr>
          <w:rFonts w:ascii="Arial" w:eastAsia="Calibri" w:hAnsi="Arial" w:cs="Arial"/>
          <w:sz w:val="20"/>
          <w:szCs w:val="20"/>
          <w:lang w:val="en-US" w:eastAsia="da-DK"/>
        </w:rPr>
        <w:t>The FCC recently consolidated the rules for 76-81 GHz vehicular radar operations into </w:t>
      </w:r>
      <w:hyperlink r:id="rId36" w:tgtFrame="_blank" w:history="1">
        <w:r w:rsidRPr="00184608">
          <w:rPr>
            <w:rFonts w:ascii="Arial" w:eastAsia="Calibri" w:hAnsi="Arial" w:cs="Arial"/>
            <w:sz w:val="20"/>
            <w:szCs w:val="20"/>
            <w:u w:val="single"/>
            <w:lang w:val="en-US" w:eastAsia="da-DK"/>
          </w:rPr>
          <w:t>47CFR§95 Subpart M</w:t>
        </w:r>
      </w:hyperlink>
      <w:r w:rsidRPr="00184608">
        <w:rPr>
          <w:rFonts w:ascii="Arial" w:eastAsia="Calibri" w:hAnsi="Arial" w:cs="Arial"/>
          <w:sz w:val="20"/>
          <w:szCs w:val="20"/>
          <w:lang w:val="en-US" w:eastAsia="da-DK"/>
        </w:rPr>
        <w:t xml:space="preserve"> (replacing 47CFR§15.253, and revising other Part 15 sections).</w:t>
      </w:r>
      <w:r w:rsidR="00184608">
        <w:rPr>
          <w:rFonts w:ascii="Arial" w:eastAsia="Calibri" w:hAnsi="Arial" w:cs="Arial"/>
          <w:sz w:val="20"/>
          <w:szCs w:val="20"/>
          <w:lang w:val="en-US" w:eastAsia="da-DK"/>
        </w:rPr>
        <w:t xml:space="preserve"> </w:t>
      </w:r>
      <w:r w:rsidRPr="007449E4">
        <w:rPr>
          <w:rFonts w:ascii="Arial" w:eastAsia="Calibri" w:hAnsi="Arial" w:cs="Arial"/>
          <w:sz w:val="20"/>
          <w:szCs w:val="20"/>
          <w:lang w:val="en-US" w:eastAsia="da-DK"/>
        </w:rPr>
        <w:t>Per 47CFR§95.3331, radar systems operating in the 76-81 GHz band may operate as vehicular radars, or as fixed or mobile radars in airport air operations areas, including but not limited to FOD (foreign object detection) radars and aircraft-mounted radars for ground use only. Per 47CFR§95.3333, notwithstanding the provisions of 47CFR§95.3331, 76-81 GHz Band Radar Service is prohibited aboard aircraft in flight. Aircraft-mounted radars shall be equipped with a mechanism that will prevent operations once the aircraft becomes airborne.</w:t>
      </w:r>
    </w:p>
    <w:p w:rsidR="007449E4" w:rsidRPr="00184608" w:rsidRDefault="007449E4" w:rsidP="00481D8C">
      <w:pPr>
        <w:pStyle w:val="ListParagraph"/>
        <w:numPr>
          <w:ilvl w:val="0"/>
          <w:numId w:val="5"/>
        </w:numPr>
        <w:spacing w:after="60" w:line="240" w:lineRule="auto"/>
        <w:rPr>
          <w:rFonts w:ascii="Arial" w:eastAsia="Calibri" w:hAnsi="Arial" w:cs="Arial"/>
          <w:sz w:val="20"/>
          <w:szCs w:val="20"/>
          <w:lang w:val="en-US" w:eastAsia="da-DK"/>
        </w:rPr>
      </w:pPr>
      <w:r w:rsidRPr="00184608">
        <w:rPr>
          <w:rFonts w:ascii="Arial" w:eastAsia="Calibri" w:hAnsi="Arial" w:cs="Arial"/>
          <w:sz w:val="20"/>
          <w:szCs w:val="20"/>
          <w:lang w:val="en-US" w:eastAsia="da-DK"/>
        </w:rPr>
        <w:t>Noting the exception as stated, the FCC will allow vehicular radar sensors to be mounted and deployed on “terrestrial transportation vehicles” including but not limited to railroad train locomotives and train cars; monorails and trams; construction vehicles; farming vehicles such as tractors and harvesters; motorcycles, scooters and motorbikes; mobile scissor-lifts and mobile work platforms; and boats and ships operated within territorial waters of the United States, provided the overall installation complies with the conditions of the grant and the relevant technical standards for operation.</w:t>
      </w:r>
    </w:p>
    <w:p w:rsidR="00184608" w:rsidRDefault="007449E4" w:rsidP="00481D8C">
      <w:pPr>
        <w:pStyle w:val="ListParagraph"/>
        <w:numPr>
          <w:ilvl w:val="0"/>
          <w:numId w:val="5"/>
        </w:numPr>
        <w:spacing w:after="60" w:line="240" w:lineRule="auto"/>
        <w:rPr>
          <w:rFonts w:ascii="Arial" w:eastAsia="Calibri" w:hAnsi="Arial" w:cs="Arial"/>
          <w:sz w:val="20"/>
          <w:szCs w:val="20"/>
          <w:lang w:val="en-US" w:eastAsia="da-DK"/>
        </w:rPr>
      </w:pPr>
      <w:r w:rsidRPr="00184608">
        <w:rPr>
          <w:rFonts w:ascii="Arial" w:eastAsia="Calibri" w:hAnsi="Arial" w:cs="Arial"/>
          <w:sz w:val="20"/>
          <w:szCs w:val="20"/>
          <w:lang w:val="en-US" w:eastAsia="da-DK"/>
        </w:rPr>
        <w:t xml:space="preserve">Japan also implemented the 77-81 GHz SRR application in 2017 (ARIB standard STD-T111 - 79 GHz Band High-Resolution Radar). </w:t>
      </w:r>
    </w:p>
    <w:p w:rsidR="007449E4" w:rsidRPr="00184608" w:rsidRDefault="007449E4" w:rsidP="00481D8C">
      <w:pPr>
        <w:pStyle w:val="ListParagraph"/>
        <w:numPr>
          <w:ilvl w:val="0"/>
          <w:numId w:val="5"/>
        </w:numPr>
        <w:spacing w:after="60" w:line="240" w:lineRule="auto"/>
        <w:rPr>
          <w:rFonts w:ascii="Arial" w:eastAsia="Calibri" w:hAnsi="Arial" w:cs="Arial"/>
          <w:sz w:val="20"/>
          <w:szCs w:val="20"/>
          <w:lang w:val="en-US" w:eastAsia="da-DK"/>
        </w:rPr>
      </w:pPr>
      <w:r w:rsidRPr="00184608">
        <w:rPr>
          <w:rFonts w:ascii="Arial" w:eastAsia="Calibri" w:hAnsi="Arial" w:cs="Arial"/>
          <w:sz w:val="20"/>
          <w:szCs w:val="20"/>
          <w:lang w:val="en-US" w:eastAsia="da-DK"/>
        </w:rPr>
        <w:t>China is still in process of implementing but with strong indications that this process is going to be finalised in 2018</w:t>
      </w:r>
      <w:r w:rsidR="00184608">
        <w:rPr>
          <w:rFonts w:ascii="Arial" w:eastAsia="Calibri" w:hAnsi="Arial" w:cs="Arial"/>
          <w:sz w:val="20"/>
          <w:szCs w:val="20"/>
          <w:lang w:val="en-US" w:eastAsia="da-DK"/>
        </w:rPr>
        <w:t xml:space="preserve"> or early 2019</w:t>
      </w:r>
      <w:r w:rsidRPr="00184608">
        <w:rPr>
          <w:rFonts w:ascii="Arial" w:eastAsia="Calibri" w:hAnsi="Arial" w:cs="Arial"/>
          <w:sz w:val="20"/>
          <w:szCs w:val="20"/>
          <w:lang w:val="en-US" w:eastAsia="da-DK"/>
        </w:rPr>
        <w:t>.</w:t>
      </w:r>
    </w:p>
    <w:p w:rsidR="007449E4" w:rsidRPr="007449E4" w:rsidRDefault="007449E4" w:rsidP="007449E4">
      <w:pPr>
        <w:spacing w:before="100" w:beforeAutospacing="1" w:after="100" w:afterAutospacing="1" w:line="240" w:lineRule="auto"/>
        <w:rPr>
          <w:rFonts w:ascii="Arial" w:eastAsia="Calibri" w:hAnsi="Arial" w:cs="Arial"/>
          <w:sz w:val="20"/>
          <w:szCs w:val="20"/>
          <w:lang w:val="en-US" w:eastAsia="da-DK"/>
        </w:rPr>
      </w:pPr>
      <w:r w:rsidRPr="007449E4">
        <w:rPr>
          <w:rFonts w:ascii="Arial" w:eastAsia="Calibri" w:hAnsi="Arial" w:cs="Arial"/>
          <w:sz w:val="20"/>
          <w:szCs w:val="20"/>
          <w:lang w:val="en-US" w:eastAsia="da-DK"/>
        </w:rPr>
        <w:t>Note that within the ECC, ECC/DEC</w:t>
      </w:r>
      <w:proofErr w:type="gramStart"/>
      <w:r w:rsidRPr="007449E4">
        <w:rPr>
          <w:rFonts w:ascii="Arial" w:eastAsia="Calibri" w:hAnsi="Arial" w:cs="Arial"/>
          <w:sz w:val="20"/>
          <w:szCs w:val="20"/>
          <w:lang w:val="en-US" w:eastAsia="da-DK"/>
        </w:rPr>
        <w:t>/(</w:t>
      </w:r>
      <w:proofErr w:type="gramEnd"/>
      <w:r w:rsidRPr="007449E4">
        <w:rPr>
          <w:rFonts w:ascii="Arial" w:eastAsia="Calibri" w:hAnsi="Arial" w:cs="Arial"/>
          <w:sz w:val="20"/>
          <w:szCs w:val="20"/>
          <w:lang w:val="en-US" w:eastAsia="da-DK"/>
        </w:rPr>
        <w:t xml:space="preserve">04)03 is under review in WGFM/SRD/MG. and ETSI is in process of preparing an ETSI </w:t>
      </w:r>
      <w:proofErr w:type="spellStart"/>
      <w:r w:rsidRPr="007449E4">
        <w:rPr>
          <w:rFonts w:ascii="Arial" w:eastAsia="Calibri" w:hAnsi="Arial" w:cs="Arial"/>
          <w:sz w:val="20"/>
          <w:szCs w:val="20"/>
          <w:lang w:val="en-US" w:eastAsia="da-DK"/>
        </w:rPr>
        <w:t>SRDoc</w:t>
      </w:r>
      <w:proofErr w:type="spellEnd"/>
      <w:r w:rsidRPr="007449E4">
        <w:rPr>
          <w:rFonts w:ascii="Arial" w:eastAsia="Calibri" w:hAnsi="Arial" w:cs="Arial"/>
          <w:sz w:val="20"/>
          <w:szCs w:val="20"/>
          <w:lang w:val="en-US" w:eastAsia="da-DK"/>
        </w:rPr>
        <w:t>. A common regulation 76-81 GHz, in support of the trend towards single chip solutions 76-81 GHz, and setting out of the regulation in a way to enable more use cases (such as in the USA) could potentially be considered. There is also Decision 2004/545/EC in relation to ECC/DEC</w:t>
      </w:r>
      <w:proofErr w:type="gramStart"/>
      <w:r w:rsidRPr="007449E4">
        <w:rPr>
          <w:rFonts w:ascii="Arial" w:eastAsia="Calibri" w:hAnsi="Arial" w:cs="Arial"/>
          <w:sz w:val="20"/>
          <w:szCs w:val="20"/>
          <w:lang w:val="en-US" w:eastAsia="da-DK"/>
        </w:rPr>
        <w:t>/(</w:t>
      </w:r>
      <w:proofErr w:type="gramEnd"/>
      <w:r w:rsidRPr="007449E4">
        <w:rPr>
          <w:rFonts w:ascii="Arial" w:eastAsia="Calibri" w:hAnsi="Arial" w:cs="Arial"/>
          <w:sz w:val="20"/>
          <w:szCs w:val="20"/>
          <w:lang w:val="en-US" w:eastAsia="da-DK"/>
        </w:rPr>
        <w:t>04)03.</w:t>
      </w:r>
    </w:p>
    <w:p w:rsidR="001A75CF" w:rsidRPr="00B43306" w:rsidRDefault="007449E4" w:rsidP="00481D8C">
      <w:pPr>
        <w:pStyle w:val="ListParagraph"/>
        <w:numPr>
          <w:ilvl w:val="0"/>
          <w:numId w:val="6"/>
        </w:numPr>
        <w:spacing w:after="60" w:line="240" w:lineRule="auto"/>
        <w:ind w:left="709"/>
        <w:rPr>
          <w:rFonts w:ascii="Arial" w:eastAsia="Calibri" w:hAnsi="Arial" w:cs="Arial"/>
          <w:sz w:val="20"/>
          <w:szCs w:val="20"/>
          <w:lang w:val="en-US" w:eastAsia="da-DK"/>
        </w:rPr>
      </w:pPr>
      <w:r w:rsidRPr="00B43306">
        <w:rPr>
          <w:rFonts w:ascii="Arial" w:eastAsia="Calibri" w:hAnsi="Arial" w:cs="Arial"/>
          <w:sz w:val="20"/>
          <w:szCs w:val="20"/>
          <w:lang w:val="en-US" w:eastAsia="da-DK"/>
        </w:rPr>
        <w:t xml:space="preserve">In July 2018, Canada’s Innovation, Science and Economic Development (ISED) published </w:t>
      </w:r>
      <w:hyperlink r:id="rId37" w:tgtFrame="_blank" w:history="1">
        <w:r w:rsidRPr="00B43306">
          <w:rPr>
            <w:rFonts w:ascii="Arial" w:eastAsia="Calibri" w:hAnsi="Arial" w:cs="Arial"/>
            <w:sz w:val="20"/>
            <w:szCs w:val="20"/>
            <w:u w:val="single"/>
            <w:lang w:val="en-US" w:eastAsia="da-DK"/>
          </w:rPr>
          <w:t>Radio Standard Specification RSS-251, Issue 2, Vehicular Radar and Airport Fixed or Mobile Radar in the 76-81 GHz Frequency Band</w:t>
        </w:r>
      </w:hyperlink>
      <w:r w:rsidRPr="00B43306">
        <w:rPr>
          <w:rFonts w:ascii="Arial" w:eastAsia="Calibri" w:hAnsi="Arial" w:cs="Arial"/>
          <w:sz w:val="20"/>
          <w:szCs w:val="20"/>
          <w:lang w:val="en-US" w:eastAsia="da-DK"/>
        </w:rPr>
        <w:t xml:space="preserve">, replacing RSS-251, Issue 1, Field Disturbance Sensors in the Bands 46.7-46.9 GHz (Vehicular Radar) and 76-77 GHz (Vehicular and Airport Fixed Radar). </w:t>
      </w:r>
    </w:p>
    <w:p w:rsidR="007449E4" w:rsidRPr="001A75CF" w:rsidRDefault="007449E4" w:rsidP="00263340">
      <w:pPr>
        <w:spacing w:after="60" w:line="240" w:lineRule="auto"/>
        <w:rPr>
          <w:rFonts w:ascii="Arial" w:eastAsia="Calibri" w:hAnsi="Arial" w:cs="Arial"/>
          <w:sz w:val="20"/>
          <w:szCs w:val="20"/>
          <w:lang w:val="en-US" w:eastAsia="da-DK"/>
        </w:rPr>
      </w:pPr>
      <w:r w:rsidRPr="001A75CF">
        <w:rPr>
          <w:rFonts w:ascii="Arial" w:eastAsia="Calibri" w:hAnsi="Arial" w:cs="Arial"/>
          <w:sz w:val="20"/>
          <w:szCs w:val="20"/>
          <w:lang w:val="en-US" w:eastAsia="da-DK"/>
        </w:rPr>
        <w:t>The main changes are as follows:</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A six-month transition period has been included to accommodate the compliance of 76-77 GHz vehicular radar devices and airport fixed radar to RSS-251, Issue 2 requirements.</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frequency band for vehicular radar and airport fixed (now also for airport mobile radar) has been expanded from 76-77 GHz to 76-81 GHz, to harmonize with the global usage of the frequency band.</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scope of the term “vehicle” has been included in the purpose and application of the current standard to identify vehicle types that fall within the scope of this standard. This includes aircraft-mounted radars for ground operations while within airport air operations areas.</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scope of airport radar systems has been expanded to allow fixed or mobile radar systems for airport air operations purposes, in addition to those previously listed (foreign object debris detection and monitoring of aircrafts and service vehicles in service areas where there is no public access).</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A requirement to implement a radar deactivation mechanism when an aircraft becomes airborne, has been implemented as aircrafts’ use of the 76-81 GHz radars is intended exclusively for their operation while on the ground, in airport air operations areas.</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lastRenderedPageBreak/>
        <w:t>New sections to address certification and licensing requirements information (license-exempt) have been included in the general section (Section 3).</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sections referencing RSS-102 (for radio frequency exposure) and RSP-100 (for certification of radio apparatus) have been removed. These are referenced by RSS-Gen, which is referenced by this current standard.</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allowance to transmit information in addition to the primary radar functions, which was applicable to radar devices in the bands 46.7-46.9 GHz and 76-77 GHz, was removed. Radar (i.e. vehicular and airport fixed or mobile radar) is the only permitted use by devices under the scope of this current standard.</w:t>
      </w:r>
    </w:p>
    <w:p w:rsidR="007449E4" w:rsidRP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method of measurements and limits for average e.i.r.p. and peak e.i.r.p. spectral density for 76-81 GHz radars have been reviewed and prescribed accordingly.</w:t>
      </w:r>
    </w:p>
    <w:p w:rsidR="007449E4" w:rsidRDefault="007449E4" w:rsidP="00481D8C">
      <w:pPr>
        <w:numPr>
          <w:ilvl w:val="0"/>
          <w:numId w:val="7"/>
        </w:numPr>
        <w:spacing w:after="60" w:line="240" w:lineRule="auto"/>
        <w:rPr>
          <w:rFonts w:ascii="Arial" w:eastAsia="Times New Roman" w:hAnsi="Arial" w:cs="Arial"/>
          <w:sz w:val="20"/>
          <w:szCs w:val="20"/>
          <w:lang w:val="en-US" w:eastAsia="da-DK"/>
        </w:rPr>
      </w:pPr>
      <w:r w:rsidRPr="007449E4">
        <w:rPr>
          <w:rFonts w:ascii="Arial" w:eastAsia="Times New Roman" w:hAnsi="Arial" w:cs="Arial"/>
          <w:sz w:val="20"/>
          <w:szCs w:val="20"/>
          <w:lang w:val="en-US" w:eastAsia="da-DK"/>
        </w:rPr>
        <w:t>The unwanted emission requirements for 76-81 GHz radars have been reviewed and prescribed accordingly.</w:t>
      </w:r>
    </w:p>
    <w:p w:rsidR="00184608" w:rsidRPr="00184608" w:rsidRDefault="00184608" w:rsidP="00C900E1">
      <w:pPr>
        <w:spacing w:before="100" w:beforeAutospacing="1" w:after="100" w:afterAutospacing="1" w:line="240" w:lineRule="auto"/>
        <w:rPr>
          <w:rFonts w:ascii="Arial" w:eastAsia="Times New Roman" w:hAnsi="Arial" w:cs="Arial"/>
          <w:b/>
          <w:sz w:val="20"/>
          <w:szCs w:val="20"/>
          <w:lang w:val="en-US" w:eastAsia="da-DK"/>
        </w:rPr>
      </w:pPr>
      <w:r w:rsidRPr="00184608">
        <w:rPr>
          <w:rFonts w:ascii="Arial" w:eastAsia="Times New Roman" w:hAnsi="Arial" w:cs="Arial"/>
          <w:b/>
          <w:sz w:val="20"/>
          <w:szCs w:val="20"/>
          <w:lang w:val="en-US" w:eastAsia="da-DK"/>
        </w:rPr>
        <w:t>(</w:t>
      </w:r>
      <w:proofErr w:type="gramStart"/>
      <w:r w:rsidRPr="00184608">
        <w:rPr>
          <w:rFonts w:ascii="Arial" w:eastAsia="Times New Roman" w:hAnsi="Arial" w:cs="Arial"/>
          <w:b/>
          <w:sz w:val="20"/>
          <w:szCs w:val="20"/>
          <w:lang w:val="en-US" w:eastAsia="da-DK"/>
        </w:rPr>
        <w:t>for</w:t>
      </w:r>
      <w:proofErr w:type="gramEnd"/>
      <w:r w:rsidRPr="00184608">
        <w:rPr>
          <w:rFonts w:ascii="Arial" w:eastAsia="Times New Roman" w:hAnsi="Arial" w:cs="Arial"/>
          <w:b/>
          <w:sz w:val="20"/>
          <w:szCs w:val="20"/>
          <w:lang w:val="en-US" w:eastAsia="da-DK"/>
        </w:rPr>
        <w:t xml:space="preserve"> information in WG FM and SRD/MG)</w:t>
      </w:r>
    </w:p>
    <w:sectPr w:rsidR="00184608" w:rsidRPr="00184608" w:rsidSect="00327F8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28" w:rsidRDefault="00C37928" w:rsidP="006E0A73">
      <w:pPr>
        <w:spacing w:after="0" w:line="240" w:lineRule="auto"/>
      </w:pPr>
      <w:r>
        <w:separator/>
      </w:r>
    </w:p>
  </w:endnote>
  <w:endnote w:type="continuationSeparator" w:id="0">
    <w:p w:rsidR="00C37928" w:rsidRDefault="00C37928" w:rsidP="006E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28" w:rsidRDefault="00C37928" w:rsidP="006E0A73">
      <w:pPr>
        <w:spacing w:after="0" w:line="240" w:lineRule="auto"/>
      </w:pPr>
      <w:r>
        <w:separator/>
      </w:r>
    </w:p>
  </w:footnote>
  <w:footnote w:type="continuationSeparator" w:id="0">
    <w:p w:rsidR="00C37928" w:rsidRDefault="00C37928" w:rsidP="006E0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C4"/>
    <w:multiLevelType w:val="hybridMultilevel"/>
    <w:tmpl w:val="B80C2D58"/>
    <w:lvl w:ilvl="0" w:tplc="3448216A">
      <w:start w:val="18"/>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F56653"/>
    <w:multiLevelType w:val="hybridMultilevel"/>
    <w:tmpl w:val="9126CB28"/>
    <w:lvl w:ilvl="0" w:tplc="04060005">
      <w:start w:val="1"/>
      <w:numFmt w:val="bullet"/>
      <w:lvlText w:val=""/>
      <w:lvlJc w:val="left"/>
      <w:pPr>
        <w:ind w:left="1665" w:hanging="1305"/>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03146F6"/>
    <w:multiLevelType w:val="hybridMultilevel"/>
    <w:tmpl w:val="24E612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04B49DA"/>
    <w:multiLevelType w:val="multilevel"/>
    <w:tmpl w:val="09DECC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8414AD"/>
    <w:multiLevelType w:val="hybridMultilevel"/>
    <w:tmpl w:val="F0DCBEA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F332448"/>
    <w:multiLevelType w:val="hybridMultilevel"/>
    <w:tmpl w:val="1AAC964E"/>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BDC4C26"/>
    <w:multiLevelType w:val="hybridMultilevel"/>
    <w:tmpl w:val="3B4052C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5CC0E99"/>
    <w:multiLevelType w:val="hybridMultilevel"/>
    <w:tmpl w:val="47D8A538"/>
    <w:lvl w:ilvl="0" w:tplc="3448216A">
      <w:start w:val="18"/>
      <w:numFmt w:val="bullet"/>
      <w:lvlText w:val="-"/>
      <w:lvlJc w:val="left"/>
      <w:pPr>
        <w:ind w:left="720" w:hanging="360"/>
      </w:pPr>
      <w:rPr>
        <w:rFonts w:ascii="Arial" w:eastAsiaTheme="minorHAnsi" w:hAnsi="Arial" w:cs="Arial"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78B09BD"/>
    <w:multiLevelType w:val="hybridMultilevel"/>
    <w:tmpl w:val="703080B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BA31695"/>
    <w:multiLevelType w:val="hybridMultilevel"/>
    <w:tmpl w:val="F79A7620"/>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8"/>
  </w:num>
  <w:num w:numId="6">
    <w:abstractNumId w:val="9"/>
  </w:num>
  <w:num w:numId="7">
    <w:abstractNumId w:val="3"/>
  </w:num>
  <w:num w:numId="8">
    <w:abstractNumId w:val="4"/>
  </w:num>
  <w:num w:numId="9">
    <w:abstractNumId w:val="5"/>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70"/>
    <w:rsid w:val="00012298"/>
    <w:rsid w:val="000164D8"/>
    <w:rsid w:val="0005618C"/>
    <w:rsid w:val="0005702A"/>
    <w:rsid w:val="0007001F"/>
    <w:rsid w:val="000772DC"/>
    <w:rsid w:val="000868DB"/>
    <w:rsid w:val="00090298"/>
    <w:rsid w:val="00091541"/>
    <w:rsid w:val="000A1C02"/>
    <w:rsid w:val="000D6B58"/>
    <w:rsid w:val="000F6F38"/>
    <w:rsid w:val="000F7AE7"/>
    <w:rsid w:val="00110835"/>
    <w:rsid w:val="00131111"/>
    <w:rsid w:val="0013311C"/>
    <w:rsid w:val="00134E4E"/>
    <w:rsid w:val="0014429B"/>
    <w:rsid w:val="00162D23"/>
    <w:rsid w:val="00166FF4"/>
    <w:rsid w:val="0016775A"/>
    <w:rsid w:val="00182BA6"/>
    <w:rsid w:val="00184608"/>
    <w:rsid w:val="00190C90"/>
    <w:rsid w:val="00192D2C"/>
    <w:rsid w:val="001A07AB"/>
    <w:rsid w:val="001A75CF"/>
    <w:rsid w:val="001B1C5C"/>
    <w:rsid w:val="001C207B"/>
    <w:rsid w:val="001C2E7A"/>
    <w:rsid w:val="001D0CA2"/>
    <w:rsid w:val="001D53EF"/>
    <w:rsid w:val="001E56D9"/>
    <w:rsid w:val="001F11FD"/>
    <w:rsid w:val="001F27FB"/>
    <w:rsid w:val="00206020"/>
    <w:rsid w:val="00211CD7"/>
    <w:rsid w:val="00212129"/>
    <w:rsid w:val="00216691"/>
    <w:rsid w:val="00216A9A"/>
    <w:rsid w:val="002313DA"/>
    <w:rsid w:val="00244DEE"/>
    <w:rsid w:val="00263340"/>
    <w:rsid w:val="00266218"/>
    <w:rsid w:val="002671B2"/>
    <w:rsid w:val="00273168"/>
    <w:rsid w:val="00276849"/>
    <w:rsid w:val="002B1A39"/>
    <w:rsid w:val="002B6904"/>
    <w:rsid w:val="002D4CC8"/>
    <w:rsid w:val="00316276"/>
    <w:rsid w:val="0032130A"/>
    <w:rsid w:val="00327F87"/>
    <w:rsid w:val="0034479C"/>
    <w:rsid w:val="00367E17"/>
    <w:rsid w:val="003748C7"/>
    <w:rsid w:val="00375A62"/>
    <w:rsid w:val="003A62C2"/>
    <w:rsid w:val="003C0111"/>
    <w:rsid w:val="003C4284"/>
    <w:rsid w:val="003F04F6"/>
    <w:rsid w:val="003F1C75"/>
    <w:rsid w:val="003F2AF8"/>
    <w:rsid w:val="0040409E"/>
    <w:rsid w:val="004260C0"/>
    <w:rsid w:val="0047781D"/>
    <w:rsid w:val="00481D8C"/>
    <w:rsid w:val="00485B3D"/>
    <w:rsid w:val="00497E1E"/>
    <w:rsid w:val="004B4C3E"/>
    <w:rsid w:val="004D5FDA"/>
    <w:rsid w:val="004E29B2"/>
    <w:rsid w:val="004E5063"/>
    <w:rsid w:val="004F3D96"/>
    <w:rsid w:val="00507ECE"/>
    <w:rsid w:val="00527482"/>
    <w:rsid w:val="00534E70"/>
    <w:rsid w:val="0055415B"/>
    <w:rsid w:val="00554A70"/>
    <w:rsid w:val="00575C7B"/>
    <w:rsid w:val="00587BF7"/>
    <w:rsid w:val="005C2773"/>
    <w:rsid w:val="005C2BAB"/>
    <w:rsid w:val="005D201A"/>
    <w:rsid w:val="005D7C97"/>
    <w:rsid w:val="005E08C5"/>
    <w:rsid w:val="005E3A78"/>
    <w:rsid w:val="005E4537"/>
    <w:rsid w:val="006017AE"/>
    <w:rsid w:val="0061000A"/>
    <w:rsid w:val="00611791"/>
    <w:rsid w:val="006266B5"/>
    <w:rsid w:val="00627893"/>
    <w:rsid w:val="00627B8A"/>
    <w:rsid w:val="0063672D"/>
    <w:rsid w:val="00644B18"/>
    <w:rsid w:val="00652DDF"/>
    <w:rsid w:val="00661B82"/>
    <w:rsid w:val="00684360"/>
    <w:rsid w:val="006A2DF7"/>
    <w:rsid w:val="006B1972"/>
    <w:rsid w:val="006B1A3F"/>
    <w:rsid w:val="006B220F"/>
    <w:rsid w:val="006B7F30"/>
    <w:rsid w:val="006C02EB"/>
    <w:rsid w:val="006D079C"/>
    <w:rsid w:val="006E0A73"/>
    <w:rsid w:val="006E3D59"/>
    <w:rsid w:val="0070555D"/>
    <w:rsid w:val="007356BA"/>
    <w:rsid w:val="00742C2B"/>
    <w:rsid w:val="007449E4"/>
    <w:rsid w:val="0074749F"/>
    <w:rsid w:val="007549DC"/>
    <w:rsid w:val="007625C6"/>
    <w:rsid w:val="00764283"/>
    <w:rsid w:val="00772950"/>
    <w:rsid w:val="00775652"/>
    <w:rsid w:val="007A4FB0"/>
    <w:rsid w:val="007A7065"/>
    <w:rsid w:val="007C5853"/>
    <w:rsid w:val="008368ED"/>
    <w:rsid w:val="00840762"/>
    <w:rsid w:val="00876945"/>
    <w:rsid w:val="008A4AD7"/>
    <w:rsid w:val="008B1EC3"/>
    <w:rsid w:val="008C02C7"/>
    <w:rsid w:val="008C4495"/>
    <w:rsid w:val="008C48B8"/>
    <w:rsid w:val="008C4D34"/>
    <w:rsid w:val="008C5D99"/>
    <w:rsid w:val="008D27F3"/>
    <w:rsid w:val="008D69C0"/>
    <w:rsid w:val="008F239A"/>
    <w:rsid w:val="0090008B"/>
    <w:rsid w:val="00902A64"/>
    <w:rsid w:val="009164BB"/>
    <w:rsid w:val="00927DA1"/>
    <w:rsid w:val="0093089A"/>
    <w:rsid w:val="009443AD"/>
    <w:rsid w:val="00956A3F"/>
    <w:rsid w:val="00970EBF"/>
    <w:rsid w:val="00986ACA"/>
    <w:rsid w:val="00992581"/>
    <w:rsid w:val="00995921"/>
    <w:rsid w:val="009A3A38"/>
    <w:rsid w:val="009B3821"/>
    <w:rsid w:val="009E057E"/>
    <w:rsid w:val="009E6A4C"/>
    <w:rsid w:val="009F3EFE"/>
    <w:rsid w:val="009F461C"/>
    <w:rsid w:val="00A11D66"/>
    <w:rsid w:val="00A16DBE"/>
    <w:rsid w:val="00A514EE"/>
    <w:rsid w:val="00A73945"/>
    <w:rsid w:val="00A8215F"/>
    <w:rsid w:val="00A8562F"/>
    <w:rsid w:val="00A862A3"/>
    <w:rsid w:val="00A87079"/>
    <w:rsid w:val="00A909E2"/>
    <w:rsid w:val="00A948F4"/>
    <w:rsid w:val="00AA438D"/>
    <w:rsid w:val="00AA7061"/>
    <w:rsid w:val="00AB0965"/>
    <w:rsid w:val="00AC1F50"/>
    <w:rsid w:val="00AC6730"/>
    <w:rsid w:val="00AD354E"/>
    <w:rsid w:val="00B12B8F"/>
    <w:rsid w:val="00B21591"/>
    <w:rsid w:val="00B43306"/>
    <w:rsid w:val="00B632AB"/>
    <w:rsid w:val="00B730E3"/>
    <w:rsid w:val="00B84202"/>
    <w:rsid w:val="00B866ED"/>
    <w:rsid w:val="00B97958"/>
    <w:rsid w:val="00BA0702"/>
    <w:rsid w:val="00BA4067"/>
    <w:rsid w:val="00BC4347"/>
    <w:rsid w:val="00BD1069"/>
    <w:rsid w:val="00BD4F6C"/>
    <w:rsid w:val="00BD6BCE"/>
    <w:rsid w:val="00BD6FDA"/>
    <w:rsid w:val="00BF1B18"/>
    <w:rsid w:val="00BF1C90"/>
    <w:rsid w:val="00BF5453"/>
    <w:rsid w:val="00C001AB"/>
    <w:rsid w:val="00C0333A"/>
    <w:rsid w:val="00C21AAD"/>
    <w:rsid w:val="00C248CF"/>
    <w:rsid w:val="00C3166D"/>
    <w:rsid w:val="00C32B10"/>
    <w:rsid w:val="00C354CA"/>
    <w:rsid w:val="00C37928"/>
    <w:rsid w:val="00C67F96"/>
    <w:rsid w:val="00C71633"/>
    <w:rsid w:val="00C73A87"/>
    <w:rsid w:val="00C80B73"/>
    <w:rsid w:val="00C81770"/>
    <w:rsid w:val="00C845BF"/>
    <w:rsid w:val="00C900E1"/>
    <w:rsid w:val="00C9503C"/>
    <w:rsid w:val="00C95D8A"/>
    <w:rsid w:val="00CC3AD6"/>
    <w:rsid w:val="00CC4D42"/>
    <w:rsid w:val="00D16783"/>
    <w:rsid w:val="00D27276"/>
    <w:rsid w:val="00D2735D"/>
    <w:rsid w:val="00D61B18"/>
    <w:rsid w:val="00D61C13"/>
    <w:rsid w:val="00D666D3"/>
    <w:rsid w:val="00D77151"/>
    <w:rsid w:val="00D96386"/>
    <w:rsid w:val="00DB0D95"/>
    <w:rsid w:val="00DB7117"/>
    <w:rsid w:val="00DE5259"/>
    <w:rsid w:val="00E269A2"/>
    <w:rsid w:val="00E27F65"/>
    <w:rsid w:val="00E35067"/>
    <w:rsid w:val="00E35FEE"/>
    <w:rsid w:val="00E472B7"/>
    <w:rsid w:val="00E55815"/>
    <w:rsid w:val="00E576A8"/>
    <w:rsid w:val="00E63DCA"/>
    <w:rsid w:val="00E676C0"/>
    <w:rsid w:val="00E83977"/>
    <w:rsid w:val="00EC690B"/>
    <w:rsid w:val="00EC753D"/>
    <w:rsid w:val="00EF09FF"/>
    <w:rsid w:val="00EF15DC"/>
    <w:rsid w:val="00EF4F82"/>
    <w:rsid w:val="00F005AA"/>
    <w:rsid w:val="00F119BE"/>
    <w:rsid w:val="00F11A3D"/>
    <w:rsid w:val="00F13689"/>
    <w:rsid w:val="00F354C1"/>
    <w:rsid w:val="00F3563D"/>
    <w:rsid w:val="00F370DA"/>
    <w:rsid w:val="00F64167"/>
    <w:rsid w:val="00F70217"/>
    <w:rsid w:val="00FA422B"/>
    <w:rsid w:val="00FB1FC2"/>
    <w:rsid w:val="00FC0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 w:type="table" w:customStyle="1" w:styleId="TableGrid2">
    <w:name w:val="Table Grid2"/>
    <w:basedOn w:val="TableNormal"/>
    <w:next w:val="TableGrid"/>
    <w:uiPriority w:val="59"/>
    <w:rsid w:val="001F27FB"/>
    <w:pPr>
      <w:spacing w:after="0" w:line="240" w:lineRule="auto"/>
    </w:pPr>
    <w:rPr>
      <w:rFonts w:ascii="CG Times" w:eastAsia="MS Mincho" w:hAnsi="CG Times"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B82"/>
    <w:rPr>
      <w:b/>
      <w:bCs/>
    </w:rPr>
  </w:style>
  <w:style w:type="paragraph" w:styleId="Header">
    <w:name w:val="header"/>
    <w:basedOn w:val="Normal"/>
    <w:link w:val="HeaderChar"/>
    <w:uiPriority w:val="99"/>
    <w:unhideWhenUsed/>
    <w:rsid w:val="006E0A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A73"/>
  </w:style>
  <w:style w:type="paragraph" w:styleId="Footer">
    <w:name w:val="footer"/>
    <w:basedOn w:val="Normal"/>
    <w:link w:val="FooterChar"/>
    <w:uiPriority w:val="99"/>
    <w:unhideWhenUsed/>
    <w:rsid w:val="006E0A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0A73"/>
  </w:style>
  <w:style w:type="paragraph" w:customStyle="1" w:styleId="Default">
    <w:name w:val="Default"/>
    <w:rsid w:val="006E0A7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0B73"/>
    <w:rPr>
      <w:sz w:val="16"/>
      <w:szCs w:val="16"/>
    </w:rPr>
  </w:style>
  <w:style w:type="paragraph" w:styleId="CommentText">
    <w:name w:val="annotation text"/>
    <w:basedOn w:val="Normal"/>
    <w:link w:val="CommentTextChar"/>
    <w:uiPriority w:val="99"/>
    <w:semiHidden/>
    <w:unhideWhenUsed/>
    <w:rsid w:val="00C80B73"/>
    <w:pPr>
      <w:spacing w:line="240" w:lineRule="auto"/>
    </w:pPr>
    <w:rPr>
      <w:sz w:val="20"/>
      <w:szCs w:val="20"/>
    </w:rPr>
  </w:style>
  <w:style w:type="character" w:customStyle="1" w:styleId="CommentTextChar">
    <w:name w:val="Comment Text Char"/>
    <w:basedOn w:val="DefaultParagraphFont"/>
    <w:link w:val="CommentText"/>
    <w:uiPriority w:val="99"/>
    <w:semiHidden/>
    <w:rsid w:val="00C80B73"/>
    <w:rPr>
      <w:sz w:val="20"/>
      <w:szCs w:val="20"/>
    </w:rPr>
  </w:style>
  <w:style w:type="paragraph" w:styleId="CommentSubject">
    <w:name w:val="annotation subject"/>
    <w:basedOn w:val="CommentText"/>
    <w:next w:val="CommentText"/>
    <w:link w:val="CommentSubjectChar"/>
    <w:uiPriority w:val="99"/>
    <w:semiHidden/>
    <w:unhideWhenUsed/>
    <w:rsid w:val="00C80B73"/>
    <w:rPr>
      <w:b/>
      <w:bCs/>
    </w:rPr>
  </w:style>
  <w:style w:type="character" w:customStyle="1" w:styleId="CommentSubjectChar">
    <w:name w:val="Comment Subject Char"/>
    <w:basedOn w:val="CommentTextChar"/>
    <w:link w:val="CommentSubject"/>
    <w:uiPriority w:val="99"/>
    <w:semiHidden/>
    <w:rsid w:val="00C80B73"/>
    <w:rPr>
      <w:b/>
      <w:bCs/>
      <w:sz w:val="20"/>
      <w:szCs w:val="20"/>
    </w:rPr>
  </w:style>
  <w:style w:type="table" w:customStyle="1" w:styleId="TableGrid1">
    <w:name w:val="Table Grid1"/>
    <w:basedOn w:val="TableNormal"/>
    <w:rsid w:val="00E27F65"/>
    <w:pPr>
      <w:spacing w:after="0" w:line="240" w:lineRule="auto"/>
    </w:pPr>
    <w:rPr>
      <w:rFonts w:ascii="Times New Roman" w:eastAsia="Batang"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563D"/>
    <w:pPr>
      <w:spacing w:after="0" w:line="240" w:lineRule="auto"/>
    </w:pPr>
    <w:rPr>
      <w:rFonts w:ascii="Century" w:eastAsia="MS Mincho" w:hAnsi="Century" w:cs="Times New Roman"/>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F1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 w:type="table" w:customStyle="1" w:styleId="TableGrid2">
    <w:name w:val="Table Grid2"/>
    <w:basedOn w:val="TableNormal"/>
    <w:next w:val="TableGrid"/>
    <w:uiPriority w:val="59"/>
    <w:rsid w:val="001F27FB"/>
    <w:pPr>
      <w:spacing w:after="0" w:line="240" w:lineRule="auto"/>
    </w:pPr>
    <w:rPr>
      <w:rFonts w:ascii="CG Times" w:eastAsia="MS Mincho" w:hAnsi="CG Times"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B82"/>
    <w:rPr>
      <w:b/>
      <w:bCs/>
    </w:rPr>
  </w:style>
  <w:style w:type="paragraph" w:styleId="Header">
    <w:name w:val="header"/>
    <w:basedOn w:val="Normal"/>
    <w:link w:val="HeaderChar"/>
    <w:uiPriority w:val="99"/>
    <w:unhideWhenUsed/>
    <w:rsid w:val="006E0A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A73"/>
  </w:style>
  <w:style w:type="paragraph" w:styleId="Footer">
    <w:name w:val="footer"/>
    <w:basedOn w:val="Normal"/>
    <w:link w:val="FooterChar"/>
    <w:uiPriority w:val="99"/>
    <w:unhideWhenUsed/>
    <w:rsid w:val="006E0A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0A73"/>
  </w:style>
  <w:style w:type="paragraph" w:customStyle="1" w:styleId="Default">
    <w:name w:val="Default"/>
    <w:rsid w:val="006E0A7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0B73"/>
    <w:rPr>
      <w:sz w:val="16"/>
      <w:szCs w:val="16"/>
    </w:rPr>
  </w:style>
  <w:style w:type="paragraph" w:styleId="CommentText">
    <w:name w:val="annotation text"/>
    <w:basedOn w:val="Normal"/>
    <w:link w:val="CommentTextChar"/>
    <w:uiPriority w:val="99"/>
    <w:semiHidden/>
    <w:unhideWhenUsed/>
    <w:rsid w:val="00C80B73"/>
    <w:pPr>
      <w:spacing w:line="240" w:lineRule="auto"/>
    </w:pPr>
    <w:rPr>
      <w:sz w:val="20"/>
      <w:szCs w:val="20"/>
    </w:rPr>
  </w:style>
  <w:style w:type="character" w:customStyle="1" w:styleId="CommentTextChar">
    <w:name w:val="Comment Text Char"/>
    <w:basedOn w:val="DefaultParagraphFont"/>
    <w:link w:val="CommentText"/>
    <w:uiPriority w:val="99"/>
    <w:semiHidden/>
    <w:rsid w:val="00C80B73"/>
    <w:rPr>
      <w:sz w:val="20"/>
      <w:szCs w:val="20"/>
    </w:rPr>
  </w:style>
  <w:style w:type="paragraph" w:styleId="CommentSubject">
    <w:name w:val="annotation subject"/>
    <w:basedOn w:val="CommentText"/>
    <w:next w:val="CommentText"/>
    <w:link w:val="CommentSubjectChar"/>
    <w:uiPriority w:val="99"/>
    <w:semiHidden/>
    <w:unhideWhenUsed/>
    <w:rsid w:val="00C80B73"/>
    <w:rPr>
      <w:b/>
      <w:bCs/>
    </w:rPr>
  </w:style>
  <w:style w:type="character" w:customStyle="1" w:styleId="CommentSubjectChar">
    <w:name w:val="Comment Subject Char"/>
    <w:basedOn w:val="CommentTextChar"/>
    <w:link w:val="CommentSubject"/>
    <w:uiPriority w:val="99"/>
    <w:semiHidden/>
    <w:rsid w:val="00C80B73"/>
    <w:rPr>
      <w:b/>
      <w:bCs/>
      <w:sz w:val="20"/>
      <w:szCs w:val="20"/>
    </w:rPr>
  </w:style>
  <w:style w:type="table" w:customStyle="1" w:styleId="TableGrid1">
    <w:name w:val="Table Grid1"/>
    <w:basedOn w:val="TableNormal"/>
    <w:rsid w:val="00E27F65"/>
    <w:pPr>
      <w:spacing w:after="0" w:line="240" w:lineRule="auto"/>
    </w:pPr>
    <w:rPr>
      <w:rFonts w:ascii="Times New Roman" w:eastAsia="Batang"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563D"/>
    <w:pPr>
      <w:spacing w:after="0" w:line="240" w:lineRule="auto"/>
    </w:pPr>
    <w:rPr>
      <w:rFonts w:ascii="Century" w:eastAsia="MS Mincho" w:hAnsi="Century" w:cs="Times New Roman"/>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F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796">
      <w:bodyDiv w:val="1"/>
      <w:marLeft w:val="0"/>
      <w:marRight w:val="0"/>
      <w:marTop w:val="0"/>
      <w:marBottom w:val="0"/>
      <w:divBdr>
        <w:top w:val="none" w:sz="0" w:space="0" w:color="auto"/>
        <w:left w:val="none" w:sz="0" w:space="0" w:color="auto"/>
        <w:bottom w:val="none" w:sz="0" w:space="0" w:color="auto"/>
        <w:right w:val="none" w:sz="0" w:space="0" w:color="auto"/>
      </w:divBdr>
      <w:divsChild>
        <w:div w:id="457452894">
          <w:marLeft w:val="0"/>
          <w:marRight w:val="0"/>
          <w:marTop w:val="0"/>
          <w:marBottom w:val="0"/>
          <w:divBdr>
            <w:top w:val="none" w:sz="0" w:space="0" w:color="auto"/>
            <w:left w:val="none" w:sz="0" w:space="0" w:color="auto"/>
            <w:bottom w:val="none" w:sz="0" w:space="0" w:color="auto"/>
            <w:right w:val="none" w:sz="0" w:space="0" w:color="auto"/>
          </w:divBdr>
          <w:divsChild>
            <w:div w:id="1510021781">
              <w:marLeft w:val="0"/>
              <w:marRight w:val="0"/>
              <w:marTop w:val="0"/>
              <w:marBottom w:val="0"/>
              <w:divBdr>
                <w:top w:val="none" w:sz="0" w:space="0" w:color="auto"/>
                <w:left w:val="none" w:sz="0" w:space="0" w:color="auto"/>
                <w:bottom w:val="none" w:sz="0" w:space="0" w:color="auto"/>
                <w:right w:val="none" w:sz="0" w:space="0" w:color="auto"/>
              </w:divBdr>
              <w:divsChild>
                <w:div w:id="451291675">
                  <w:marLeft w:val="0"/>
                  <w:marRight w:val="0"/>
                  <w:marTop w:val="0"/>
                  <w:marBottom w:val="0"/>
                  <w:divBdr>
                    <w:top w:val="none" w:sz="0" w:space="0" w:color="auto"/>
                    <w:left w:val="none" w:sz="0" w:space="0" w:color="auto"/>
                    <w:bottom w:val="none" w:sz="0" w:space="0" w:color="auto"/>
                    <w:right w:val="none" w:sz="0" w:space="0" w:color="auto"/>
                  </w:divBdr>
                </w:div>
              </w:divsChild>
            </w:div>
            <w:div w:id="957638432">
              <w:marLeft w:val="0"/>
              <w:marRight w:val="0"/>
              <w:marTop w:val="0"/>
              <w:marBottom w:val="0"/>
              <w:divBdr>
                <w:top w:val="none" w:sz="0" w:space="0" w:color="auto"/>
                <w:left w:val="none" w:sz="0" w:space="0" w:color="auto"/>
                <w:bottom w:val="none" w:sz="0" w:space="0" w:color="auto"/>
                <w:right w:val="none" w:sz="0" w:space="0" w:color="auto"/>
              </w:divBdr>
              <w:divsChild>
                <w:div w:id="1629313966">
                  <w:marLeft w:val="0"/>
                  <w:marRight w:val="0"/>
                  <w:marTop w:val="0"/>
                  <w:marBottom w:val="0"/>
                  <w:divBdr>
                    <w:top w:val="none" w:sz="0" w:space="0" w:color="auto"/>
                    <w:left w:val="none" w:sz="0" w:space="0" w:color="auto"/>
                    <w:bottom w:val="none" w:sz="0" w:space="0" w:color="auto"/>
                    <w:right w:val="none" w:sz="0" w:space="0" w:color="auto"/>
                  </w:divBdr>
                </w:div>
              </w:divsChild>
            </w:div>
            <w:div w:id="1784957981">
              <w:marLeft w:val="0"/>
              <w:marRight w:val="0"/>
              <w:marTop w:val="0"/>
              <w:marBottom w:val="0"/>
              <w:divBdr>
                <w:top w:val="none" w:sz="0" w:space="0" w:color="auto"/>
                <w:left w:val="none" w:sz="0" w:space="0" w:color="auto"/>
                <w:bottom w:val="none" w:sz="0" w:space="0" w:color="auto"/>
                <w:right w:val="none" w:sz="0" w:space="0" w:color="auto"/>
              </w:divBdr>
              <w:divsChild>
                <w:div w:id="18256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12">
      <w:bodyDiv w:val="1"/>
      <w:marLeft w:val="0"/>
      <w:marRight w:val="0"/>
      <w:marTop w:val="0"/>
      <w:marBottom w:val="0"/>
      <w:divBdr>
        <w:top w:val="none" w:sz="0" w:space="0" w:color="auto"/>
        <w:left w:val="none" w:sz="0" w:space="0" w:color="auto"/>
        <w:bottom w:val="none" w:sz="0" w:space="0" w:color="auto"/>
        <w:right w:val="none" w:sz="0" w:space="0" w:color="auto"/>
      </w:divBdr>
      <w:divsChild>
        <w:div w:id="1130824989">
          <w:marLeft w:val="0"/>
          <w:marRight w:val="0"/>
          <w:marTop w:val="0"/>
          <w:marBottom w:val="0"/>
          <w:divBdr>
            <w:top w:val="none" w:sz="0" w:space="0" w:color="auto"/>
            <w:left w:val="none" w:sz="0" w:space="0" w:color="auto"/>
            <w:bottom w:val="none" w:sz="0" w:space="0" w:color="auto"/>
            <w:right w:val="none" w:sz="0" w:space="0" w:color="auto"/>
          </w:divBdr>
        </w:div>
        <w:div w:id="895504579">
          <w:marLeft w:val="0"/>
          <w:marRight w:val="0"/>
          <w:marTop w:val="0"/>
          <w:marBottom w:val="0"/>
          <w:divBdr>
            <w:top w:val="none" w:sz="0" w:space="0" w:color="auto"/>
            <w:left w:val="none" w:sz="0" w:space="0" w:color="auto"/>
            <w:bottom w:val="none" w:sz="0" w:space="0" w:color="auto"/>
            <w:right w:val="none" w:sz="0" w:space="0" w:color="auto"/>
          </w:divBdr>
        </w:div>
        <w:div w:id="1570387551">
          <w:marLeft w:val="0"/>
          <w:marRight w:val="0"/>
          <w:marTop w:val="0"/>
          <w:marBottom w:val="0"/>
          <w:divBdr>
            <w:top w:val="none" w:sz="0" w:space="0" w:color="auto"/>
            <w:left w:val="none" w:sz="0" w:space="0" w:color="auto"/>
            <w:bottom w:val="none" w:sz="0" w:space="0" w:color="auto"/>
            <w:right w:val="none" w:sz="0" w:space="0" w:color="auto"/>
          </w:divBdr>
        </w:div>
      </w:divsChild>
    </w:div>
    <w:div w:id="98795221">
      <w:bodyDiv w:val="1"/>
      <w:marLeft w:val="0"/>
      <w:marRight w:val="0"/>
      <w:marTop w:val="0"/>
      <w:marBottom w:val="0"/>
      <w:divBdr>
        <w:top w:val="none" w:sz="0" w:space="0" w:color="auto"/>
        <w:left w:val="none" w:sz="0" w:space="0" w:color="auto"/>
        <w:bottom w:val="none" w:sz="0" w:space="0" w:color="auto"/>
        <w:right w:val="none" w:sz="0" w:space="0" w:color="auto"/>
      </w:divBdr>
    </w:div>
    <w:div w:id="107627369">
      <w:bodyDiv w:val="1"/>
      <w:marLeft w:val="0"/>
      <w:marRight w:val="0"/>
      <w:marTop w:val="0"/>
      <w:marBottom w:val="0"/>
      <w:divBdr>
        <w:top w:val="none" w:sz="0" w:space="0" w:color="auto"/>
        <w:left w:val="none" w:sz="0" w:space="0" w:color="auto"/>
        <w:bottom w:val="none" w:sz="0" w:space="0" w:color="auto"/>
        <w:right w:val="none" w:sz="0" w:space="0" w:color="auto"/>
      </w:divBdr>
    </w:div>
    <w:div w:id="223834574">
      <w:bodyDiv w:val="1"/>
      <w:marLeft w:val="0"/>
      <w:marRight w:val="0"/>
      <w:marTop w:val="0"/>
      <w:marBottom w:val="0"/>
      <w:divBdr>
        <w:top w:val="none" w:sz="0" w:space="0" w:color="auto"/>
        <w:left w:val="none" w:sz="0" w:space="0" w:color="auto"/>
        <w:bottom w:val="none" w:sz="0" w:space="0" w:color="auto"/>
        <w:right w:val="none" w:sz="0" w:space="0" w:color="auto"/>
      </w:divBdr>
    </w:div>
    <w:div w:id="271591045">
      <w:bodyDiv w:val="1"/>
      <w:marLeft w:val="0"/>
      <w:marRight w:val="0"/>
      <w:marTop w:val="0"/>
      <w:marBottom w:val="0"/>
      <w:divBdr>
        <w:top w:val="none" w:sz="0" w:space="0" w:color="auto"/>
        <w:left w:val="none" w:sz="0" w:space="0" w:color="auto"/>
        <w:bottom w:val="none" w:sz="0" w:space="0" w:color="auto"/>
        <w:right w:val="none" w:sz="0" w:space="0" w:color="auto"/>
      </w:divBdr>
    </w:div>
    <w:div w:id="332874066">
      <w:bodyDiv w:val="1"/>
      <w:marLeft w:val="0"/>
      <w:marRight w:val="0"/>
      <w:marTop w:val="0"/>
      <w:marBottom w:val="0"/>
      <w:divBdr>
        <w:top w:val="none" w:sz="0" w:space="0" w:color="auto"/>
        <w:left w:val="none" w:sz="0" w:space="0" w:color="auto"/>
        <w:bottom w:val="none" w:sz="0" w:space="0" w:color="auto"/>
        <w:right w:val="none" w:sz="0" w:space="0" w:color="auto"/>
      </w:divBdr>
    </w:div>
    <w:div w:id="346177778">
      <w:bodyDiv w:val="1"/>
      <w:marLeft w:val="0"/>
      <w:marRight w:val="0"/>
      <w:marTop w:val="0"/>
      <w:marBottom w:val="0"/>
      <w:divBdr>
        <w:top w:val="none" w:sz="0" w:space="0" w:color="auto"/>
        <w:left w:val="none" w:sz="0" w:space="0" w:color="auto"/>
        <w:bottom w:val="none" w:sz="0" w:space="0" w:color="auto"/>
        <w:right w:val="none" w:sz="0" w:space="0" w:color="auto"/>
      </w:divBdr>
    </w:div>
    <w:div w:id="428281687">
      <w:bodyDiv w:val="1"/>
      <w:marLeft w:val="0"/>
      <w:marRight w:val="0"/>
      <w:marTop w:val="0"/>
      <w:marBottom w:val="0"/>
      <w:divBdr>
        <w:top w:val="none" w:sz="0" w:space="0" w:color="auto"/>
        <w:left w:val="none" w:sz="0" w:space="0" w:color="auto"/>
        <w:bottom w:val="none" w:sz="0" w:space="0" w:color="auto"/>
        <w:right w:val="none" w:sz="0" w:space="0" w:color="auto"/>
      </w:divBdr>
    </w:div>
    <w:div w:id="491063067">
      <w:bodyDiv w:val="1"/>
      <w:marLeft w:val="0"/>
      <w:marRight w:val="0"/>
      <w:marTop w:val="0"/>
      <w:marBottom w:val="0"/>
      <w:divBdr>
        <w:top w:val="none" w:sz="0" w:space="0" w:color="auto"/>
        <w:left w:val="none" w:sz="0" w:space="0" w:color="auto"/>
        <w:bottom w:val="none" w:sz="0" w:space="0" w:color="auto"/>
        <w:right w:val="none" w:sz="0" w:space="0" w:color="auto"/>
      </w:divBdr>
    </w:div>
    <w:div w:id="746806184">
      <w:bodyDiv w:val="1"/>
      <w:marLeft w:val="0"/>
      <w:marRight w:val="0"/>
      <w:marTop w:val="0"/>
      <w:marBottom w:val="0"/>
      <w:divBdr>
        <w:top w:val="none" w:sz="0" w:space="0" w:color="auto"/>
        <w:left w:val="none" w:sz="0" w:space="0" w:color="auto"/>
        <w:bottom w:val="none" w:sz="0" w:space="0" w:color="auto"/>
        <w:right w:val="none" w:sz="0" w:space="0" w:color="auto"/>
      </w:divBdr>
    </w:div>
    <w:div w:id="750781646">
      <w:bodyDiv w:val="1"/>
      <w:marLeft w:val="0"/>
      <w:marRight w:val="0"/>
      <w:marTop w:val="0"/>
      <w:marBottom w:val="0"/>
      <w:divBdr>
        <w:top w:val="none" w:sz="0" w:space="0" w:color="auto"/>
        <w:left w:val="none" w:sz="0" w:space="0" w:color="auto"/>
        <w:bottom w:val="none" w:sz="0" w:space="0" w:color="auto"/>
        <w:right w:val="none" w:sz="0" w:space="0" w:color="auto"/>
      </w:divBdr>
    </w:div>
    <w:div w:id="784927980">
      <w:bodyDiv w:val="1"/>
      <w:marLeft w:val="0"/>
      <w:marRight w:val="0"/>
      <w:marTop w:val="0"/>
      <w:marBottom w:val="0"/>
      <w:divBdr>
        <w:top w:val="none" w:sz="0" w:space="0" w:color="auto"/>
        <w:left w:val="none" w:sz="0" w:space="0" w:color="auto"/>
        <w:bottom w:val="none" w:sz="0" w:space="0" w:color="auto"/>
        <w:right w:val="none" w:sz="0" w:space="0" w:color="auto"/>
      </w:divBdr>
    </w:div>
    <w:div w:id="894396404">
      <w:bodyDiv w:val="1"/>
      <w:marLeft w:val="0"/>
      <w:marRight w:val="0"/>
      <w:marTop w:val="0"/>
      <w:marBottom w:val="0"/>
      <w:divBdr>
        <w:top w:val="none" w:sz="0" w:space="0" w:color="auto"/>
        <w:left w:val="none" w:sz="0" w:space="0" w:color="auto"/>
        <w:bottom w:val="none" w:sz="0" w:space="0" w:color="auto"/>
        <w:right w:val="none" w:sz="0" w:space="0" w:color="auto"/>
      </w:divBdr>
    </w:div>
    <w:div w:id="1046414830">
      <w:bodyDiv w:val="1"/>
      <w:marLeft w:val="0"/>
      <w:marRight w:val="0"/>
      <w:marTop w:val="0"/>
      <w:marBottom w:val="0"/>
      <w:divBdr>
        <w:top w:val="none" w:sz="0" w:space="0" w:color="auto"/>
        <w:left w:val="none" w:sz="0" w:space="0" w:color="auto"/>
        <w:bottom w:val="none" w:sz="0" w:space="0" w:color="auto"/>
        <w:right w:val="none" w:sz="0" w:space="0" w:color="auto"/>
      </w:divBdr>
    </w:div>
    <w:div w:id="1065956887">
      <w:bodyDiv w:val="1"/>
      <w:marLeft w:val="0"/>
      <w:marRight w:val="0"/>
      <w:marTop w:val="0"/>
      <w:marBottom w:val="0"/>
      <w:divBdr>
        <w:top w:val="none" w:sz="0" w:space="0" w:color="auto"/>
        <w:left w:val="none" w:sz="0" w:space="0" w:color="auto"/>
        <w:bottom w:val="none" w:sz="0" w:space="0" w:color="auto"/>
        <w:right w:val="none" w:sz="0" w:space="0" w:color="auto"/>
      </w:divBdr>
      <w:divsChild>
        <w:div w:id="592130460">
          <w:marLeft w:val="0"/>
          <w:marRight w:val="0"/>
          <w:marTop w:val="0"/>
          <w:marBottom w:val="0"/>
          <w:divBdr>
            <w:top w:val="none" w:sz="0" w:space="0" w:color="auto"/>
            <w:left w:val="none" w:sz="0" w:space="0" w:color="auto"/>
            <w:bottom w:val="none" w:sz="0" w:space="0" w:color="auto"/>
            <w:right w:val="none" w:sz="0" w:space="0" w:color="auto"/>
          </w:divBdr>
        </w:div>
      </w:divsChild>
    </w:div>
    <w:div w:id="1067992170">
      <w:bodyDiv w:val="1"/>
      <w:marLeft w:val="0"/>
      <w:marRight w:val="0"/>
      <w:marTop w:val="0"/>
      <w:marBottom w:val="0"/>
      <w:divBdr>
        <w:top w:val="none" w:sz="0" w:space="0" w:color="auto"/>
        <w:left w:val="none" w:sz="0" w:space="0" w:color="auto"/>
        <w:bottom w:val="none" w:sz="0" w:space="0" w:color="auto"/>
        <w:right w:val="none" w:sz="0" w:space="0" w:color="auto"/>
      </w:divBdr>
    </w:div>
    <w:div w:id="1119953207">
      <w:bodyDiv w:val="1"/>
      <w:marLeft w:val="0"/>
      <w:marRight w:val="0"/>
      <w:marTop w:val="0"/>
      <w:marBottom w:val="0"/>
      <w:divBdr>
        <w:top w:val="none" w:sz="0" w:space="0" w:color="auto"/>
        <w:left w:val="none" w:sz="0" w:space="0" w:color="auto"/>
        <w:bottom w:val="none" w:sz="0" w:space="0" w:color="auto"/>
        <w:right w:val="none" w:sz="0" w:space="0" w:color="auto"/>
      </w:divBdr>
    </w:div>
    <w:div w:id="1132986973">
      <w:bodyDiv w:val="1"/>
      <w:marLeft w:val="0"/>
      <w:marRight w:val="0"/>
      <w:marTop w:val="0"/>
      <w:marBottom w:val="0"/>
      <w:divBdr>
        <w:top w:val="none" w:sz="0" w:space="0" w:color="auto"/>
        <w:left w:val="none" w:sz="0" w:space="0" w:color="auto"/>
        <w:bottom w:val="none" w:sz="0" w:space="0" w:color="auto"/>
        <w:right w:val="none" w:sz="0" w:space="0" w:color="auto"/>
      </w:divBdr>
    </w:div>
    <w:div w:id="1149975266">
      <w:bodyDiv w:val="1"/>
      <w:marLeft w:val="0"/>
      <w:marRight w:val="0"/>
      <w:marTop w:val="0"/>
      <w:marBottom w:val="0"/>
      <w:divBdr>
        <w:top w:val="none" w:sz="0" w:space="0" w:color="auto"/>
        <w:left w:val="none" w:sz="0" w:space="0" w:color="auto"/>
        <w:bottom w:val="none" w:sz="0" w:space="0" w:color="auto"/>
        <w:right w:val="none" w:sz="0" w:space="0" w:color="auto"/>
      </w:divBdr>
    </w:div>
    <w:div w:id="1222332451">
      <w:bodyDiv w:val="1"/>
      <w:marLeft w:val="0"/>
      <w:marRight w:val="0"/>
      <w:marTop w:val="0"/>
      <w:marBottom w:val="0"/>
      <w:divBdr>
        <w:top w:val="none" w:sz="0" w:space="0" w:color="auto"/>
        <w:left w:val="none" w:sz="0" w:space="0" w:color="auto"/>
        <w:bottom w:val="none" w:sz="0" w:space="0" w:color="auto"/>
        <w:right w:val="none" w:sz="0" w:space="0" w:color="auto"/>
      </w:divBdr>
    </w:div>
    <w:div w:id="1230728027">
      <w:bodyDiv w:val="1"/>
      <w:marLeft w:val="0"/>
      <w:marRight w:val="0"/>
      <w:marTop w:val="0"/>
      <w:marBottom w:val="0"/>
      <w:divBdr>
        <w:top w:val="none" w:sz="0" w:space="0" w:color="auto"/>
        <w:left w:val="none" w:sz="0" w:space="0" w:color="auto"/>
        <w:bottom w:val="none" w:sz="0" w:space="0" w:color="auto"/>
        <w:right w:val="none" w:sz="0" w:space="0" w:color="auto"/>
      </w:divBdr>
    </w:div>
    <w:div w:id="1280144956">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0"/>
          <w:marRight w:val="0"/>
          <w:marTop w:val="0"/>
          <w:marBottom w:val="0"/>
          <w:divBdr>
            <w:top w:val="none" w:sz="0" w:space="0" w:color="auto"/>
            <w:left w:val="none" w:sz="0" w:space="0" w:color="auto"/>
            <w:bottom w:val="none" w:sz="0" w:space="0" w:color="auto"/>
            <w:right w:val="none" w:sz="0" w:space="0" w:color="auto"/>
          </w:divBdr>
          <w:divsChild>
            <w:div w:id="2106683121">
              <w:marLeft w:val="0"/>
              <w:marRight w:val="0"/>
              <w:marTop w:val="0"/>
              <w:marBottom w:val="0"/>
              <w:divBdr>
                <w:top w:val="none" w:sz="0" w:space="0" w:color="auto"/>
                <w:left w:val="none" w:sz="0" w:space="0" w:color="auto"/>
                <w:bottom w:val="none" w:sz="0" w:space="0" w:color="auto"/>
                <w:right w:val="none" w:sz="0" w:space="0" w:color="auto"/>
              </w:divBdr>
            </w:div>
          </w:divsChild>
        </w:div>
        <w:div w:id="270823527">
          <w:marLeft w:val="0"/>
          <w:marRight w:val="0"/>
          <w:marTop w:val="0"/>
          <w:marBottom w:val="0"/>
          <w:divBdr>
            <w:top w:val="none" w:sz="0" w:space="0" w:color="auto"/>
            <w:left w:val="none" w:sz="0" w:space="0" w:color="auto"/>
            <w:bottom w:val="none" w:sz="0" w:space="0" w:color="auto"/>
            <w:right w:val="none" w:sz="0" w:space="0" w:color="auto"/>
          </w:divBdr>
          <w:divsChild>
            <w:div w:id="1014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469">
      <w:bodyDiv w:val="1"/>
      <w:marLeft w:val="0"/>
      <w:marRight w:val="0"/>
      <w:marTop w:val="0"/>
      <w:marBottom w:val="0"/>
      <w:divBdr>
        <w:top w:val="none" w:sz="0" w:space="0" w:color="auto"/>
        <w:left w:val="none" w:sz="0" w:space="0" w:color="auto"/>
        <w:bottom w:val="none" w:sz="0" w:space="0" w:color="auto"/>
        <w:right w:val="none" w:sz="0" w:space="0" w:color="auto"/>
      </w:divBdr>
    </w:div>
    <w:div w:id="1369064030">
      <w:bodyDiv w:val="1"/>
      <w:marLeft w:val="0"/>
      <w:marRight w:val="0"/>
      <w:marTop w:val="0"/>
      <w:marBottom w:val="0"/>
      <w:divBdr>
        <w:top w:val="none" w:sz="0" w:space="0" w:color="auto"/>
        <w:left w:val="none" w:sz="0" w:space="0" w:color="auto"/>
        <w:bottom w:val="none" w:sz="0" w:space="0" w:color="auto"/>
        <w:right w:val="none" w:sz="0" w:space="0" w:color="auto"/>
      </w:divBdr>
    </w:div>
    <w:div w:id="1394163281">
      <w:bodyDiv w:val="1"/>
      <w:marLeft w:val="0"/>
      <w:marRight w:val="0"/>
      <w:marTop w:val="0"/>
      <w:marBottom w:val="0"/>
      <w:divBdr>
        <w:top w:val="none" w:sz="0" w:space="0" w:color="auto"/>
        <w:left w:val="none" w:sz="0" w:space="0" w:color="auto"/>
        <w:bottom w:val="none" w:sz="0" w:space="0" w:color="auto"/>
        <w:right w:val="none" w:sz="0" w:space="0" w:color="auto"/>
      </w:divBdr>
    </w:div>
    <w:div w:id="1511138726">
      <w:bodyDiv w:val="1"/>
      <w:marLeft w:val="0"/>
      <w:marRight w:val="0"/>
      <w:marTop w:val="0"/>
      <w:marBottom w:val="0"/>
      <w:divBdr>
        <w:top w:val="none" w:sz="0" w:space="0" w:color="auto"/>
        <w:left w:val="none" w:sz="0" w:space="0" w:color="auto"/>
        <w:bottom w:val="none" w:sz="0" w:space="0" w:color="auto"/>
        <w:right w:val="none" w:sz="0" w:space="0" w:color="auto"/>
      </w:divBdr>
    </w:div>
    <w:div w:id="1512526753">
      <w:bodyDiv w:val="1"/>
      <w:marLeft w:val="0"/>
      <w:marRight w:val="0"/>
      <w:marTop w:val="0"/>
      <w:marBottom w:val="0"/>
      <w:divBdr>
        <w:top w:val="none" w:sz="0" w:space="0" w:color="auto"/>
        <w:left w:val="none" w:sz="0" w:space="0" w:color="auto"/>
        <w:bottom w:val="none" w:sz="0" w:space="0" w:color="auto"/>
        <w:right w:val="none" w:sz="0" w:space="0" w:color="auto"/>
      </w:divBdr>
    </w:div>
    <w:div w:id="1513716394">
      <w:bodyDiv w:val="1"/>
      <w:marLeft w:val="0"/>
      <w:marRight w:val="0"/>
      <w:marTop w:val="0"/>
      <w:marBottom w:val="0"/>
      <w:divBdr>
        <w:top w:val="none" w:sz="0" w:space="0" w:color="auto"/>
        <w:left w:val="none" w:sz="0" w:space="0" w:color="auto"/>
        <w:bottom w:val="none" w:sz="0" w:space="0" w:color="auto"/>
        <w:right w:val="none" w:sz="0" w:space="0" w:color="auto"/>
      </w:divBdr>
      <w:divsChild>
        <w:div w:id="1725105360">
          <w:marLeft w:val="0"/>
          <w:marRight w:val="0"/>
          <w:marTop w:val="0"/>
          <w:marBottom w:val="0"/>
          <w:divBdr>
            <w:top w:val="none" w:sz="0" w:space="0" w:color="auto"/>
            <w:left w:val="none" w:sz="0" w:space="0" w:color="auto"/>
            <w:bottom w:val="none" w:sz="0" w:space="0" w:color="auto"/>
            <w:right w:val="none" w:sz="0" w:space="0" w:color="auto"/>
          </w:divBdr>
        </w:div>
        <w:div w:id="503863182">
          <w:marLeft w:val="0"/>
          <w:marRight w:val="0"/>
          <w:marTop w:val="0"/>
          <w:marBottom w:val="0"/>
          <w:divBdr>
            <w:top w:val="none" w:sz="0" w:space="0" w:color="auto"/>
            <w:left w:val="none" w:sz="0" w:space="0" w:color="auto"/>
            <w:bottom w:val="none" w:sz="0" w:space="0" w:color="auto"/>
            <w:right w:val="none" w:sz="0" w:space="0" w:color="auto"/>
          </w:divBdr>
        </w:div>
        <w:div w:id="117379281">
          <w:marLeft w:val="0"/>
          <w:marRight w:val="0"/>
          <w:marTop w:val="0"/>
          <w:marBottom w:val="0"/>
          <w:divBdr>
            <w:top w:val="none" w:sz="0" w:space="0" w:color="auto"/>
            <w:left w:val="none" w:sz="0" w:space="0" w:color="auto"/>
            <w:bottom w:val="none" w:sz="0" w:space="0" w:color="auto"/>
            <w:right w:val="none" w:sz="0" w:space="0" w:color="auto"/>
          </w:divBdr>
        </w:div>
        <w:div w:id="529102593">
          <w:marLeft w:val="0"/>
          <w:marRight w:val="0"/>
          <w:marTop w:val="0"/>
          <w:marBottom w:val="0"/>
          <w:divBdr>
            <w:top w:val="none" w:sz="0" w:space="0" w:color="auto"/>
            <w:left w:val="none" w:sz="0" w:space="0" w:color="auto"/>
            <w:bottom w:val="none" w:sz="0" w:space="0" w:color="auto"/>
            <w:right w:val="none" w:sz="0" w:space="0" w:color="auto"/>
          </w:divBdr>
        </w:div>
        <w:div w:id="127431984">
          <w:marLeft w:val="0"/>
          <w:marRight w:val="0"/>
          <w:marTop w:val="0"/>
          <w:marBottom w:val="0"/>
          <w:divBdr>
            <w:top w:val="none" w:sz="0" w:space="0" w:color="auto"/>
            <w:left w:val="none" w:sz="0" w:space="0" w:color="auto"/>
            <w:bottom w:val="none" w:sz="0" w:space="0" w:color="auto"/>
            <w:right w:val="none" w:sz="0" w:space="0" w:color="auto"/>
          </w:divBdr>
        </w:div>
        <w:div w:id="1836066375">
          <w:marLeft w:val="0"/>
          <w:marRight w:val="0"/>
          <w:marTop w:val="0"/>
          <w:marBottom w:val="0"/>
          <w:divBdr>
            <w:top w:val="none" w:sz="0" w:space="0" w:color="auto"/>
            <w:left w:val="none" w:sz="0" w:space="0" w:color="auto"/>
            <w:bottom w:val="none" w:sz="0" w:space="0" w:color="auto"/>
            <w:right w:val="none" w:sz="0" w:space="0" w:color="auto"/>
          </w:divBdr>
        </w:div>
        <w:div w:id="185795724">
          <w:marLeft w:val="0"/>
          <w:marRight w:val="0"/>
          <w:marTop w:val="0"/>
          <w:marBottom w:val="0"/>
          <w:divBdr>
            <w:top w:val="none" w:sz="0" w:space="0" w:color="auto"/>
            <w:left w:val="none" w:sz="0" w:space="0" w:color="auto"/>
            <w:bottom w:val="none" w:sz="0" w:space="0" w:color="auto"/>
            <w:right w:val="none" w:sz="0" w:space="0" w:color="auto"/>
          </w:divBdr>
        </w:div>
        <w:div w:id="1797063212">
          <w:marLeft w:val="0"/>
          <w:marRight w:val="0"/>
          <w:marTop w:val="0"/>
          <w:marBottom w:val="0"/>
          <w:divBdr>
            <w:top w:val="none" w:sz="0" w:space="0" w:color="auto"/>
            <w:left w:val="none" w:sz="0" w:space="0" w:color="auto"/>
            <w:bottom w:val="none" w:sz="0" w:space="0" w:color="auto"/>
            <w:right w:val="none" w:sz="0" w:space="0" w:color="auto"/>
          </w:divBdr>
        </w:div>
        <w:div w:id="1487552461">
          <w:marLeft w:val="0"/>
          <w:marRight w:val="0"/>
          <w:marTop w:val="0"/>
          <w:marBottom w:val="0"/>
          <w:divBdr>
            <w:top w:val="none" w:sz="0" w:space="0" w:color="auto"/>
            <w:left w:val="none" w:sz="0" w:space="0" w:color="auto"/>
            <w:bottom w:val="none" w:sz="0" w:space="0" w:color="auto"/>
            <w:right w:val="none" w:sz="0" w:space="0" w:color="auto"/>
          </w:divBdr>
        </w:div>
        <w:div w:id="1161972328">
          <w:marLeft w:val="0"/>
          <w:marRight w:val="0"/>
          <w:marTop w:val="0"/>
          <w:marBottom w:val="0"/>
          <w:divBdr>
            <w:top w:val="none" w:sz="0" w:space="0" w:color="auto"/>
            <w:left w:val="none" w:sz="0" w:space="0" w:color="auto"/>
            <w:bottom w:val="none" w:sz="0" w:space="0" w:color="auto"/>
            <w:right w:val="none" w:sz="0" w:space="0" w:color="auto"/>
          </w:divBdr>
        </w:div>
        <w:div w:id="256133437">
          <w:marLeft w:val="0"/>
          <w:marRight w:val="0"/>
          <w:marTop w:val="0"/>
          <w:marBottom w:val="0"/>
          <w:divBdr>
            <w:top w:val="none" w:sz="0" w:space="0" w:color="auto"/>
            <w:left w:val="none" w:sz="0" w:space="0" w:color="auto"/>
            <w:bottom w:val="none" w:sz="0" w:space="0" w:color="auto"/>
            <w:right w:val="none" w:sz="0" w:space="0" w:color="auto"/>
          </w:divBdr>
        </w:div>
        <w:div w:id="1208642973">
          <w:marLeft w:val="0"/>
          <w:marRight w:val="0"/>
          <w:marTop w:val="0"/>
          <w:marBottom w:val="0"/>
          <w:divBdr>
            <w:top w:val="none" w:sz="0" w:space="0" w:color="auto"/>
            <w:left w:val="none" w:sz="0" w:space="0" w:color="auto"/>
            <w:bottom w:val="none" w:sz="0" w:space="0" w:color="auto"/>
            <w:right w:val="none" w:sz="0" w:space="0" w:color="auto"/>
          </w:divBdr>
        </w:div>
        <w:div w:id="1043404531">
          <w:marLeft w:val="0"/>
          <w:marRight w:val="0"/>
          <w:marTop w:val="0"/>
          <w:marBottom w:val="0"/>
          <w:divBdr>
            <w:top w:val="none" w:sz="0" w:space="0" w:color="auto"/>
            <w:left w:val="none" w:sz="0" w:space="0" w:color="auto"/>
            <w:bottom w:val="none" w:sz="0" w:space="0" w:color="auto"/>
            <w:right w:val="none" w:sz="0" w:space="0" w:color="auto"/>
          </w:divBdr>
        </w:div>
        <w:div w:id="2021815178">
          <w:marLeft w:val="0"/>
          <w:marRight w:val="0"/>
          <w:marTop w:val="0"/>
          <w:marBottom w:val="0"/>
          <w:divBdr>
            <w:top w:val="none" w:sz="0" w:space="0" w:color="auto"/>
            <w:left w:val="none" w:sz="0" w:space="0" w:color="auto"/>
            <w:bottom w:val="none" w:sz="0" w:space="0" w:color="auto"/>
            <w:right w:val="none" w:sz="0" w:space="0" w:color="auto"/>
          </w:divBdr>
        </w:div>
        <w:div w:id="676082426">
          <w:marLeft w:val="0"/>
          <w:marRight w:val="0"/>
          <w:marTop w:val="0"/>
          <w:marBottom w:val="0"/>
          <w:divBdr>
            <w:top w:val="none" w:sz="0" w:space="0" w:color="auto"/>
            <w:left w:val="none" w:sz="0" w:space="0" w:color="auto"/>
            <w:bottom w:val="none" w:sz="0" w:space="0" w:color="auto"/>
            <w:right w:val="none" w:sz="0" w:space="0" w:color="auto"/>
          </w:divBdr>
        </w:div>
        <w:div w:id="875892388">
          <w:marLeft w:val="0"/>
          <w:marRight w:val="0"/>
          <w:marTop w:val="0"/>
          <w:marBottom w:val="0"/>
          <w:divBdr>
            <w:top w:val="none" w:sz="0" w:space="0" w:color="auto"/>
            <w:left w:val="none" w:sz="0" w:space="0" w:color="auto"/>
            <w:bottom w:val="none" w:sz="0" w:space="0" w:color="auto"/>
            <w:right w:val="none" w:sz="0" w:space="0" w:color="auto"/>
          </w:divBdr>
        </w:div>
        <w:div w:id="846217622">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439489403">
          <w:marLeft w:val="0"/>
          <w:marRight w:val="0"/>
          <w:marTop w:val="0"/>
          <w:marBottom w:val="0"/>
          <w:divBdr>
            <w:top w:val="none" w:sz="0" w:space="0" w:color="auto"/>
            <w:left w:val="none" w:sz="0" w:space="0" w:color="auto"/>
            <w:bottom w:val="none" w:sz="0" w:space="0" w:color="auto"/>
            <w:right w:val="none" w:sz="0" w:space="0" w:color="auto"/>
          </w:divBdr>
        </w:div>
        <w:div w:id="1986662735">
          <w:marLeft w:val="0"/>
          <w:marRight w:val="0"/>
          <w:marTop w:val="0"/>
          <w:marBottom w:val="0"/>
          <w:divBdr>
            <w:top w:val="none" w:sz="0" w:space="0" w:color="auto"/>
            <w:left w:val="none" w:sz="0" w:space="0" w:color="auto"/>
            <w:bottom w:val="none" w:sz="0" w:space="0" w:color="auto"/>
            <w:right w:val="none" w:sz="0" w:space="0" w:color="auto"/>
          </w:divBdr>
        </w:div>
        <w:div w:id="176389736">
          <w:marLeft w:val="0"/>
          <w:marRight w:val="0"/>
          <w:marTop w:val="0"/>
          <w:marBottom w:val="0"/>
          <w:divBdr>
            <w:top w:val="none" w:sz="0" w:space="0" w:color="auto"/>
            <w:left w:val="none" w:sz="0" w:space="0" w:color="auto"/>
            <w:bottom w:val="none" w:sz="0" w:space="0" w:color="auto"/>
            <w:right w:val="none" w:sz="0" w:space="0" w:color="auto"/>
          </w:divBdr>
        </w:div>
        <w:div w:id="2035693961">
          <w:marLeft w:val="0"/>
          <w:marRight w:val="0"/>
          <w:marTop w:val="0"/>
          <w:marBottom w:val="0"/>
          <w:divBdr>
            <w:top w:val="none" w:sz="0" w:space="0" w:color="auto"/>
            <w:left w:val="none" w:sz="0" w:space="0" w:color="auto"/>
            <w:bottom w:val="none" w:sz="0" w:space="0" w:color="auto"/>
            <w:right w:val="none" w:sz="0" w:space="0" w:color="auto"/>
          </w:divBdr>
        </w:div>
        <w:div w:id="1692099645">
          <w:marLeft w:val="0"/>
          <w:marRight w:val="0"/>
          <w:marTop w:val="0"/>
          <w:marBottom w:val="0"/>
          <w:divBdr>
            <w:top w:val="none" w:sz="0" w:space="0" w:color="auto"/>
            <w:left w:val="none" w:sz="0" w:space="0" w:color="auto"/>
            <w:bottom w:val="none" w:sz="0" w:space="0" w:color="auto"/>
            <w:right w:val="none" w:sz="0" w:space="0" w:color="auto"/>
          </w:divBdr>
        </w:div>
        <w:div w:id="717123093">
          <w:marLeft w:val="0"/>
          <w:marRight w:val="0"/>
          <w:marTop w:val="0"/>
          <w:marBottom w:val="0"/>
          <w:divBdr>
            <w:top w:val="none" w:sz="0" w:space="0" w:color="auto"/>
            <w:left w:val="none" w:sz="0" w:space="0" w:color="auto"/>
            <w:bottom w:val="none" w:sz="0" w:space="0" w:color="auto"/>
            <w:right w:val="none" w:sz="0" w:space="0" w:color="auto"/>
          </w:divBdr>
        </w:div>
        <w:div w:id="1005476913">
          <w:marLeft w:val="0"/>
          <w:marRight w:val="0"/>
          <w:marTop w:val="0"/>
          <w:marBottom w:val="0"/>
          <w:divBdr>
            <w:top w:val="none" w:sz="0" w:space="0" w:color="auto"/>
            <w:left w:val="none" w:sz="0" w:space="0" w:color="auto"/>
            <w:bottom w:val="none" w:sz="0" w:space="0" w:color="auto"/>
            <w:right w:val="none" w:sz="0" w:space="0" w:color="auto"/>
          </w:divBdr>
        </w:div>
        <w:div w:id="1488477850">
          <w:marLeft w:val="0"/>
          <w:marRight w:val="0"/>
          <w:marTop w:val="0"/>
          <w:marBottom w:val="0"/>
          <w:divBdr>
            <w:top w:val="none" w:sz="0" w:space="0" w:color="auto"/>
            <w:left w:val="none" w:sz="0" w:space="0" w:color="auto"/>
            <w:bottom w:val="none" w:sz="0" w:space="0" w:color="auto"/>
            <w:right w:val="none" w:sz="0" w:space="0" w:color="auto"/>
          </w:divBdr>
        </w:div>
        <w:div w:id="1264605831">
          <w:marLeft w:val="0"/>
          <w:marRight w:val="0"/>
          <w:marTop w:val="0"/>
          <w:marBottom w:val="0"/>
          <w:divBdr>
            <w:top w:val="none" w:sz="0" w:space="0" w:color="auto"/>
            <w:left w:val="none" w:sz="0" w:space="0" w:color="auto"/>
            <w:bottom w:val="none" w:sz="0" w:space="0" w:color="auto"/>
            <w:right w:val="none" w:sz="0" w:space="0" w:color="auto"/>
          </w:divBdr>
        </w:div>
        <w:div w:id="156697871">
          <w:marLeft w:val="0"/>
          <w:marRight w:val="0"/>
          <w:marTop w:val="0"/>
          <w:marBottom w:val="0"/>
          <w:divBdr>
            <w:top w:val="none" w:sz="0" w:space="0" w:color="auto"/>
            <w:left w:val="none" w:sz="0" w:space="0" w:color="auto"/>
            <w:bottom w:val="none" w:sz="0" w:space="0" w:color="auto"/>
            <w:right w:val="none" w:sz="0" w:space="0" w:color="auto"/>
          </w:divBdr>
        </w:div>
        <w:div w:id="190846929">
          <w:marLeft w:val="0"/>
          <w:marRight w:val="0"/>
          <w:marTop w:val="0"/>
          <w:marBottom w:val="0"/>
          <w:divBdr>
            <w:top w:val="none" w:sz="0" w:space="0" w:color="auto"/>
            <w:left w:val="none" w:sz="0" w:space="0" w:color="auto"/>
            <w:bottom w:val="none" w:sz="0" w:space="0" w:color="auto"/>
            <w:right w:val="none" w:sz="0" w:space="0" w:color="auto"/>
          </w:divBdr>
        </w:div>
        <w:div w:id="1280602285">
          <w:marLeft w:val="0"/>
          <w:marRight w:val="0"/>
          <w:marTop w:val="0"/>
          <w:marBottom w:val="0"/>
          <w:divBdr>
            <w:top w:val="none" w:sz="0" w:space="0" w:color="auto"/>
            <w:left w:val="none" w:sz="0" w:space="0" w:color="auto"/>
            <w:bottom w:val="none" w:sz="0" w:space="0" w:color="auto"/>
            <w:right w:val="none" w:sz="0" w:space="0" w:color="auto"/>
          </w:divBdr>
        </w:div>
        <w:div w:id="1033965334">
          <w:marLeft w:val="0"/>
          <w:marRight w:val="0"/>
          <w:marTop w:val="0"/>
          <w:marBottom w:val="0"/>
          <w:divBdr>
            <w:top w:val="none" w:sz="0" w:space="0" w:color="auto"/>
            <w:left w:val="none" w:sz="0" w:space="0" w:color="auto"/>
            <w:bottom w:val="none" w:sz="0" w:space="0" w:color="auto"/>
            <w:right w:val="none" w:sz="0" w:space="0" w:color="auto"/>
          </w:divBdr>
        </w:div>
        <w:div w:id="1053191070">
          <w:marLeft w:val="0"/>
          <w:marRight w:val="0"/>
          <w:marTop w:val="0"/>
          <w:marBottom w:val="0"/>
          <w:divBdr>
            <w:top w:val="none" w:sz="0" w:space="0" w:color="auto"/>
            <w:left w:val="none" w:sz="0" w:space="0" w:color="auto"/>
            <w:bottom w:val="none" w:sz="0" w:space="0" w:color="auto"/>
            <w:right w:val="none" w:sz="0" w:space="0" w:color="auto"/>
          </w:divBdr>
        </w:div>
        <w:div w:id="1004670225">
          <w:marLeft w:val="0"/>
          <w:marRight w:val="0"/>
          <w:marTop w:val="0"/>
          <w:marBottom w:val="0"/>
          <w:divBdr>
            <w:top w:val="none" w:sz="0" w:space="0" w:color="auto"/>
            <w:left w:val="none" w:sz="0" w:space="0" w:color="auto"/>
            <w:bottom w:val="none" w:sz="0" w:space="0" w:color="auto"/>
            <w:right w:val="none" w:sz="0" w:space="0" w:color="auto"/>
          </w:divBdr>
        </w:div>
        <w:div w:id="1064530111">
          <w:marLeft w:val="0"/>
          <w:marRight w:val="0"/>
          <w:marTop w:val="0"/>
          <w:marBottom w:val="0"/>
          <w:divBdr>
            <w:top w:val="none" w:sz="0" w:space="0" w:color="auto"/>
            <w:left w:val="none" w:sz="0" w:space="0" w:color="auto"/>
            <w:bottom w:val="none" w:sz="0" w:space="0" w:color="auto"/>
            <w:right w:val="none" w:sz="0" w:space="0" w:color="auto"/>
          </w:divBdr>
        </w:div>
        <w:div w:id="20325770">
          <w:marLeft w:val="0"/>
          <w:marRight w:val="0"/>
          <w:marTop w:val="0"/>
          <w:marBottom w:val="0"/>
          <w:divBdr>
            <w:top w:val="none" w:sz="0" w:space="0" w:color="auto"/>
            <w:left w:val="none" w:sz="0" w:space="0" w:color="auto"/>
            <w:bottom w:val="none" w:sz="0" w:space="0" w:color="auto"/>
            <w:right w:val="none" w:sz="0" w:space="0" w:color="auto"/>
          </w:divBdr>
        </w:div>
        <w:div w:id="622931083">
          <w:marLeft w:val="0"/>
          <w:marRight w:val="0"/>
          <w:marTop w:val="0"/>
          <w:marBottom w:val="0"/>
          <w:divBdr>
            <w:top w:val="none" w:sz="0" w:space="0" w:color="auto"/>
            <w:left w:val="none" w:sz="0" w:space="0" w:color="auto"/>
            <w:bottom w:val="none" w:sz="0" w:space="0" w:color="auto"/>
            <w:right w:val="none" w:sz="0" w:space="0" w:color="auto"/>
          </w:divBdr>
        </w:div>
        <w:div w:id="1678967532">
          <w:marLeft w:val="0"/>
          <w:marRight w:val="0"/>
          <w:marTop w:val="0"/>
          <w:marBottom w:val="0"/>
          <w:divBdr>
            <w:top w:val="none" w:sz="0" w:space="0" w:color="auto"/>
            <w:left w:val="none" w:sz="0" w:space="0" w:color="auto"/>
            <w:bottom w:val="none" w:sz="0" w:space="0" w:color="auto"/>
            <w:right w:val="none" w:sz="0" w:space="0" w:color="auto"/>
          </w:divBdr>
        </w:div>
        <w:div w:id="675890274">
          <w:marLeft w:val="0"/>
          <w:marRight w:val="0"/>
          <w:marTop w:val="0"/>
          <w:marBottom w:val="0"/>
          <w:divBdr>
            <w:top w:val="none" w:sz="0" w:space="0" w:color="auto"/>
            <w:left w:val="none" w:sz="0" w:space="0" w:color="auto"/>
            <w:bottom w:val="none" w:sz="0" w:space="0" w:color="auto"/>
            <w:right w:val="none" w:sz="0" w:space="0" w:color="auto"/>
          </w:divBdr>
        </w:div>
        <w:div w:id="310211716">
          <w:marLeft w:val="0"/>
          <w:marRight w:val="0"/>
          <w:marTop w:val="0"/>
          <w:marBottom w:val="0"/>
          <w:divBdr>
            <w:top w:val="none" w:sz="0" w:space="0" w:color="auto"/>
            <w:left w:val="none" w:sz="0" w:space="0" w:color="auto"/>
            <w:bottom w:val="none" w:sz="0" w:space="0" w:color="auto"/>
            <w:right w:val="none" w:sz="0" w:space="0" w:color="auto"/>
          </w:divBdr>
        </w:div>
        <w:div w:id="185949735">
          <w:marLeft w:val="0"/>
          <w:marRight w:val="0"/>
          <w:marTop w:val="0"/>
          <w:marBottom w:val="0"/>
          <w:divBdr>
            <w:top w:val="none" w:sz="0" w:space="0" w:color="auto"/>
            <w:left w:val="none" w:sz="0" w:space="0" w:color="auto"/>
            <w:bottom w:val="none" w:sz="0" w:space="0" w:color="auto"/>
            <w:right w:val="none" w:sz="0" w:space="0" w:color="auto"/>
          </w:divBdr>
        </w:div>
        <w:div w:id="457257594">
          <w:marLeft w:val="0"/>
          <w:marRight w:val="0"/>
          <w:marTop w:val="0"/>
          <w:marBottom w:val="0"/>
          <w:divBdr>
            <w:top w:val="none" w:sz="0" w:space="0" w:color="auto"/>
            <w:left w:val="none" w:sz="0" w:space="0" w:color="auto"/>
            <w:bottom w:val="none" w:sz="0" w:space="0" w:color="auto"/>
            <w:right w:val="none" w:sz="0" w:space="0" w:color="auto"/>
          </w:divBdr>
        </w:div>
        <w:div w:id="68503278">
          <w:marLeft w:val="0"/>
          <w:marRight w:val="0"/>
          <w:marTop w:val="0"/>
          <w:marBottom w:val="0"/>
          <w:divBdr>
            <w:top w:val="none" w:sz="0" w:space="0" w:color="auto"/>
            <w:left w:val="none" w:sz="0" w:space="0" w:color="auto"/>
            <w:bottom w:val="none" w:sz="0" w:space="0" w:color="auto"/>
            <w:right w:val="none" w:sz="0" w:space="0" w:color="auto"/>
          </w:divBdr>
        </w:div>
        <w:div w:id="757138617">
          <w:marLeft w:val="0"/>
          <w:marRight w:val="0"/>
          <w:marTop w:val="0"/>
          <w:marBottom w:val="0"/>
          <w:divBdr>
            <w:top w:val="none" w:sz="0" w:space="0" w:color="auto"/>
            <w:left w:val="none" w:sz="0" w:space="0" w:color="auto"/>
            <w:bottom w:val="none" w:sz="0" w:space="0" w:color="auto"/>
            <w:right w:val="none" w:sz="0" w:space="0" w:color="auto"/>
          </w:divBdr>
        </w:div>
        <w:div w:id="1137449973">
          <w:marLeft w:val="0"/>
          <w:marRight w:val="0"/>
          <w:marTop w:val="0"/>
          <w:marBottom w:val="0"/>
          <w:divBdr>
            <w:top w:val="none" w:sz="0" w:space="0" w:color="auto"/>
            <w:left w:val="none" w:sz="0" w:space="0" w:color="auto"/>
            <w:bottom w:val="none" w:sz="0" w:space="0" w:color="auto"/>
            <w:right w:val="none" w:sz="0" w:space="0" w:color="auto"/>
          </w:divBdr>
        </w:div>
        <w:div w:id="396169522">
          <w:marLeft w:val="0"/>
          <w:marRight w:val="0"/>
          <w:marTop w:val="0"/>
          <w:marBottom w:val="0"/>
          <w:divBdr>
            <w:top w:val="none" w:sz="0" w:space="0" w:color="auto"/>
            <w:left w:val="none" w:sz="0" w:space="0" w:color="auto"/>
            <w:bottom w:val="none" w:sz="0" w:space="0" w:color="auto"/>
            <w:right w:val="none" w:sz="0" w:space="0" w:color="auto"/>
          </w:divBdr>
        </w:div>
        <w:div w:id="736434575">
          <w:marLeft w:val="0"/>
          <w:marRight w:val="0"/>
          <w:marTop w:val="0"/>
          <w:marBottom w:val="0"/>
          <w:divBdr>
            <w:top w:val="none" w:sz="0" w:space="0" w:color="auto"/>
            <w:left w:val="none" w:sz="0" w:space="0" w:color="auto"/>
            <w:bottom w:val="none" w:sz="0" w:space="0" w:color="auto"/>
            <w:right w:val="none" w:sz="0" w:space="0" w:color="auto"/>
          </w:divBdr>
        </w:div>
        <w:div w:id="85155902">
          <w:marLeft w:val="0"/>
          <w:marRight w:val="0"/>
          <w:marTop w:val="0"/>
          <w:marBottom w:val="0"/>
          <w:divBdr>
            <w:top w:val="none" w:sz="0" w:space="0" w:color="auto"/>
            <w:left w:val="none" w:sz="0" w:space="0" w:color="auto"/>
            <w:bottom w:val="none" w:sz="0" w:space="0" w:color="auto"/>
            <w:right w:val="none" w:sz="0" w:space="0" w:color="auto"/>
          </w:divBdr>
        </w:div>
        <w:div w:id="1383627935">
          <w:marLeft w:val="0"/>
          <w:marRight w:val="0"/>
          <w:marTop w:val="0"/>
          <w:marBottom w:val="0"/>
          <w:divBdr>
            <w:top w:val="none" w:sz="0" w:space="0" w:color="auto"/>
            <w:left w:val="none" w:sz="0" w:space="0" w:color="auto"/>
            <w:bottom w:val="none" w:sz="0" w:space="0" w:color="auto"/>
            <w:right w:val="none" w:sz="0" w:space="0" w:color="auto"/>
          </w:divBdr>
        </w:div>
        <w:div w:id="536312138">
          <w:marLeft w:val="0"/>
          <w:marRight w:val="0"/>
          <w:marTop w:val="0"/>
          <w:marBottom w:val="0"/>
          <w:divBdr>
            <w:top w:val="none" w:sz="0" w:space="0" w:color="auto"/>
            <w:left w:val="none" w:sz="0" w:space="0" w:color="auto"/>
            <w:bottom w:val="none" w:sz="0" w:space="0" w:color="auto"/>
            <w:right w:val="none" w:sz="0" w:space="0" w:color="auto"/>
          </w:divBdr>
        </w:div>
        <w:div w:id="967737151">
          <w:marLeft w:val="0"/>
          <w:marRight w:val="0"/>
          <w:marTop w:val="0"/>
          <w:marBottom w:val="0"/>
          <w:divBdr>
            <w:top w:val="none" w:sz="0" w:space="0" w:color="auto"/>
            <w:left w:val="none" w:sz="0" w:space="0" w:color="auto"/>
            <w:bottom w:val="none" w:sz="0" w:space="0" w:color="auto"/>
            <w:right w:val="none" w:sz="0" w:space="0" w:color="auto"/>
          </w:divBdr>
        </w:div>
        <w:div w:id="1384526477">
          <w:marLeft w:val="0"/>
          <w:marRight w:val="0"/>
          <w:marTop w:val="0"/>
          <w:marBottom w:val="0"/>
          <w:divBdr>
            <w:top w:val="none" w:sz="0" w:space="0" w:color="auto"/>
            <w:left w:val="none" w:sz="0" w:space="0" w:color="auto"/>
            <w:bottom w:val="none" w:sz="0" w:space="0" w:color="auto"/>
            <w:right w:val="none" w:sz="0" w:space="0" w:color="auto"/>
          </w:divBdr>
        </w:div>
        <w:div w:id="1950507658">
          <w:marLeft w:val="0"/>
          <w:marRight w:val="0"/>
          <w:marTop w:val="0"/>
          <w:marBottom w:val="0"/>
          <w:divBdr>
            <w:top w:val="none" w:sz="0" w:space="0" w:color="auto"/>
            <w:left w:val="none" w:sz="0" w:space="0" w:color="auto"/>
            <w:bottom w:val="none" w:sz="0" w:space="0" w:color="auto"/>
            <w:right w:val="none" w:sz="0" w:space="0" w:color="auto"/>
          </w:divBdr>
        </w:div>
        <w:div w:id="1868064075">
          <w:marLeft w:val="0"/>
          <w:marRight w:val="0"/>
          <w:marTop w:val="0"/>
          <w:marBottom w:val="0"/>
          <w:divBdr>
            <w:top w:val="none" w:sz="0" w:space="0" w:color="auto"/>
            <w:left w:val="none" w:sz="0" w:space="0" w:color="auto"/>
            <w:bottom w:val="none" w:sz="0" w:space="0" w:color="auto"/>
            <w:right w:val="none" w:sz="0" w:space="0" w:color="auto"/>
          </w:divBdr>
        </w:div>
        <w:div w:id="563180720">
          <w:marLeft w:val="0"/>
          <w:marRight w:val="0"/>
          <w:marTop w:val="0"/>
          <w:marBottom w:val="0"/>
          <w:divBdr>
            <w:top w:val="none" w:sz="0" w:space="0" w:color="auto"/>
            <w:left w:val="none" w:sz="0" w:space="0" w:color="auto"/>
            <w:bottom w:val="none" w:sz="0" w:space="0" w:color="auto"/>
            <w:right w:val="none" w:sz="0" w:space="0" w:color="auto"/>
          </w:divBdr>
        </w:div>
        <w:div w:id="826241141">
          <w:marLeft w:val="0"/>
          <w:marRight w:val="0"/>
          <w:marTop w:val="0"/>
          <w:marBottom w:val="0"/>
          <w:divBdr>
            <w:top w:val="none" w:sz="0" w:space="0" w:color="auto"/>
            <w:left w:val="none" w:sz="0" w:space="0" w:color="auto"/>
            <w:bottom w:val="none" w:sz="0" w:space="0" w:color="auto"/>
            <w:right w:val="none" w:sz="0" w:space="0" w:color="auto"/>
          </w:divBdr>
        </w:div>
        <w:div w:id="1403606109">
          <w:marLeft w:val="0"/>
          <w:marRight w:val="0"/>
          <w:marTop w:val="0"/>
          <w:marBottom w:val="0"/>
          <w:divBdr>
            <w:top w:val="none" w:sz="0" w:space="0" w:color="auto"/>
            <w:left w:val="none" w:sz="0" w:space="0" w:color="auto"/>
            <w:bottom w:val="none" w:sz="0" w:space="0" w:color="auto"/>
            <w:right w:val="none" w:sz="0" w:space="0" w:color="auto"/>
          </w:divBdr>
        </w:div>
        <w:div w:id="284434083">
          <w:marLeft w:val="0"/>
          <w:marRight w:val="0"/>
          <w:marTop w:val="0"/>
          <w:marBottom w:val="0"/>
          <w:divBdr>
            <w:top w:val="none" w:sz="0" w:space="0" w:color="auto"/>
            <w:left w:val="none" w:sz="0" w:space="0" w:color="auto"/>
            <w:bottom w:val="none" w:sz="0" w:space="0" w:color="auto"/>
            <w:right w:val="none" w:sz="0" w:space="0" w:color="auto"/>
          </w:divBdr>
        </w:div>
        <w:div w:id="1963265516">
          <w:marLeft w:val="0"/>
          <w:marRight w:val="0"/>
          <w:marTop w:val="0"/>
          <w:marBottom w:val="0"/>
          <w:divBdr>
            <w:top w:val="none" w:sz="0" w:space="0" w:color="auto"/>
            <w:left w:val="none" w:sz="0" w:space="0" w:color="auto"/>
            <w:bottom w:val="none" w:sz="0" w:space="0" w:color="auto"/>
            <w:right w:val="none" w:sz="0" w:space="0" w:color="auto"/>
          </w:divBdr>
        </w:div>
        <w:div w:id="506990384">
          <w:marLeft w:val="0"/>
          <w:marRight w:val="0"/>
          <w:marTop w:val="0"/>
          <w:marBottom w:val="0"/>
          <w:divBdr>
            <w:top w:val="none" w:sz="0" w:space="0" w:color="auto"/>
            <w:left w:val="none" w:sz="0" w:space="0" w:color="auto"/>
            <w:bottom w:val="none" w:sz="0" w:space="0" w:color="auto"/>
            <w:right w:val="none" w:sz="0" w:space="0" w:color="auto"/>
          </w:divBdr>
        </w:div>
        <w:div w:id="578028074">
          <w:marLeft w:val="0"/>
          <w:marRight w:val="0"/>
          <w:marTop w:val="0"/>
          <w:marBottom w:val="0"/>
          <w:divBdr>
            <w:top w:val="none" w:sz="0" w:space="0" w:color="auto"/>
            <w:left w:val="none" w:sz="0" w:space="0" w:color="auto"/>
            <w:bottom w:val="none" w:sz="0" w:space="0" w:color="auto"/>
            <w:right w:val="none" w:sz="0" w:space="0" w:color="auto"/>
          </w:divBdr>
        </w:div>
        <w:div w:id="382873020">
          <w:marLeft w:val="0"/>
          <w:marRight w:val="0"/>
          <w:marTop w:val="0"/>
          <w:marBottom w:val="0"/>
          <w:divBdr>
            <w:top w:val="none" w:sz="0" w:space="0" w:color="auto"/>
            <w:left w:val="none" w:sz="0" w:space="0" w:color="auto"/>
            <w:bottom w:val="none" w:sz="0" w:space="0" w:color="auto"/>
            <w:right w:val="none" w:sz="0" w:space="0" w:color="auto"/>
          </w:divBdr>
        </w:div>
        <w:div w:id="721563780">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474183248">
          <w:marLeft w:val="0"/>
          <w:marRight w:val="0"/>
          <w:marTop w:val="0"/>
          <w:marBottom w:val="0"/>
          <w:divBdr>
            <w:top w:val="none" w:sz="0" w:space="0" w:color="auto"/>
            <w:left w:val="none" w:sz="0" w:space="0" w:color="auto"/>
            <w:bottom w:val="none" w:sz="0" w:space="0" w:color="auto"/>
            <w:right w:val="none" w:sz="0" w:space="0" w:color="auto"/>
          </w:divBdr>
        </w:div>
        <w:div w:id="264388911">
          <w:marLeft w:val="0"/>
          <w:marRight w:val="0"/>
          <w:marTop w:val="0"/>
          <w:marBottom w:val="0"/>
          <w:divBdr>
            <w:top w:val="none" w:sz="0" w:space="0" w:color="auto"/>
            <w:left w:val="none" w:sz="0" w:space="0" w:color="auto"/>
            <w:bottom w:val="none" w:sz="0" w:space="0" w:color="auto"/>
            <w:right w:val="none" w:sz="0" w:space="0" w:color="auto"/>
          </w:divBdr>
        </w:div>
        <w:div w:id="1196890609">
          <w:marLeft w:val="0"/>
          <w:marRight w:val="0"/>
          <w:marTop w:val="0"/>
          <w:marBottom w:val="0"/>
          <w:divBdr>
            <w:top w:val="none" w:sz="0" w:space="0" w:color="auto"/>
            <w:left w:val="none" w:sz="0" w:space="0" w:color="auto"/>
            <w:bottom w:val="none" w:sz="0" w:space="0" w:color="auto"/>
            <w:right w:val="none" w:sz="0" w:space="0" w:color="auto"/>
          </w:divBdr>
        </w:div>
        <w:div w:id="1293175900">
          <w:marLeft w:val="0"/>
          <w:marRight w:val="0"/>
          <w:marTop w:val="0"/>
          <w:marBottom w:val="0"/>
          <w:divBdr>
            <w:top w:val="none" w:sz="0" w:space="0" w:color="auto"/>
            <w:left w:val="none" w:sz="0" w:space="0" w:color="auto"/>
            <w:bottom w:val="none" w:sz="0" w:space="0" w:color="auto"/>
            <w:right w:val="none" w:sz="0" w:space="0" w:color="auto"/>
          </w:divBdr>
        </w:div>
        <w:div w:id="1965387997">
          <w:marLeft w:val="0"/>
          <w:marRight w:val="0"/>
          <w:marTop w:val="0"/>
          <w:marBottom w:val="0"/>
          <w:divBdr>
            <w:top w:val="none" w:sz="0" w:space="0" w:color="auto"/>
            <w:left w:val="none" w:sz="0" w:space="0" w:color="auto"/>
            <w:bottom w:val="none" w:sz="0" w:space="0" w:color="auto"/>
            <w:right w:val="none" w:sz="0" w:space="0" w:color="auto"/>
          </w:divBdr>
        </w:div>
        <w:div w:id="149558999">
          <w:marLeft w:val="0"/>
          <w:marRight w:val="0"/>
          <w:marTop w:val="0"/>
          <w:marBottom w:val="0"/>
          <w:divBdr>
            <w:top w:val="none" w:sz="0" w:space="0" w:color="auto"/>
            <w:left w:val="none" w:sz="0" w:space="0" w:color="auto"/>
            <w:bottom w:val="none" w:sz="0" w:space="0" w:color="auto"/>
            <w:right w:val="none" w:sz="0" w:space="0" w:color="auto"/>
          </w:divBdr>
        </w:div>
        <w:div w:id="905845106">
          <w:marLeft w:val="0"/>
          <w:marRight w:val="0"/>
          <w:marTop w:val="0"/>
          <w:marBottom w:val="0"/>
          <w:divBdr>
            <w:top w:val="none" w:sz="0" w:space="0" w:color="auto"/>
            <w:left w:val="none" w:sz="0" w:space="0" w:color="auto"/>
            <w:bottom w:val="none" w:sz="0" w:space="0" w:color="auto"/>
            <w:right w:val="none" w:sz="0" w:space="0" w:color="auto"/>
          </w:divBdr>
        </w:div>
        <w:div w:id="1184242226">
          <w:marLeft w:val="0"/>
          <w:marRight w:val="0"/>
          <w:marTop w:val="0"/>
          <w:marBottom w:val="0"/>
          <w:divBdr>
            <w:top w:val="none" w:sz="0" w:space="0" w:color="auto"/>
            <w:left w:val="none" w:sz="0" w:space="0" w:color="auto"/>
            <w:bottom w:val="none" w:sz="0" w:space="0" w:color="auto"/>
            <w:right w:val="none" w:sz="0" w:space="0" w:color="auto"/>
          </w:divBdr>
        </w:div>
        <w:div w:id="96798500">
          <w:marLeft w:val="0"/>
          <w:marRight w:val="0"/>
          <w:marTop w:val="0"/>
          <w:marBottom w:val="0"/>
          <w:divBdr>
            <w:top w:val="none" w:sz="0" w:space="0" w:color="auto"/>
            <w:left w:val="none" w:sz="0" w:space="0" w:color="auto"/>
            <w:bottom w:val="none" w:sz="0" w:space="0" w:color="auto"/>
            <w:right w:val="none" w:sz="0" w:space="0" w:color="auto"/>
          </w:divBdr>
        </w:div>
        <w:div w:id="1727296375">
          <w:marLeft w:val="0"/>
          <w:marRight w:val="0"/>
          <w:marTop w:val="0"/>
          <w:marBottom w:val="0"/>
          <w:divBdr>
            <w:top w:val="none" w:sz="0" w:space="0" w:color="auto"/>
            <w:left w:val="none" w:sz="0" w:space="0" w:color="auto"/>
            <w:bottom w:val="none" w:sz="0" w:space="0" w:color="auto"/>
            <w:right w:val="none" w:sz="0" w:space="0" w:color="auto"/>
          </w:divBdr>
        </w:div>
        <w:div w:id="1301424738">
          <w:marLeft w:val="0"/>
          <w:marRight w:val="0"/>
          <w:marTop w:val="0"/>
          <w:marBottom w:val="0"/>
          <w:divBdr>
            <w:top w:val="none" w:sz="0" w:space="0" w:color="auto"/>
            <w:left w:val="none" w:sz="0" w:space="0" w:color="auto"/>
            <w:bottom w:val="none" w:sz="0" w:space="0" w:color="auto"/>
            <w:right w:val="none" w:sz="0" w:space="0" w:color="auto"/>
          </w:divBdr>
        </w:div>
        <w:div w:id="2077124326">
          <w:marLeft w:val="0"/>
          <w:marRight w:val="0"/>
          <w:marTop w:val="0"/>
          <w:marBottom w:val="0"/>
          <w:divBdr>
            <w:top w:val="none" w:sz="0" w:space="0" w:color="auto"/>
            <w:left w:val="none" w:sz="0" w:space="0" w:color="auto"/>
            <w:bottom w:val="none" w:sz="0" w:space="0" w:color="auto"/>
            <w:right w:val="none" w:sz="0" w:space="0" w:color="auto"/>
          </w:divBdr>
        </w:div>
        <w:div w:id="975377309">
          <w:marLeft w:val="0"/>
          <w:marRight w:val="0"/>
          <w:marTop w:val="0"/>
          <w:marBottom w:val="0"/>
          <w:divBdr>
            <w:top w:val="none" w:sz="0" w:space="0" w:color="auto"/>
            <w:left w:val="none" w:sz="0" w:space="0" w:color="auto"/>
            <w:bottom w:val="none" w:sz="0" w:space="0" w:color="auto"/>
            <w:right w:val="none" w:sz="0" w:space="0" w:color="auto"/>
          </w:divBdr>
        </w:div>
        <w:div w:id="129713589">
          <w:marLeft w:val="0"/>
          <w:marRight w:val="0"/>
          <w:marTop w:val="0"/>
          <w:marBottom w:val="0"/>
          <w:divBdr>
            <w:top w:val="none" w:sz="0" w:space="0" w:color="auto"/>
            <w:left w:val="none" w:sz="0" w:space="0" w:color="auto"/>
            <w:bottom w:val="none" w:sz="0" w:space="0" w:color="auto"/>
            <w:right w:val="none" w:sz="0" w:space="0" w:color="auto"/>
          </w:divBdr>
        </w:div>
      </w:divsChild>
    </w:div>
    <w:div w:id="1617636186">
      <w:bodyDiv w:val="1"/>
      <w:marLeft w:val="0"/>
      <w:marRight w:val="0"/>
      <w:marTop w:val="0"/>
      <w:marBottom w:val="0"/>
      <w:divBdr>
        <w:top w:val="none" w:sz="0" w:space="0" w:color="auto"/>
        <w:left w:val="none" w:sz="0" w:space="0" w:color="auto"/>
        <w:bottom w:val="none" w:sz="0" w:space="0" w:color="auto"/>
        <w:right w:val="none" w:sz="0" w:space="0" w:color="auto"/>
      </w:divBdr>
    </w:div>
    <w:div w:id="1737782082">
      <w:bodyDiv w:val="1"/>
      <w:marLeft w:val="0"/>
      <w:marRight w:val="0"/>
      <w:marTop w:val="0"/>
      <w:marBottom w:val="0"/>
      <w:divBdr>
        <w:top w:val="none" w:sz="0" w:space="0" w:color="auto"/>
        <w:left w:val="none" w:sz="0" w:space="0" w:color="auto"/>
        <w:bottom w:val="none" w:sz="0" w:space="0" w:color="auto"/>
        <w:right w:val="none" w:sz="0" w:space="0" w:color="auto"/>
      </w:divBdr>
    </w:div>
    <w:div w:id="1739549411">
      <w:bodyDiv w:val="1"/>
      <w:marLeft w:val="0"/>
      <w:marRight w:val="0"/>
      <w:marTop w:val="0"/>
      <w:marBottom w:val="0"/>
      <w:divBdr>
        <w:top w:val="none" w:sz="0" w:space="0" w:color="auto"/>
        <w:left w:val="none" w:sz="0" w:space="0" w:color="auto"/>
        <w:bottom w:val="none" w:sz="0" w:space="0" w:color="auto"/>
        <w:right w:val="none" w:sz="0" w:space="0" w:color="auto"/>
      </w:divBdr>
    </w:div>
    <w:div w:id="1750931327">
      <w:bodyDiv w:val="1"/>
      <w:marLeft w:val="0"/>
      <w:marRight w:val="0"/>
      <w:marTop w:val="0"/>
      <w:marBottom w:val="0"/>
      <w:divBdr>
        <w:top w:val="none" w:sz="0" w:space="0" w:color="auto"/>
        <w:left w:val="none" w:sz="0" w:space="0" w:color="auto"/>
        <w:bottom w:val="none" w:sz="0" w:space="0" w:color="auto"/>
        <w:right w:val="none" w:sz="0" w:space="0" w:color="auto"/>
      </w:divBdr>
    </w:div>
    <w:div w:id="1755780982">
      <w:bodyDiv w:val="1"/>
      <w:marLeft w:val="0"/>
      <w:marRight w:val="0"/>
      <w:marTop w:val="0"/>
      <w:marBottom w:val="0"/>
      <w:divBdr>
        <w:top w:val="none" w:sz="0" w:space="0" w:color="auto"/>
        <w:left w:val="none" w:sz="0" w:space="0" w:color="auto"/>
        <w:bottom w:val="none" w:sz="0" w:space="0" w:color="auto"/>
        <w:right w:val="none" w:sz="0" w:space="0" w:color="auto"/>
      </w:divBdr>
    </w:div>
    <w:div w:id="1772580532">
      <w:bodyDiv w:val="1"/>
      <w:marLeft w:val="0"/>
      <w:marRight w:val="0"/>
      <w:marTop w:val="0"/>
      <w:marBottom w:val="0"/>
      <w:divBdr>
        <w:top w:val="none" w:sz="0" w:space="0" w:color="auto"/>
        <w:left w:val="none" w:sz="0" w:space="0" w:color="auto"/>
        <w:bottom w:val="none" w:sz="0" w:space="0" w:color="auto"/>
        <w:right w:val="none" w:sz="0" w:space="0" w:color="auto"/>
      </w:divBdr>
    </w:div>
    <w:div w:id="1816147026">
      <w:bodyDiv w:val="1"/>
      <w:marLeft w:val="0"/>
      <w:marRight w:val="0"/>
      <w:marTop w:val="0"/>
      <w:marBottom w:val="0"/>
      <w:divBdr>
        <w:top w:val="none" w:sz="0" w:space="0" w:color="auto"/>
        <w:left w:val="none" w:sz="0" w:space="0" w:color="auto"/>
        <w:bottom w:val="none" w:sz="0" w:space="0" w:color="auto"/>
        <w:right w:val="none" w:sz="0" w:space="0" w:color="auto"/>
      </w:divBdr>
    </w:div>
    <w:div w:id="1850289670">
      <w:bodyDiv w:val="1"/>
      <w:marLeft w:val="0"/>
      <w:marRight w:val="0"/>
      <w:marTop w:val="0"/>
      <w:marBottom w:val="0"/>
      <w:divBdr>
        <w:top w:val="none" w:sz="0" w:space="0" w:color="auto"/>
        <w:left w:val="none" w:sz="0" w:space="0" w:color="auto"/>
        <w:bottom w:val="none" w:sz="0" w:space="0" w:color="auto"/>
        <w:right w:val="none" w:sz="0" w:space="0" w:color="auto"/>
      </w:divBdr>
    </w:div>
    <w:div w:id="2023164096">
      <w:bodyDiv w:val="1"/>
      <w:marLeft w:val="0"/>
      <w:marRight w:val="0"/>
      <w:marTop w:val="0"/>
      <w:marBottom w:val="0"/>
      <w:divBdr>
        <w:top w:val="none" w:sz="0" w:space="0" w:color="auto"/>
        <w:left w:val="none" w:sz="0" w:space="0" w:color="auto"/>
        <w:bottom w:val="none" w:sz="0" w:space="0" w:color="auto"/>
        <w:right w:val="none" w:sz="0" w:space="0" w:color="auto"/>
      </w:divBdr>
    </w:div>
    <w:div w:id="2032872506">
      <w:bodyDiv w:val="1"/>
      <w:marLeft w:val="0"/>
      <w:marRight w:val="0"/>
      <w:marTop w:val="0"/>
      <w:marBottom w:val="0"/>
      <w:divBdr>
        <w:top w:val="none" w:sz="0" w:space="0" w:color="auto"/>
        <w:left w:val="none" w:sz="0" w:space="0" w:color="auto"/>
        <w:bottom w:val="none" w:sz="0" w:space="0" w:color="auto"/>
        <w:right w:val="none" w:sz="0" w:space="0" w:color="auto"/>
      </w:divBdr>
    </w:div>
    <w:div w:id="2046176979">
      <w:bodyDiv w:val="1"/>
      <w:marLeft w:val="0"/>
      <w:marRight w:val="0"/>
      <w:marTop w:val="0"/>
      <w:marBottom w:val="0"/>
      <w:divBdr>
        <w:top w:val="none" w:sz="0" w:space="0" w:color="auto"/>
        <w:left w:val="none" w:sz="0" w:space="0" w:color="auto"/>
        <w:bottom w:val="none" w:sz="0" w:space="0" w:color="auto"/>
        <w:right w:val="none" w:sz="0" w:space="0" w:color="auto"/>
      </w:divBdr>
      <w:divsChild>
        <w:div w:id="622883754">
          <w:marLeft w:val="0"/>
          <w:marRight w:val="0"/>
          <w:marTop w:val="0"/>
          <w:marBottom w:val="0"/>
          <w:divBdr>
            <w:top w:val="none" w:sz="0" w:space="0" w:color="auto"/>
            <w:left w:val="none" w:sz="0" w:space="0" w:color="auto"/>
            <w:bottom w:val="none" w:sz="0" w:space="0" w:color="auto"/>
            <w:right w:val="none" w:sz="0" w:space="0" w:color="auto"/>
          </w:divBdr>
        </w:div>
        <w:div w:id="2043241500">
          <w:marLeft w:val="0"/>
          <w:marRight w:val="0"/>
          <w:marTop w:val="0"/>
          <w:marBottom w:val="0"/>
          <w:divBdr>
            <w:top w:val="none" w:sz="0" w:space="0" w:color="auto"/>
            <w:left w:val="none" w:sz="0" w:space="0" w:color="auto"/>
            <w:bottom w:val="none" w:sz="0" w:space="0" w:color="auto"/>
            <w:right w:val="none" w:sz="0" w:space="0" w:color="auto"/>
          </w:divBdr>
        </w:div>
        <w:div w:id="518007687">
          <w:marLeft w:val="0"/>
          <w:marRight w:val="0"/>
          <w:marTop w:val="0"/>
          <w:marBottom w:val="0"/>
          <w:divBdr>
            <w:top w:val="none" w:sz="0" w:space="0" w:color="auto"/>
            <w:left w:val="none" w:sz="0" w:space="0" w:color="auto"/>
            <w:bottom w:val="none" w:sz="0" w:space="0" w:color="auto"/>
            <w:right w:val="none" w:sz="0" w:space="0" w:color="auto"/>
          </w:divBdr>
        </w:div>
        <w:div w:id="1840075712">
          <w:marLeft w:val="0"/>
          <w:marRight w:val="0"/>
          <w:marTop w:val="0"/>
          <w:marBottom w:val="0"/>
          <w:divBdr>
            <w:top w:val="none" w:sz="0" w:space="0" w:color="auto"/>
            <w:left w:val="none" w:sz="0" w:space="0" w:color="auto"/>
            <w:bottom w:val="none" w:sz="0" w:space="0" w:color="auto"/>
            <w:right w:val="none" w:sz="0" w:space="0" w:color="auto"/>
          </w:divBdr>
        </w:div>
        <w:div w:id="2111078374">
          <w:marLeft w:val="0"/>
          <w:marRight w:val="0"/>
          <w:marTop w:val="0"/>
          <w:marBottom w:val="0"/>
          <w:divBdr>
            <w:top w:val="none" w:sz="0" w:space="0" w:color="auto"/>
            <w:left w:val="none" w:sz="0" w:space="0" w:color="auto"/>
            <w:bottom w:val="none" w:sz="0" w:space="0" w:color="auto"/>
            <w:right w:val="none" w:sz="0" w:space="0" w:color="auto"/>
          </w:divBdr>
        </w:div>
        <w:div w:id="971400278">
          <w:marLeft w:val="0"/>
          <w:marRight w:val="0"/>
          <w:marTop w:val="0"/>
          <w:marBottom w:val="0"/>
          <w:divBdr>
            <w:top w:val="none" w:sz="0" w:space="0" w:color="auto"/>
            <w:left w:val="none" w:sz="0" w:space="0" w:color="auto"/>
            <w:bottom w:val="none" w:sz="0" w:space="0" w:color="auto"/>
            <w:right w:val="none" w:sz="0" w:space="0" w:color="auto"/>
          </w:divBdr>
        </w:div>
        <w:div w:id="1671256043">
          <w:marLeft w:val="0"/>
          <w:marRight w:val="0"/>
          <w:marTop w:val="0"/>
          <w:marBottom w:val="0"/>
          <w:divBdr>
            <w:top w:val="none" w:sz="0" w:space="0" w:color="auto"/>
            <w:left w:val="none" w:sz="0" w:space="0" w:color="auto"/>
            <w:bottom w:val="none" w:sz="0" w:space="0" w:color="auto"/>
            <w:right w:val="none" w:sz="0" w:space="0" w:color="auto"/>
          </w:divBdr>
        </w:div>
        <w:div w:id="1737780483">
          <w:marLeft w:val="0"/>
          <w:marRight w:val="0"/>
          <w:marTop w:val="0"/>
          <w:marBottom w:val="0"/>
          <w:divBdr>
            <w:top w:val="none" w:sz="0" w:space="0" w:color="auto"/>
            <w:left w:val="none" w:sz="0" w:space="0" w:color="auto"/>
            <w:bottom w:val="none" w:sz="0" w:space="0" w:color="auto"/>
            <w:right w:val="none" w:sz="0" w:space="0" w:color="auto"/>
          </w:divBdr>
        </w:div>
        <w:div w:id="658964536">
          <w:marLeft w:val="0"/>
          <w:marRight w:val="0"/>
          <w:marTop w:val="0"/>
          <w:marBottom w:val="0"/>
          <w:divBdr>
            <w:top w:val="none" w:sz="0" w:space="0" w:color="auto"/>
            <w:left w:val="none" w:sz="0" w:space="0" w:color="auto"/>
            <w:bottom w:val="none" w:sz="0" w:space="0" w:color="auto"/>
            <w:right w:val="none" w:sz="0" w:space="0" w:color="auto"/>
          </w:divBdr>
        </w:div>
        <w:div w:id="2022664862">
          <w:marLeft w:val="0"/>
          <w:marRight w:val="0"/>
          <w:marTop w:val="0"/>
          <w:marBottom w:val="0"/>
          <w:divBdr>
            <w:top w:val="none" w:sz="0" w:space="0" w:color="auto"/>
            <w:left w:val="none" w:sz="0" w:space="0" w:color="auto"/>
            <w:bottom w:val="none" w:sz="0" w:space="0" w:color="auto"/>
            <w:right w:val="none" w:sz="0" w:space="0" w:color="auto"/>
          </w:divBdr>
        </w:div>
        <w:div w:id="1195997993">
          <w:marLeft w:val="0"/>
          <w:marRight w:val="0"/>
          <w:marTop w:val="0"/>
          <w:marBottom w:val="0"/>
          <w:divBdr>
            <w:top w:val="none" w:sz="0" w:space="0" w:color="auto"/>
            <w:left w:val="none" w:sz="0" w:space="0" w:color="auto"/>
            <w:bottom w:val="none" w:sz="0" w:space="0" w:color="auto"/>
            <w:right w:val="none" w:sz="0" w:space="0" w:color="auto"/>
          </w:divBdr>
        </w:div>
        <w:div w:id="211231162">
          <w:marLeft w:val="0"/>
          <w:marRight w:val="0"/>
          <w:marTop w:val="0"/>
          <w:marBottom w:val="0"/>
          <w:divBdr>
            <w:top w:val="none" w:sz="0" w:space="0" w:color="auto"/>
            <w:left w:val="none" w:sz="0" w:space="0" w:color="auto"/>
            <w:bottom w:val="none" w:sz="0" w:space="0" w:color="auto"/>
            <w:right w:val="none" w:sz="0" w:space="0" w:color="auto"/>
          </w:divBdr>
        </w:div>
        <w:div w:id="2066636965">
          <w:marLeft w:val="0"/>
          <w:marRight w:val="0"/>
          <w:marTop w:val="0"/>
          <w:marBottom w:val="0"/>
          <w:divBdr>
            <w:top w:val="none" w:sz="0" w:space="0" w:color="auto"/>
            <w:left w:val="none" w:sz="0" w:space="0" w:color="auto"/>
            <w:bottom w:val="none" w:sz="0" w:space="0" w:color="auto"/>
            <w:right w:val="none" w:sz="0" w:space="0" w:color="auto"/>
          </w:divBdr>
        </w:div>
        <w:div w:id="1282765627">
          <w:marLeft w:val="0"/>
          <w:marRight w:val="0"/>
          <w:marTop w:val="0"/>
          <w:marBottom w:val="0"/>
          <w:divBdr>
            <w:top w:val="none" w:sz="0" w:space="0" w:color="auto"/>
            <w:left w:val="none" w:sz="0" w:space="0" w:color="auto"/>
            <w:bottom w:val="none" w:sz="0" w:space="0" w:color="auto"/>
            <w:right w:val="none" w:sz="0" w:space="0" w:color="auto"/>
          </w:divBdr>
        </w:div>
        <w:div w:id="1275870064">
          <w:marLeft w:val="0"/>
          <w:marRight w:val="0"/>
          <w:marTop w:val="0"/>
          <w:marBottom w:val="0"/>
          <w:divBdr>
            <w:top w:val="none" w:sz="0" w:space="0" w:color="auto"/>
            <w:left w:val="none" w:sz="0" w:space="0" w:color="auto"/>
            <w:bottom w:val="none" w:sz="0" w:space="0" w:color="auto"/>
            <w:right w:val="none" w:sz="0" w:space="0" w:color="auto"/>
          </w:divBdr>
        </w:div>
        <w:div w:id="1492790190">
          <w:marLeft w:val="0"/>
          <w:marRight w:val="0"/>
          <w:marTop w:val="0"/>
          <w:marBottom w:val="0"/>
          <w:divBdr>
            <w:top w:val="none" w:sz="0" w:space="0" w:color="auto"/>
            <w:left w:val="none" w:sz="0" w:space="0" w:color="auto"/>
            <w:bottom w:val="none" w:sz="0" w:space="0" w:color="auto"/>
            <w:right w:val="none" w:sz="0" w:space="0" w:color="auto"/>
          </w:divBdr>
        </w:div>
        <w:div w:id="1168979024">
          <w:marLeft w:val="0"/>
          <w:marRight w:val="0"/>
          <w:marTop w:val="0"/>
          <w:marBottom w:val="0"/>
          <w:divBdr>
            <w:top w:val="none" w:sz="0" w:space="0" w:color="auto"/>
            <w:left w:val="none" w:sz="0" w:space="0" w:color="auto"/>
            <w:bottom w:val="none" w:sz="0" w:space="0" w:color="auto"/>
            <w:right w:val="none" w:sz="0" w:space="0" w:color="auto"/>
          </w:divBdr>
        </w:div>
        <w:div w:id="23213240">
          <w:marLeft w:val="0"/>
          <w:marRight w:val="0"/>
          <w:marTop w:val="0"/>
          <w:marBottom w:val="0"/>
          <w:divBdr>
            <w:top w:val="none" w:sz="0" w:space="0" w:color="auto"/>
            <w:left w:val="none" w:sz="0" w:space="0" w:color="auto"/>
            <w:bottom w:val="none" w:sz="0" w:space="0" w:color="auto"/>
            <w:right w:val="none" w:sz="0" w:space="0" w:color="auto"/>
          </w:divBdr>
        </w:div>
        <w:div w:id="481890412">
          <w:marLeft w:val="0"/>
          <w:marRight w:val="0"/>
          <w:marTop w:val="0"/>
          <w:marBottom w:val="0"/>
          <w:divBdr>
            <w:top w:val="none" w:sz="0" w:space="0" w:color="auto"/>
            <w:left w:val="none" w:sz="0" w:space="0" w:color="auto"/>
            <w:bottom w:val="none" w:sz="0" w:space="0" w:color="auto"/>
            <w:right w:val="none" w:sz="0" w:space="0" w:color="auto"/>
          </w:divBdr>
        </w:div>
        <w:div w:id="342244381">
          <w:marLeft w:val="0"/>
          <w:marRight w:val="0"/>
          <w:marTop w:val="0"/>
          <w:marBottom w:val="0"/>
          <w:divBdr>
            <w:top w:val="none" w:sz="0" w:space="0" w:color="auto"/>
            <w:left w:val="none" w:sz="0" w:space="0" w:color="auto"/>
            <w:bottom w:val="none" w:sz="0" w:space="0" w:color="auto"/>
            <w:right w:val="none" w:sz="0" w:space="0" w:color="auto"/>
          </w:divBdr>
        </w:div>
        <w:div w:id="1050766959">
          <w:marLeft w:val="0"/>
          <w:marRight w:val="0"/>
          <w:marTop w:val="0"/>
          <w:marBottom w:val="0"/>
          <w:divBdr>
            <w:top w:val="none" w:sz="0" w:space="0" w:color="auto"/>
            <w:left w:val="none" w:sz="0" w:space="0" w:color="auto"/>
            <w:bottom w:val="none" w:sz="0" w:space="0" w:color="auto"/>
            <w:right w:val="none" w:sz="0" w:space="0" w:color="auto"/>
          </w:divBdr>
        </w:div>
        <w:div w:id="797067232">
          <w:marLeft w:val="0"/>
          <w:marRight w:val="0"/>
          <w:marTop w:val="0"/>
          <w:marBottom w:val="0"/>
          <w:divBdr>
            <w:top w:val="none" w:sz="0" w:space="0" w:color="auto"/>
            <w:left w:val="none" w:sz="0" w:space="0" w:color="auto"/>
            <w:bottom w:val="none" w:sz="0" w:space="0" w:color="auto"/>
            <w:right w:val="none" w:sz="0" w:space="0" w:color="auto"/>
          </w:divBdr>
        </w:div>
        <w:div w:id="1985503299">
          <w:marLeft w:val="0"/>
          <w:marRight w:val="0"/>
          <w:marTop w:val="0"/>
          <w:marBottom w:val="0"/>
          <w:divBdr>
            <w:top w:val="none" w:sz="0" w:space="0" w:color="auto"/>
            <w:left w:val="none" w:sz="0" w:space="0" w:color="auto"/>
            <w:bottom w:val="none" w:sz="0" w:space="0" w:color="auto"/>
            <w:right w:val="none" w:sz="0" w:space="0" w:color="auto"/>
          </w:divBdr>
        </w:div>
        <w:div w:id="317727995">
          <w:marLeft w:val="0"/>
          <w:marRight w:val="0"/>
          <w:marTop w:val="0"/>
          <w:marBottom w:val="0"/>
          <w:divBdr>
            <w:top w:val="none" w:sz="0" w:space="0" w:color="auto"/>
            <w:left w:val="none" w:sz="0" w:space="0" w:color="auto"/>
            <w:bottom w:val="none" w:sz="0" w:space="0" w:color="auto"/>
            <w:right w:val="none" w:sz="0" w:space="0" w:color="auto"/>
          </w:divBdr>
        </w:div>
        <w:div w:id="1419131279">
          <w:marLeft w:val="0"/>
          <w:marRight w:val="0"/>
          <w:marTop w:val="0"/>
          <w:marBottom w:val="0"/>
          <w:divBdr>
            <w:top w:val="none" w:sz="0" w:space="0" w:color="auto"/>
            <w:left w:val="none" w:sz="0" w:space="0" w:color="auto"/>
            <w:bottom w:val="none" w:sz="0" w:space="0" w:color="auto"/>
            <w:right w:val="none" w:sz="0" w:space="0" w:color="auto"/>
          </w:divBdr>
        </w:div>
        <w:div w:id="714885952">
          <w:marLeft w:val="0"/>
          <w:marRight w:val="0"/>
          <w:marTop w:val="0"/>
          <w:marBottom w:val="0"/>
          <w:divBdr>
            <w:top w:val="none" w:sz="0" w:space="0" w:color="auto"/>
            <w:left w:val="none" w:sz="0" w:space="0" w:color="auto"/>
            <w:bottom w:val="none" w:sz="0" w:space="0" w:color="auto"/>
            <w:right w:val="none" w:sz="0" w:space="0" w:color="auto"/>
          </w:divBdr>
        </w:div>
        <w:div w:id="1961953976">
          <w:marLeft w:val="0"/>
          <w:marRight w:val="0"/>
          <w:marTop w:val="0"/>
          <w:marBottom w:val="0"/>
          <w:divBdr>
            <w:top w:val="none" w:sz="0" w:space="0" w:color="auto"/>
            <w:left w:val="none" w:sz="0" w:space="0" w:color="auto"/>
            <w:bottom w:val="none" w:sz="0" w:space="0" w:color="auto"/>
            <w:right w:val="none" w:sz="0" w:space="0" w:color="auto"/>
          </w:divBdr>
        </w:div>
        <w:div w:id="1282689733">
          <w:marLeft w:val="0"/>
          <w:marRight w:val="0"/>
          <w:marTop w:val="0"/>
          <w:marBottom w:val="0"/>
          <w:divBdr>
            <w:top w:val="none" w:sz="0" w:space="0" w:color="auto"/>
            <w:left w:val="none" w:sz="0" w:space="0" w:color="auto"/>
            <w:bottom w:val="none" w:sz="0" w:space="0" w:color="auto"/>
            <w:right w:val="none" w:sz="0" w:space="0" w:color="auto"/>
          </w:divBdr>
        </w:div>
        <w:div w:id="355468121">
          <w:marLeft w:val="0"/>
          <w:marRight w:val="0"/>
          <w:marTop w:val="0"/>
          <w:marBottom w:val="0"/>
          <w:divBdr>
            <w:top w:val="none" w:sz="0" w:space="0" w:color="auto"/>
            <w:left w:val="none" w:sz="0" w:space="0" w:color="auto"/>
            <w:bottom w:val="none" w:sz="0" w:space="0" w:color="auto"/>
            <w:right w:val="none" w:sz="0" w:space="0" w:color="auto"/>
          </w:divBdr>
        </w:div>
        <w:div w:id="1964773085">
          <w:marLeft w:val="0"/>
          <w:marRight w:val="0"/>
          <w:marTop w:val="0"/>
          <w:marBottom w:val="0"/>
          <w:divBdr>
            <w:top w:val="none" w:sz="0" w:space="0" w:color="auto"/>
            <w:left w:val="none" w:sz="0" w:space="0" w:color="auto"/>
            <w:bottom w:val="none" w:sz="0" w:space="0" w:color="auto"/>
            <w:right w:val="none" w:sz="0" w:space="0" w:color="auto"/>
          </w:divBdr>
        </w:div>
        <w:div w:id="1180120098">
          <w:marLeft w:val="0"/>
          <w:marRight w:val="0"/>
          <w:marTop w:val="0"/>
          <w:marBottom w:val="0"/>
          <w:divBdr>
            <w:top w:val="none" w:sz="0" w:space="0" w:color="auto"/>
            <w:left w:val="none" w:sz="0" w:space="0" w:color="auto"/>
            <w:bottom w:val="none" w:sz="0" w:space="0" w:color="auto"/>
            <w:right w:val="none" w:sz="0" w:space="0" w:color="auto"/>
          </w:divBdr>
        </w:div>
        <w:div w:id="118423577">
          <w:marLeft w:val="0"/>
          <w:marRight w:val="0"/>
          <w:marTop w:val="0"/>
          <w:marBottom w:val="0"/>
          <w:divBdr>
            <w:top w:val="none" w:sz="0" w:space="0" w:color="auto"/>
            <w:left w:val="none" w:sz="0" w:space="0" w:color="auto"/>
            <w:bottom w:val="none" w:sz="0" w:space="0" w:color="auto"/>
            <w:right w:val="none" w:sz="0" w:space="0" w:color="auto"/>
          </w:divBdr>
        </w:div>
        <w:div w:id="1017073283">
          <w:marLeft w:val="0"/>
          <w:marRight w:val="0"/>
          <w:marTop w:val="0"/>
          <w:marBottom w:val="0"/>
          <w:divBdr>
            <w:top w:val="none" w:sz="0" w:space="0" w:color="auto"/>
            <w:left w:val="none" w:sz="0" w:space="0" w:color="auto"/>
            <w:bottom w:val="none" w:sz="0" w:space="0" w:color="auto"/>
            <w:right w:val="none" w:sz="0" w:space="0" w:color="auto"/>
          </w:divBdr>
        </w:div>
        <w:div w:id="68967939">
          <w:marLeft w:val="0"/>
          <w:marRight w:val="0"/>
          <w:marTop w:val="0"/>
          <w:marBottom w:val="0"/>
          <w:divBdr>
            <w:top w:val="none" w:sz="0" w:space="0" w:color="auto"/>
            <w:left w:val="none" w:sz="0" w:space="0" w:color="auto"/>
            <w:bottom w:val="none" w:sz="0" w:space="0" w:color="auto"/>
            <w:right w:val="none" w:sz="0" w:space="0" w:color="auto"/>
          </w:divBdr>
        </w:div>
        <w:div w:id="887760832">
          <w:marLeft w:val="0"/>
          <w:marRight w:val="0"/>
          <w:marTop w:val="0"/>
          <w:marBottom w:val="0"/>
          <w:divBdr>
            <w:top w:val="none" w:sz="0" w:space="0" w:color="auto"/>
            <w:left w:val="none" w:sz="0" w:space="0" w:color="auto"/>
            <w:bottom w:val="none" w:sz="0" w:space="0" w:color="auto"/>
            <w:right w:val="none" w:sz="0" w:space="0" w:color="auto"/>
          </w:divBdr>
        </w:div>
        <w:div w:id="2055736308">
          <w:marLeft w:val="0"/>
          <w:marRight w:val="0"/>
          <w:marTop w:val="0"/>
          <w:marBottom w:val="0"/>
          <w:divBdr>
            <w:top w:val="none" w:sz="0" w:space="0" w:color="auto"/>
            <w:left w:val="none" w:sz="0" w:space="0" w:color="auto"/>
            <w:bottom w:val="none" w:sz="0" w:space="0" w:color="auto"/>
            <w:right w:val="none" w:sz="0" w:space="0" w:color="auto"/>
          </w:divBdr>
        </w:div>
        <w:div w:id="697849929">
          <w:marLeft w:val="0"/>
          <w:marRight w:val="0"/>
          <w:marTop w:val="0"/>
          <w:marBottom w:val="0"/>
          <w:divBdr>
            <w:top w:val="none" w:sz="0" w:space="0" w:color="auto"/>
            <w:left w:val="none" w:sz="0" w:space="0" w:color="auto"/>
            <w:bottom w:val="none" w:sz="0" w:space="0" w:color="auto"/>
            <w:right w:val="none" w:sz="0" w:space="0" w:color="auto"/>
          </w:divBdr>
        </w:div>
        <w:div w:id="2112116596">
          <w:marLeft w:val="0"/>
          <w:marRight w:val="0"/>
          <w:marTop w:val="0"/>
          <w:marBottom w:val="0"/>
          <w:divBdr>
            <w:top w:val="none" w:sz="0" w:space="0" w:color="auto"/>
            <w:left w:val="none" w:sz="0" w:space="0" w:color="auto"/>
            <w:bottom w:val="none" w:sz="0" w:space="0" w:color="auto"/>
            <w:right w:val="none" w:sz="0" w:space="0" w:color="auto"/>
          </w:divBdr>
        </w:div>
        <w:div w:id="492454159">
          <w:marLeft w:val="0"/>
          <w:marRight w:val="0"/>
          <w:marTop w:val="0"/>
          <w:marBottom w:val="0"/>
          <w:divBdr>
            <w:top w:val="none" w:sz="0" w:space="0" w:color="auto"/>
            <w:left w:val="none" w:sz="0" w:space="0" w:color="auto"/>
            <w:bottom w:val="none" w:sz="0" w:space="0" w:color="auto"/>
            <w:right w:val="none" w:sz="0" w:space="0" w:color="auto"/>
          </w:divBdr>
        </w:div>
        <w:div w:id="1759861026">
          <w:marLeft w:val="0"/>
          <w:marRight w:val="0"/>
          <w:marTop w:val="0"/>
          <w:marBottom w:val="0"/>
          <w:divBdr>
            <w:top w:val="none" w:sz="0" w:space="0" w:color="auto"/>
            <w:left w:val="none" w:sz="0" w:space="0" w:color="auto"/>
            <w:bottom w:val="none" w:sz="0" w:space="0" w:color="auto"/>
            <w:right w:val="none" w:sz="0" w:space="0" w:color="auto"/>
          </w:divBdr>
        </w:div>
        <w:div w:id="2095086052">
          <w:marLeft w:val="0"/>
          <w:marRight w:val="0"/>
          <w:marTop w:val="0"/>
          <w:marBottom w:val="0"/>
          <w:divBdr>
            <w:top w:val="none" w:sz="0" w:space="0" w:color="auto"/>
            <w:left w:val="none" w:sz="0" w:space="0" w:color="auto"/>
            <w:bottom w:val="none" w:sz="0" w:space="0" w:color="auto"/>
            <w:right w:val="none" w:sz="0" w:space="0" w:color="auto"/>
          </w:divBdr>
        </w:div>
        <w:div w:id="1039089872">
          <w:marLeft w:val="0"/>
          <w:marRight w:val="0"/>
          <w:marTop w:val="0"/>
          <w:marBottom w:val="0"/>
          <w:divBdr>
            <w:top w:val="none" w:sz="0" w:space="0" w:color="auto"/>
            <w:left w:val="none" w:sz="0" w:space="0" w:color="auto"/>
            <w:bottom w:val="none" w:sz="0" w:space="0" w:color="auto"/>
            <w:right w:val="none" w:sz="0" w:space="0" w:color="auto"/>
          </w:divBdr>
        </w:div>
        <w:div w:id="373507694">
          <w:marLeft w:val="0"/>
          <w:marRight w:val="0"/>
          <w:marTop w:val="0"/>
          <w:marBottom w:val="0"/>
          <w:divBdr>
            <w:top w:val="none" w:sz="0" w:space="0" w:color="auto"/>
            <w:left w:val="none" w:sz="0" w:space="0" w:color="auto"/>
            <w:bottom w:val="none" w:sz="0" w:space="0" w:color="auto"/>
            <w:right w:val="none" w:sz="0" w:space="0" w:color="auto"/>
          </w:divBdr>
        </w:div>
        <w:div w:id="292713845">
          <w:marLeft w:val="0"/>
          <w:marRight w:val="0"/>
          <w:marTop w:val="0"/>
          <w:marBottom w:val="0"/>
          <w:divBdr>
            <w:top w:val="none" w:sz="0" w:space="0" w:color="auto"/>
            <w:left w:val="none" w:sz="0" w:space="0" w:color="auto"/>
            <w:bottom w:val="none" w:sz="0" w:space="0" w:color="auto"/>
            <w:right w:val="none" w:sz="0" w:space="0" w:color="auto"/>
          </w:divBdr>
        </w:div>
        <w:div w:id="655305073">
          <w:marLeft w:val="0"/>
          <w:marRight w:val="0"/>
          <w:marTop w:val="0"/>
          <w:marBottom w:val="0"/>
          <w:divBdr>
            <w:top w:val="none" w:sz="0" w:space="0" w:color="auto"/>
            <w:left w:val="none" w:sz="0" w:space="0" w:color="auto"/>
            <w:bottom w:val="none" w:sz="0" w:space="0" w:color="auto"/>
            <w:right w:val="none" w:sz="0" w:space="0" w:color="auto"/>
          </w:divBdr>
        </w:div>
        <w:div w:id="1708483437">
          <w:marLeft w:val="0"/>
          <w:marRight w:val="0"/>
          <w:marTop w:val="0"/>
          <w:marBottom w:val="0"/>
          <w:divBdr>
            <w:top w:val="none" w:sz="0" w:space="0" w:color="auto"/>
            <w:left w:val="none" w:sz="0" w:space="0" w:color="auto"/>
            <w:bottom w:val="none" w:sz="0" w:space="0" w:color="auto"/>
            <w:right w:val="none" w:sz="0" w:space="0" w:color="auto"/>
          </w:divBdr>
        </w:div>
        <w:div w:id="1768039766">
          <w:marLeft w:val="0"/>
          <w:marRight w:val="0"/>
          <w:marTop w:val="0"/>
          <w:marBottom w:val="0"/>
          <w:divBdr>
            <w:top w:val="none" w:sz="0" w:space="0" w:color="auto"/>
            <w:left w:val="none" w:sz="0" w:space="0" w:color="auto"/>
            <w:bottom w:val="none" w:sz="0" w:space="0" w:color="auto"/>
            <w:right w:val="none" w:sz="0" w:space="0" w:color="auto"/>
          </w:divBdr>
        </w:div>
        <w:div w:id="2015569404">
          <w:marLeft w:val="0"/>
          <w:marRight w:val="0"/>
          <w:marTop w:val="0"/>
          <w:marBottom w:val="0"/>
          <w:divBdr>
            <w:top w:val="none" w:sz="0" w:space="0" w:color="auto"/>
            <w:left w:val="none" w:sz="0" w:space="0" w:color="auto"/>
            <w:bottom w:val="none" w:sz="0" w:space="0" w:color="auto"/>
            <w:right w:val="none" w:sz="0" w:space="0" w:color="auto"/>
          </w:divBdr>
        </w:div>
        <w:div w:id="1164934395">
          <w:marLeft w:val="0"/>
          <w:marRight w:val="0"/>
          <w:marTop w:val="0"/>
          <w:marBottom w:val="0"/>
          <w:divBdr>
            <w:top w:val="none" w:sz="0" w:space="0" w:color="auto"/>
            <w:left w:val="none" w:sz="0" w:space="0" w:color="auto"/>
            <w:bottom w:val="none" w:sz="0" w:space="0" w:color="auto"/>
            <w:right w:val="none" w:sz="0" w:space="0" w:color="auto"/>
          </w:divBdr>
        </w:div>
        <w:div w:id="1341548846">
          <w:marLeft w:val="0"/>
          <w:marRight w:val="0"/>
          <w:marTop w:val="0"/>
          <w:marBottom w:val="0"/>
          <w:divBdr>
            <w:top w:val="none" w:sz="0" w:space="0" w:color="auto"/>
            <w:left w:val="none" w:sz="0" w:space="0" w:color="auto"/>
            <w:bottom w:val="none" w:sz="0" w:space="0" w:color="auto"/>
            <w:right w:val="none" w:sz="0" w:space="0" w:color="auto"/>
          </w:divBdr>
        </w:div>
        <w:div w:id="550119897">
          <w:marLeft w:val="0"/>
          <w:marRight w:val="0"/>
          <w:marTop w:val="0"/>
          <w:marBottom w:val="0"/>
          <w:divBdr>
            <w:top w:val="none" w:sz="0" w:space="0" w:color="auto"/>
            <w:left w:val="none" w:sz="0" w:space="0" w:color="auto"/>
            <w:bottom w:val="none" w:sz="0" w:space="0" w:color="auto"/>
            <w:right w:val="none" w:sz="0" w:space="0" w:color="auto"/>
          </w:divBdr>
        </w:div>
        <w:div w:id="2043901433">
          <w:marLeft w:val="0"/>
          <w:marRight w:val="0"/>
          <w:marTop w:val="0"/>
          <w:marBottom w:val="0"/>
          <w:divBdr>
            <w:top w:val="none" w:sz="0" w:space="0" w:color="auto"/>
            <w:left w:val="none" w:sz="0" w:space="0" w:color="auto"/>
            <w:bottom w:val="none" w:sz="0" w:space="0" w:color="auto"/>
            <w:right w:val="none" w:sz="0" w:space="0" w:color="auto"/>
          </w:divBdr>
        </w:div>
        <w:div w:id="1868132977">
          <w:marLeft w:val="0"/>
          <w:marRight w:val="0"/>
          <w:marTop w:val="0"/>
          <w:marBottom w:val="0"/>
          <w:divBdr>
            <w:top w:val="none" w:sz="0" w:space="0" w:color="auto"/>
            <w:left w:val="none" w:sz="0" w:space="0" w:color="auto"/>
            <w:bottom w:val="none" w:sz="0" w:space="0" w:color="auto"/>
            <w:right w:val="none" w:sz="0" w:space="0" w:color="auto"/>
          </w:divBdr>
        </w:div>
        <w:div w:id="278071882">
          <w:marLeft w:val="0"/>
          <w:marRight w:val="0"/>
          <w:marTop w:val="0"/>
          <w:marBottom w:val="0"/>
          <w:divBdr>
            <w:top w:val="none" w:sz="0" w:space="0" w:color="auto"/>
            <w:left w:val="none" w:sz="0" w:space="0" w:color="auto"/>
            <w:bottom w:val="none" w:sz="0" w:space="0" w:color="auto"/>
            <w:right w:val="none" w:sz="0" w:space="0" w:color="auto"/>
          </w:divBdr>
        </w:div>
        <w:div w:id="1254246694">
          <w:marLeft w:val="0"/>
          <w:marRight w:val="0"/>
          <w:marTop w:val="0"/>
          <w:marBottom w:val="0"/>
          <w:divBdr>
            <w:top w:val="none" w:sz="0" w:space="0" w:color="auto"/>
            <w:left w:val="none" w:sz="0" w:space="0" w:color="auto"/>
            <w:bottom w:val="none" w:sz="0" w:space="0" w:color="auto"/>
            <w:right w:val="none" w:sz="0" w:space="0" w:color="auto"/>
          </w:divBdr>
        </w:div>
        <w:div w:id="1700466405">
          <w:marLeft w:val="0"/>
          <w:marRight w:val="0"/>
          <w:marTop w:val="0"/>
          <w:marBottom w:val="0"/>
          <w:divBdr>
            <w:top w:val="none" w:sz="0" w:space="0" w:color="auto"/>
            <w:left w:val="none" w:sz="0" w:space="0" w:color="auto"/>
            <w:bottom w:val="none" w:sz="0" w:space="0" w:color="auto"/>
            <w:right w:val="none" w:sz="0" w:space="0" w:color="auto"/>
          </w:divBdr>
        </w:div>
        <w:div w:id="2113741545">
          <w:marLeft w:val="0"/>
          <w:marRight w:val="0"/>
          <w:marTop w:val="0"/>
          <w:marBottom w:val="0"/>
          <w:divBdr>
            <w:top w:val="none" w:sz="0" w:space="0" w:color="auto"/>
            <w:left w:val="none" w:sz="0" w:space="0" w:color="auto"/>
            <w:bottom w:val="none" w:sz="0" w:space="0" w:color="auto"/>
            <w:right w:val="none" w:sz="0" w:space="0" w:color="auto"/>
          </w:divBdr>
        </w:div>
        <w:div w:id="1260873912">
          <w:marLeft w:val="0"/>
          <w:marRight w:val="0"/>
          <w:marTop w:val="0"/>
          <w:marBottom w:val="0"/>
          <w:divBdr>
            <w:top w:val="none" w:sz="0" w:space="0" w:color="auto"/>
            <w:left w:val="none" w:sz="0" w:space="0" w:color="auto"/>
            <w:bottom w:val="none" w:sz="0" w:space="0" w:color="auto"/>
            <w:right w:val="none" w:sz="0" w:space="0" w:color="auto"/>
          </w:divBdr>
        </w:div>
        <w:div w:id="100881939">
          <w:marLeft w:val="0"/>
          <w:marRight w:val="0"/>
          <w:marTop w:val="0"/>
          <w:marBottom w:val="0"/>
          <w:divBdr>
            <w:top w:val="none" w:sz="0" w:space="0" w:color="auto"/>
            <w:left w:val="none" w:sz="0" w:space="0" w:color="auto"/>
            <w:bottom w:val="none" w:sz="0" w:space="0" w:color="auto"/>
            <w:right w:val="none" w:sz="0" w:space="0" w:color="auto"/>
          </w:divBdr>
        </w:div>
        <w:div w:id="831222074">
          <w:marLeft w:val="0"/>
          <w:marRight w:val="0"/>
          <w:marTop w:val="0"/>
          <w:marBottom w:val="0"/>
          <w:divBdr>
            <w:top w:val="none" w:sz="0" w:space="0" w:color="auto"/>
            <w:left w:val="none" w:sz="0" w:space="0" w:color="auto"/>
            <w:bottom w:val="none" w:sz="0" w:space="0" w:color="auto"/>
            <w:right w:val="none" w:sz="0" w:space="0" w:color="auto"/>
          </w:divBdr>
        </w:div>
        <w:div w:id="1638216164">
          <w:marLeft w:val="0"/>
          <w:marRight w:val="0"/>
          <w:marTop w:val="0"/>
          <w:marBottom w:val="0"/>
          <w:divBdr>
            <w:top w:val="none" w:sz="0" w:space="0" w:color="auto"/>
            <w:left w:val="none" w:sz="0" w:space="0" w:color="auto"/>
            <w:bottom w:val="none" w:sz="0" w:space="0" w:color="auto"/>
            <w:right w:val="none" w:sz="0" w:space="0" w:color="auto"/>
          </w:divBdr>
        </w:div>
        <w:div w:id="31157291">
          <w:marLeft w:val="0"/>
          <w:marRight w:val="0"/>
          <w:marTop w:val="0"/>
          <w:marBottom w:val="0"/>
          <w:divBdr>
            <w:top w:val="none" w:sz="0" w:space="0" w:color="auto"/>
            <w:left w:val="none" w:sz="0" w:space="0" w:color="auto"/>
            <w:bottom w:val="none" w:sz="0" w:space="0" w:color="auto"/>
            <w:right w:val="none" w:sz="0" w:space="0" w:color="auto"/>
          </w:divBdr>
        </w:div>
        <w:div w:id="1586381334">
          <w:marLeft w:val="0"/>
          <w:marRight w:val="0"/>
          <w:marTop w:val="0"/>
          <w:marBottom w:val="0"/>
          <w:divBdr>
            <w:top w:val="none" w:sz="0" w:space="0" w:color="auto"/>
            <w:left w:val="none" w:sz="0" w:space="0" w:color="auto"/>
            <w:bottom w:val="none" w:sz="0" w:space="0" w:color="auto"/>
            <w:right w:val="none" w:sz="0" w:space="0" w:color="auto"/>
          </w:divBdr>
        </w:div>
        <w:div w:id="1928925854">
          <w:marLeft w:val="0"/>
          <w:marRight w:val="0"/>
          <w:marTop w:val="0"/>
          <w:marBottom w:val="0"/>
          <w:divBdr>
            <w:top w:val="none" w:sz="0" w:space="0" w:color="auto"/>
            <w:left w:val="none" w:sz="0" w:space="0" w:color="auto"/>
            <w:bottom w:val="none" w:sz="0" w:space="0" w:color="auto"/>
            <w:right w:val="none" w:sz="0" w:space="0" w:color="auto"/>
          </w:divBdr>
        </w:div>
        <w:div w:id="849107083">
          <w:marLeft w:val="0"/>
          <w:marRight w:val="0"/>
          <w:marTop w:val="0"/>
          <w:marBottom w:val="0"/>
          <w:divBdr>
            <w:top w:val="none" w:sz="0" w:space="0" w:color="auto"/>
            <w:left w:val="none" w:sz="0" w:space="0" w:color="auto"/>
            <w:bottom w:val="none" w:sz="0" w:space="0" w:color="auto"/>
            <w:right w:val="none" w:sz="0" w:space="0" w:color="auto"/>
          </w:divBdr>
        </w:div>
        <w:div w:id="1842886935">
          <w:marLeft w:val="0"/>
          <w:marRight w:val="0"/>
          <w:marTop w:val="0"/>
          <w:marBottom w:val="0"/>
          <w:divBdr>
            <w:top w:val="none" w:sz="0" w:space="0" w:color="auto"/>
            <w:left w:val="none" w:sz="0" w:space="0" w:color="auto"/>
            <w:bottom w:val="none" w:sz="0" w:space="0" w:color="auto"/>
            <w:right w:val="none" w:sz="0" w:space="0" w:color="auto"/>
          </w:divBdr>
        </w:div>
        <w:div w:id="839387914">
          <w:marLeft w:val="0"/>
          <w:marRight w:val="0"/>
          <w:marTop w:val="0"/>
          <w:marBottom w:val="0"/>
          <w:divBdr>
            <w:top w:val="none" w:sz="0" w:space="0" w:color="auto"/>
            <w:left w:val="none" w:sz="0" w:space="0" w:color="auto"/>
            <w:bottom w:val="none" w:sz="0" w:space="0" w:color="auto"/>
            <w:right w:val="none" w:sz="0" w:space="0" w:color="auto"/>
          </w:divBdr>
        </w:div>
        <w:div w:id="190655531">
          <w:marLeft w:val="0"/>
          <w:marRight w:val="0"/>
          <w:marTop w:val="0"/>
          <w:marBottom w:val="0"/>
          <w:divBdr>
            <w:top w:val="none" w:sz="0" w:space="0" w:color="auto"/>
            <w:left w:val="none" w:sz="0" w:space="0" w:color="auto"/>
            <w:bottom w:val="none" w:sz="0" w:space="0" w:color="auto"/>
            <w:right w:val="none" w:sz="0" w:space="0" w:color="auto"/>
          </w:divBdr>
        </w:div>
        <w:div w:id="27797059">
          <w:marLeft w:val="0"/>
          <w:marRight w:val="0"/>
          <w:marTop w:val="0"/>
          <w:marBottom w:val="0"/>
          <w:divBdr>
            <w:top w:val="none" w:sz="0" w:space="0" w:color="auto"/>
            <w:left w:val="none" w:sz="0" w:space="0" w:color="auto"/>
            <w:bottom w:val="none" w:sz="0" w:space="0" w:color="auto"/>
            <w:right w:val="none" w:sz="0" w:space="0" w:color="auto"/>
          </w:divBdr>
        </w:div>
        <w:div w:id="1580285171">
          <w:marLeft w:val="0"/>
          <w:marRight w:val="0"/>
          <w:marTop w:val="0"/>
          <w:marBottom w:val="0"/>
          <w:divBdr>
            <w:top w:val="none" w:sz="0" w:space="0" w:color="auto"/>
            <w:left w:val="none" w:sz="0" w:space="0" w:color="auto"/>
            <w:bottom w:val="none" w:sz="0" w:space="0" w:color="auto"/>
            <w:right w:val="none" w:sz="0" w:space="0" w:color="auto"/>
          </w:divBdr>
        </w:div>
        <w:div w:id="1210218944">
          <w:marLeft w:val="0"/>
          <w:marRight w:val="0"/>
          <w:marTop w:val="0"/>
          <w:marBottom w:val="0"/>
          <w:divBdr>
            <w:top w:val="none" w:sz="0" w:space="0" w:color="auto"/>
            <w:left w:val="none" w:sz="0" w:space="0" w:color="auto"/>
            <w:bottom w:val="none" w:sz="0" w:space="0" w:color="auto"/>
            <w:right w:val="none" w:sz="0" w:space="0" w:color="auto"/>
          </w:divBdr>
        </w:div>
        <w:div w:id="1674643805">
          <w:marLeft w:val="0"/>
          <w:marRight w:val="0"/>
          <w:marTop w:val="0"/>
          <w:marBottom w:val="0"/>
          <w:divBdr>
            <w:top w:val="none" w:sz="0" w:space="0" w:color="auto"/>
            <w:left w:val="none" w:sz="0" w:space="0" w:color="auto"/>
            <w:bottom w:val="none" w:sz="0" w:space="0" w:color="auto"/>
            <w:right w:val="none" w:sz="0" w:space="0" w:color="auto"/>
          </w:divBdr>
        </w:div>
        <w:div w:id="1297298222">
          <w:marLeft w:val="0"/>
          <w:marRight w:val="0"/>
          <w:marTop w:val="0"/>
          <w:marBottom w:val="0"/>
          <w:divBdr>
            <w:top w:val="none" w:sz="0" w:space="0" w:color="auto"/>
            <w:left w:val="none" w:sz="0" w:space="0" w:color="auto"/>
            <w:bottom w:val="none" w:sz="0" w:space="0" w:color="auto"/>
            <w:right w:val="none" w:sz="0" w:space="0" w:color="auto"/>
          </w:divBdr>
        </w:div>
        <w:div w:id="74402362">
          <w:marLeft w:val="0"/>
          <w:marRight w:val="0"/>
          <w:marTop w:val="0"/>
          <w:marBottom w:val="0"/>
          <w:divBdr>
            <w:top w:val="none" w:sz="0" w:space="0" w:color="auto"/>
            <w:left w:val="none" w:sz="0" w:space="0" w:color="auto"/>
            <w:bottom w:val="none" w:sz="0" w:space="0" w:color="auto"/>
            <w:right w:val="none" w:sz="0" w:space="0" w:color="auto"/>
          </w:divBdr>
        </w:div>
        <w:div w:id="1136028750">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1917401682">
          <w:marLeft w:val="0"/>
          <w:marRight w:val="0"/>
          <w:marTop w:val="0"/>
          <w:marBottom w:val="0"/>
          <w:divBdr>
            <w:top w:val="none" w:sz="0" w:space="0" w:color="auto"/>
            <w:left w:val="none" w:sz="0" w:space="0" w:color="auto"/>
            <w:bottom w:val="none" w:sz="0" w:space="0" w:color="auto"/>
            <w:right w:val="none" w:sz="0" w:space="0" w:color="auto"/>
          </w:divBdr>
        </w:div>
      </w:divsChild>
    </w:div>
    <w:div w:id="2077704910">
      <w:bodyDiv w:val="1"/>
      <w:marLeft w:val="0"/>
      <w:marRight w:val="0"/>
      <w:marTop w:val="0"/>
      <w:marBottom w:val="0"/>
      <w:divBdr>
        <w:top w:val="none" w:sz="0" w:space="0" w:color="auto"/>
        <w:left w:val="none" w:sz="0" w:space="0" w:color="auto"/>
        <w:bottom w:val="none" w:sz="0" w:space="0" w:color="auto"/>
        <w:right w:val="none" w:sz="0" w:space="0" w:color="auto"/>
      </w:divBdr>
    </w:div>
    <w:div w:id="2114083237">
      <w:bodyDiv w:val="1"/>
      <w:marLeft w:val="0"/>
      <w:marRight w:val="0"/>
      <w:marTop w:val="0"/>
      <w:marBottom w:val="0"/>
      <w:divBdr>
        <w:top w:val="none" w:sz="0" w:space="0" w:color="auto"/>
        <w:left w:val="none" w:sz="0" w:space="0" w:color="auto"/>
        <w:bottom w:val="none" w:sz="0" w:space="0" w:color="auto"/>
        <w:right w:val="none" w:sz="0" w:space="0" w:color="auto"/>
      </w:divBdr>
    </w:div>
    <w:div w:id="2146239925">
      <w:bodyDiv w:val="1"/>
      <w:marLeft w:val="0"/>
      <w:marRight w:val="0"/>
      <w:marTop w:val="0"/>
      <w:marBottom w:val="0"/>
      <w:divBdr>
        <w:top w:val="none" w:sz="0" w:space="0" w:color="auto"/>
        <w:left w:val="none" w:sz="0" w:space="0" w:color="auto"/>
        <w:bottom w:val="none" w:sz="0" w:space="0" w:color="auto"/>
        <w:right w:val="none" w:sz="0" w:space="0" w:color="auto"/>
      </w:divBdr>
    </w:div>
    <w:div w:id="21465846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62">
          <w:marLeft w:val="0"/>
          <w:marRight w:val="0"/>
          <w:marTop w:val="0"/>
          <w:marBottom w:val="0"/>
          <w:divBdr>
            <w:top w:val="none" w:sz="0" w:space="0" w:color="auto"/>
            <w:left w:val="none" w:sz="0" w:space="0" w:color="auto"/>
            <w:bottom w:val="none" w:sz="0" w:space="0" w:color="auto"/>
            <w:right w:val="none" w:sz="0" w:space="0" w:color="auto"/>
          </w:divBdr>
          <w:divsChild>
            <w:div w:id="36243858">
              <w:marLeft w:val="0"/>
              <w:marRight w:val="0"/>
              <w:marTop w:val="0"/>
              <w:marBottom w:val="180"/>
              <w:divBdr>
                <w:top w:val="none" w:sz="0" w:space="0" w:color="auto"/>
                <w:left w:val="none" w:sz="0" w:space="0" w:color="auto"/>
                <w:bottom w:val="none" w:sz="0" w:space="0" w:color="auto"/>
                <w:right w:val="none" w:sz="0" w:space="0" w:color="auto"/>
              </w:divBdr>
            </w:div>
          </w:divsChild>
        </w:div>
        <w:div w:id="972516076">
          <w:marLeft w:val="0"/>
          <w:marRight w:val="0"/>
          <w:marTop w:val="0"/>
          <w:marBottom w:val="0"/>
          <w:divBdr>
            <w:top w:val="none" w:sz="0" w:space="0" w:color="auto"/>
            <w:left w:val="none" w:sz="0" w:space="0" w:color="auto"/>
            <w:bottom w:val="none" w:sz="0" w:space="0" w:color="auto"/>
            <w:right w:val="none" w:sz="0" w:space="0" w:color="auto"/>
          </w:divBdr>
          <w:divsChild>
            <w:div w:id="2093771889">
              <w:marLeft w:val="0"/>
              <w:marRight w:val="0"/>
              <w:marTop w:val="0"/>
              <w:marBottom w:val="0"/>
              <w:divBdr>
                <w:top w:val="none" w:sz="0" w:space="0" w:color="auto"/>
                <w:left w:val="none" w:sz="0" w:space="0" w:color="auto"/>
                <w:bottom w:val="none" w:sz="0" w:space="0" w:color="auto"/>
                <w:right w:val="none" w:sz="0" w:space="0" w:color="auto"/>
              </w:divBdr>
              <w:divsChild>
                <w:div w:id="799958680">
                  <w:marLeft w:val="0"/>
                  <w:marRight w:val="0"/>
                  <w:marTop w:val="0"/>
                  <w:marBottom w:val="0"/>
                  <w:divBdr>
                    <w:top w:val="none" w:sz="0" w:space="0" w:color="auto"/>
                    <w:left w:val="none" w:sz="0" w:space="0" w:color="auto"/>
                    <w:bottom w:val="none" w:sz="0" w:space="0" w:color="auto"/>
                    <w:right w:val="none" w:sz="0" w:space="0" w:color="auto"/>
                  </w:divBdr>
                  <w:divsChild>
                    <w:div w:id="12616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3556586">
              <w:marLeft w:val="0"/>
              <w:marRight w:val="0"/>
              <w:marTop w:val="0"/>
              <w:marBottom w:val="120"/>
              <w:divBdr>
                <w:top w:val="none" w:sz="0" w:space="0" w:color="auto"/>
                <w:left w:val="none" w:sz="0" w:space="0" w:color="auto"/>
                <w:bottom w:val="none" w:sz="0" w:space="0" w:color="auto"/>
                <w:right w:val="none" w:sz="0" w:space="0" w:color="auto"/>
              </w:divBdr>
            </w:div>
            <w:div w:id="974719465">
              <w:marLeft w:val="0"/>
              <w:marRight w:val="0"/>
              <w:marTop w:val="0"/>
              <w:marBottom w:val="0"/>
              <w:divBdr>
                <w:top w:val="none" w:sz="0" w:space="0" w:color="auto"/>
                <w:left w:val="none" w:sz="0" w:space="0" w:color="auto"/>
                <w:bottom w:val="none" w:sz="0" w:space="0" w:color="auto"/>
                <w:right w:val="none" w:sz="0" w:space="0" w:color="auto"/>
              </w:divBdr>
              <w:divsChild>
                <w:div w:id="13907536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APT-AWG-REP-84_Report_IMT_implementation.docx" TargetMode="External"/><Relationship Id="rId18" Type="http://schemas.openxmlformats.org/officeDocument/2006/relationships/hyperlink" Target="https://www.apt.int/sites/default/files/APT-AWG-REP-89_Satellite_Next_Generation_Access_Network.docx" TargetMode="External"/><Relationship Id="rId26" Type="http://schemas.openxmlformats.org/officeDocument/2006/relationships/image" Target="cid:image001.png@01D45FCA.463CCF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pt.int/Publications" TargetMode="External"/><Relationship Id="rId34" Type="http://schemas.openxmlformats.org/officeDocument/2006/relationships/hyperlink" Target="https://www.rrmediagroup.com/News/NewsDetails/NewsID/17080/" TargetMode="External"/><Relationship Id="rId7" Type="http://schemas.openxmlformats.org/officeDocument/2006/relationships/footnotes" Target="footnotes.xml"/><Relationship Id="rId12" Type="http://schemas.openxmlformats.org/officeDocument/2006/relationships/hyperlink" Target="https://www.apt.int/sites/default/files/APT-AWG-REP-15Rev.5_Mobile_Frequency_Tech_License.docx" TargetMode="External"/><Relationship Id="rId17" Type="http://schemas.openxmlformats.org/officeDocument/2006/relationships/hyperlink" Target="https://www.apt.int/sites/default/files/APT-AWG-REP-88_PPDR_Narrowband_Report.docx" TargetMode="External"/><Relationship Id="rId25" Type="http://schemas.openxmlformats.org/officeDocument/2006/relationships/image" Target="media/image2.png"/><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t.int/sites/default/files/APT-AWG-REP-87_100_to_300kHz_band_for_Non-Beam__WPT.docx" TargetMode="External"/><Relationship Id="rId20" Type="http://schemas.openxmlformats.org/officeDocument/2006/relationships/hyperlink" Target="https://www.apt.int/sites/default/files/Questionnaire_VMES.docx" TargetMode="External"/><Relationship Id="rId29" Type="http://schemas.openxmlformats.org/officeDocument/2006/relationships/hyperlink" Target="https://c-bandallian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sites/default/files/APT-AWG-REP-07Rev.6__SRD_Report.docx" TargetMode="External"/><Relationship Id="rId24" Type="http://schemas.openxmlformats.org/officeDocument/2006/relationships/hyperlink" Target="https://www.fcc.gov/document/promoting-unlicensed-use-6-ghz-band" TargetMode="External"/><Relationship Id="rId32" Type="http://schemas.openxmlformats.org/officeDocument/2006/relationships/hyperlink" Target="http://5gobservatory.eu" TargetMode="External"/><Relationship Id="rId37" Type="http://schemas.openxmlformats.org/officeDocument/2006/relationships/hyperlink" Target="https://www.ic.gc.ca/eic/site/smt-gst.nsf/vwapj/RSS-251-issue1.pdf/$FILE/RSS-251-issue1.pdf" TargetMode="External"/><Relationship Id="rId5" Type="http://schemas.openxmlformats.org/officeDocument/2006/relationships/settings" Target="settings.xml"/><Relationship Id="rId15" Type="http://schemas.openxmlformats.org/officeDocument/2006/relationships/hyperlink" Target="https://www.apt.int/sites/default/files/APT-AWG-REP-86_IoTimplementation_and_deployment.docx" TargetMode="External"/><Relationship Id="rId23" Type="http://schemas.openxmlformats.org/officeDocument/2006/relationships/hyperlink" Target="https://docs.fcc.gov/public/attachments/DOC-354326A1.docx" TargetMode="External"/><Relationship Id="rId28" Type="http://schemas.openxmlformats.org/officeDocument/2006/relationships/hyperlink" Target="https://docs.fcc.gov/public/attachments/DA-18-783A1.pdf" TargetMode="External"/><Relationship Id="rId36" Type="http://schemas.openxmlformats.org/officeDocument/2006/relationships/hyperlink" Target="https://rheintech.us4.list-manage.com/track/click?u=ea8729ded10d990820bca7414&amp;id=90c70a633c&amp;e=56b0e30a9b" TargetMode="External"/><Relationship Id="rId10" Type="http://schemas.openxmlformats.org/officeDocument/2006/relationships/hyperlink" Target="https://www.apt.int/sites/default/files/APT-AWG-OP-2Rev.3_Technical_conditions_for_mobile_onboard.docx" TargetMode="External"/><Relationship Id="rId19" Type="http://schemas.openxmlformats.org/officeDocument/2006/relationships/hyperlink" Target="https://www.apt.int/sites/default/files/WorkplanSeptember2018.docx" TargetMode="External"/><Relationship Id="rId31" Type="http://schemas.openxmlformats.org/officeDocument/2006/relationships/hyperlink" Target="https://www.ic.gc.ca/eic/site/smt-gst.nsf/vwapj/Outlook-2018-EN.pdf/$file/Outlook-2018-EN.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apt.int/sites/default/files/APT-AWG-REP-85_Report_FWS_remote_connectivity.docx" TargetMode="External"/><Relationship Id="rId22" Type="http://schemas.openxmlformats.org/officeDocument/2006/relationships/hyperlink" Target="https://www.nhtsa.gov/speeches-presentations/prepared-keynote-remarks-international-symposium-advanced-radio-technologies" TargetMode="External"/><Relationship Id="rId27" Type="http://schemas.openxmlformats.org/officeDocument/2006/relationships/hyperlink" Target="https://www.fcc.gov/document/fcc-facilitates-use-satellite-earth-stations-motion-0" TargetMode="External"/><Relationship Id="rId30" Type="http://schemas.openxmlformats.org/officeDocument/2006/relationships/hyperlink" Target="https://www.acma.gov.au/-/media/Spectrum-Review-Implementation-Taskforce/Issue-for-comment/IFC-12-2018/Five-year-spectrum-outlook-2018-22-docx.docx?la=en" TargetMode="External"/><Relationship Id="rId35" Type="http://schemas.openxmlformats.org/officeDocument/2006/relationships/hyperlink" Target="https://ecfsapi.fcc.gov/file/10927022955695/Globalstar%20Ex%20Parte%20Notice_27%20September%202018-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C5E7-BFD0-4466-9566-E4F19400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7015</Words>
  <Characters>42795</Characters>
  <Application>Microsoft Office Word</Application>
  <DocSecurity>4</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Per Christensen</cp:lastModifiedBy>
  <cp:revision>2</cp:revision>
  <dcterms:created xsi:type="dcterms:W3CDTF">2018-10-17T07:58:00Z</dcterms:created>
  <dcterms:modified xsi:type="dcterms:W3CDTF">2018-10-17T07:58:00Z</dcterms:modified>
</cp:coreProperties>
</file>