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3C8C7E13" w14:textId="77777777" w:rsidTr="000E3E4D">
        <w:trPr>
          <w:cantSplit/>
          <w:trHeight w:val="1560"/>
        </w:trPr>
        <w:tc>
          <w:tcPr>
            <w:tcW w:w="4820" w:type="dxa"/>
            <w:gridSpan w:val="2"/>
            <w:tcBorders>
              <w:top w:val="nil"/>
              <w:left w:val="nil"/>
              <w:bottom w:val="nil"/>
              <w:right w:val="nil"/>
            </w:tcBorders>
            <w:vAlign w:val="center"/>
          </w:tcPr>
          <w:p w14:paraId="1E24F8C5" w14:textId="184578CA" w:rsidR="00265F50" w:rsidRPr="00265F50" w:rsidRDefault="00265F50" w:rsidP="00DD5136">
            <w:pPr>
              <w:pStyle w:val="ECCLetterHead"/>
            </w:pPr>
            <w:r w:rsidRPr="00265F50">
              <w:rPr>
                <w:noProof/>
                <w:lang w:eastAsia="en-GB"/>
              </w:rPr>
              <w:drawing>
                <wp:inline distT="0" distB="0" distL="0" distR="0" wp14:anchorId="32CC0B2F" wp14:editId="58D5C976">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B27330">
              <w:t>Plenary</w:t>
            </w:r>
          </w:p>
        </w:tc>
        <w:tc>
          <w:tcPr>
            <w:tcW w:w="4961" w:type="dxa"/>
            <w:tcBorders>
              <w:top w:val="nil"/>
              <w:left w:val="nil"/>
              <w:bottom w:val="nil"/>
              <w:right w:val="nil"/>
            </w:tcBorders>
          </w:tcPr>
          <w:p w14:paraId="0B6854DE" w14:textId="655846B1" w:rsidR="00265F50" w:rsidRPr="00265F50" w:rsidRDefault="00265F50" w:rsidP="00DD5136">
            <w:pPr>
              <w:pStyle w:val="ECCLetterHead"/>
            </w:pPr>
            <w:r>
              <w:tab/>
            </w:r>
            <w:r w:rsidR="004837B8">
              <w:t xml:space="preserve">Doc. </w:t>
            </w:r>
            <w:proofErr w:type="gramStart"/>
            <w:r w:rsidR="009138BA">
              <w:t>ECC</w:t>
            </w:r>
            <w:r w:rsidR="004837B8">
              <w:t>(</w:t>
            </w:r>
            <w:proofErr w:type="gramEnd"/>
            <w:r w:rsidR="004837B8">
              <w:t>2</w:t>
            </w:r>
            <w:r w:rsidR="009138BA">
              <w:t>0</w:t>
            </w:r>
            <w:r w:rsidR="004837B8">
              <w:t>)</w:t>
            </w:r>
            <w:r w:rsidR="009138BA">
              <w:t>055</w:t>
            </w:r>
            <w:r w:rsidR="00794DDF">
              <w:t xml:space="preserve"> Annex 18</w:t>
            </w:r>
          </w:p>
        </w:tc>
      </w:tr>
      <w:tr w:rsidR="00F11542" w:rsidRPr="00A3755D" w14:paraId="06CC6329" w14:textId="77777777" w:rsidTr="006D6CB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74CD65EE" w14:textId="0714B901" w:rsidR="00F11542" w:rsidRPr="0011705C" w:rsidRDefault="00DC6357" w:rsidP="00DD5136">
            <w:pPr>
              <w:pStyle w:val="ECCLetterHead"/>
            </w:pPr>
            <w:r>
              <w:t>52</w:t>
            </w:r>
            <w:r w:rsidRPr="00DC6357">
              <w:rPr>
                <w:vertAlign w:val="superscript"/>
              </w:rPr>
              <w:t>nd</w:t>
            </w:r>
            <w:r>
              <w:t xml:space="preserve"> ECC meeting</w:t>
            </w:r>
          </w:p>
        </w:tc>
      </w:tr>
      <w:tr w:rsidR="00F11542" w:rsidRPr="00A3755D" w14:paraId="554F4449" w14:textId="77777777" w:rsidTr="003B120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6A04CD92" w14:textId="72C9471A" w:rsidR="00F11542" w:rsidRPr="0011705C" w:rsidRDefault="00DC6357" w:rsidP="00265F50">
            <w:pPr>
              <w:pStyle w:val="ECCLetterHead"/>
            </w:pPr>
            <w:r>
              <w:t>Tallinn, Estonia, 3-6 March 2020</w:t>
            </w:r>
          </w:p>
        </w:tc>
      </w:tr>
      <w:tr w:rsidR="00F11542" w:rsidRPr="00A3755D" w14:paraId="3A6CFB97" w14:textId="77777777" w:rsidTr="00FB4A71">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5CFB9416" w14:textId="77777777" w:rsidR="00F11542" w:rsidRPr="00A3755D" w:rsidRDefault="00F11542" w:rsidP="00263FFB">
            <w:pPr>
              <w:pStyle w:val="ECCLetterHead"/>
            </w:pPr>
          </w:p>
        </w:tc>
      </w:tr>
      <w:tr w:rsidR="00263FFB" w:rsidRPr="00A3755D" w14:paraId="553174D1"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01FCA368" w14:textId="77777777"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54156E33" w14:textId="3C37A457" w:rsidR="00263FFB" w:rsidRPr="00263FFB" w:rsidRDefault="009617F0" w:rsidP="00263FFB">
            <w:pPr>
              <w:pStyle w:val="ECCLetterHead"/>
            </w:pPr>
            <w:r>
              <w:t>6 March 2020</w:t>
            </w:r>
          </w:p>
        </w:tc>
      </w:tr>
      <w:tr w:rsidR="00263FFB" w:rsidRPr="00A3755D" w14:paraId="46C2CF16"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655B620C" w14:textId="77777777"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14:paraId="7DCD4451" w14:textId="4D1E68AA" w:rsidR="00263FFB" w:rsidRPr="00263FFB" w:rsidRDefault="00DC6357" w:rsidP="00263FFB">
            <w:pPr>
              <w:pStyle w:val="ECCLetterHead"/>
            </w:pPr>
            <w:r w:rsidRPr="00DC6357">
              <w:t>CEPT response on additional input regarding the impact of the WRC-19 outcome on the harmonised technical conditions for the 26 GHz band</w:t>
            </w:r>
          </w:p>
        </w:tc>
      </w:tr>
      <w:tr w:rsidR="00DC6357" w:rsidRPr="008E7ABE" w14:paraId="36748847" w14:textId="77777777" w:rsidTr="007F0617">
        <w:tblPrEx>
          <w:tblCellMar>
            <w:left w:w="108" w:type="dxa"/>
            <w:right w:w="108" w:type="dxa"/>
          </w:tblCellMar>
        </w:tblPrEx>
        <w:trPr>
          <w:cantSplit/>
          <w:trHeight w:val="405"/>
        </w:trPr>
        <w:tc>
          <w:tcPr>
            <w:tcW w:w="1819" w:type="dxa"/>
            <w:tcBorders>
              <w:top w:val="nil"/>
              <w:left w:val="nil"/>
              <w:bottom w:val="nil"/>
              <w:right w:val="nil"/>
            </w:tcBorders>
            <w:vAlign w:val="center"/>
          </w:tcPr>
          <w:p w14:paraId="3A8F5BFB" w14:textId="77777777" w:rsidR="00DC6357" w:rsidRPr="00555127" w:rsidRDefault="00DC6357" w:rsidP="00DC6357">
            <w:pPr>
              <w:pStyle w:val="Heading4"/>
              <w:numPr>
                <w:ilvl w:val="0"/>
                <w:numId w:val="0"/>
              </w:numPr>
              <w:spacing w:before="0" w:after="120"/>
              <w:ind w:left="862" w:right="-321" w:hanging="862"/>
              <w:rPr>
                <w:rFonts w:eastAsia="Calibri" w:cs="Times New Roman"/>
                <w:b/>
                <w:bCs w:val="0"/>
                <w:i w:val="0"/>
                <w:color w:val="auto"/>
                <w:sz w:val="22"/>
                <w:szCs w:val="20"/>
                <w:lang w:val="en-GB"/>
              </w:rPr>
            </w:pPr>
            <w:r>
              <w:rPr>
                <w:rFonts w:eastAsia="Calibri" w:cs="Times New Roman"/>
                <w:b/>
                <w:bCs w:val="0"/>
                <w:i w:val="0"/>
                <w:color w:val="auto"/>
                <w:sz w:val="22"/>
                <w:szCs w:val="20"/>
                <w:lang w:val="en-GB"/>
              </w:rPr>
              <w:t>To</w:t>
            </w:r>
            <w:r w:rsidRPr="00555127">
              <w:rPr>
                <w:rFonts w:eastAsia="Calibri" w:cs="Times New Roman"/>
                <w:b/>
                <w:bCs w:val="0"/>
                <w:i w:val="0"/>
                <w:color w:val="auto"/>
                <w:sz w:val="22"/>
                <w:szCs w:val="20"/>
                <w:lang w:val="en-GB"/>
              </w:rPr>
              <w:t>:</w:t>
            </w:r>
          </w:p>
        </w:tc>
        <w:tc>
          <w:tcPr>
            <w:tcW w:w="7962" w:type="dxa"/>
            <w:gridSpan w:val="2"/>
            <w:tcBorders>
              <w:top w:val="nil"/>
              <w:left w:val="nil"/>
              <w:bottom w:val="nil"/>
              <w:right w:val="nil"/>
            </w:tcBorders>
            <w:vAlign w:val="center"/>
          </w:tcPr>
          <w:p w14:paraId="4A166A99" w14:textId="77777777" w:rsidR="00C77AEE" w:rsidRDefault="00C77AEE" w:rsidP="00DC6357">
            <w:pPr>
              <w:pStyle w:val="ECCLetterHead"/>
              <w:jc w:val="left"/>
              <w:rPr>
                <w:b w:val="0"/>
                <w:sz w:val="20"/>
              </w:rPr>
            </w:pPr>
          </w:p>
          <w:p w14:paraId="12EC4011" w14:textId="4D517C32" w:rsidR="00DC6357" w:rsidRDefault="00DC6357" w:rsidP="00DC6357">
            <w:pPr>
              <w:pStyle w:val="ECCLetterHead"/>
              <w:jc w:val="left"/>
              <w:rPr>
                <w:b w:val="0"/>
                <w:sz w:val="20"/>
              </w:rPr>
            </w:pPr>
            <w:r w:rsidRPr="0085656F">
              <w:rPr>
                <w:b w:val="0"/>
                <w:sz w:val="20"/>
              </w:rPr>
              <w:t>Mr.</w:t>
            </w:r>
            <w:r>
              <w:rPr>
                <w:b w:val="0"/>
                <w:sz w:val="20"/>
              </w:rPr>
              <w:t xml:space="preserve"> </w:t>
            </w:r>
            <w:r w:rsidRPr="00B252CA">
              <w:rPr>
                <w:b w:val="0"/>
                <w:sz w:val="20"/>
              </w:rPr>
              <w:t>Andreas</w:t>
            </w:r>
            <w:r>
              <w:rPr>
                <w:b w:val="0"/>
                <w:sz w:val="20"/>
              </w:rPr>
              <w:t xml:space="preserve"> Geiss,</w:t>
            </w:r>
            <w:r w:rsidRPr="00B252CA">
              <w:rPr>
                <w:b w:val="0"/>
                <w:sz w:val="20"/>
              </w:rPr>
              <w:t xml:space="preserve"> </w:t>
            </w:r>
            <w:r>
              <w:rPr>
                <w:b w:val="0"/>
                <w:sz w:val="20"/>
              </w:rPr>
              <w:t>Head of Unit</w:t>
            </w:r>
            <w:r>
              <w:rPr>
                <w:b w:val="0"/>
                <w:sz w:val="20"/>
              </w:rPr>
              <w:br/>
            </w:r>
            <w:r w:rsidRPr="0037208F">
              <w:rPr>
                <w:rFonts w:cs="Arial"/>
                <w:b w:val="0"/>
                <w:sz w:val="20"/>
              </w:rPr>
              <w:t>DG Communications Networks, Content &amp; Technology</w:t>
            </w:r>
            <w:r>
              <w:rPr>
                <w:rFonts w:cs="Arial"/>
                <w:b w:val="0"/>
                <w:sz w:val="20"/>
              </w:rPr>
              <w:t xml:space="preserve"> (DG CONNECT)</w:t>
            </w:r>
            <w:r>
              <w:rPr>
                <w:rFonts w:cs="Arial"/>
                <w:b w:val="0"/>
                <w:sz w:val="20"/>
              </w:rPr>
              <w:br/>
              <w:t>European Commission</w:t>
            </w:r>
            <w:r>
              <w:rPr>
                <w:rFonts w:cs="Arial"/>
                <w:sz w:val="20"/>
              </w:rPr>
              <w:br/>
            </w:r>
            <w:r w:rsidRPr="0085656F">
              <w:rPr>
                <w:b w:val="0"/>
                <w:sz w:val="20"/>
              </w:rPr>
              <w:t xml:space="preserve">E-mail: </w:t>
            </w:r>
            <w:hyperlink r:id="rId12" w:history="1">
              <w:r w:rsidRPr="002D339D">
                <w:rPr>
                  <w:rStyle w:val="Hyperlink"/>
                  <w:b w:val="0"/>
                  <w:sz w:val="20"/>
                </w:rPr>
                <w:t>Andreas.GEISS@ec.europa.eu</w:t>
              </w:r>
            </w:hyperlink>
            <w:r>
              <w:rPr>
                <w:b w:val="0"/>
                <w:sz w:val="20"/>
              </w:rPr>
              <w:t xml:space="preserve"> </w:t>
            </w:r>
          </w:p>
          <w:p w14:paraId="2C6EEC85" w14:textId="3E490908" w:rsidR="00A16DED" w:rsidRPr="0085656F" w:rsidRDefault="00A16DED" w:rsidP="00DC6357">
            <w:pPr>
              <w:pStyle w:val="ECCLetterHead"/>
              <w:jc w:val="left"/>
              <w:rPr>
                <w:b w:val="0"/>
                <w:sz w:val="20"/>
              </w:rPr>
            </w:pPr>
          </w:p>
        </w:tc>
      </w:tr>
    </w:tbl>
    <w:p w14:paraId="4683B25A" w14:textId="77777777" w:rsidR="00775D0E" w:rsidRDefault="00775D0E" w:rsidP="00DC6357">
      <w:pPr>
        <w:spacing w:after="240"/>
        <w:rPr>
          <w:rFonts w:cstheme="minorHAnsi"/>
          <w:sz w:val="22"/>
        </w:rPr>
      </w:pPr>
    </w:p>
    <w:p w14:paraId="01C98550" w14:textId="1A7CF304" w:rsidR="00DC6357" w:rsidRPr="00A16DED" w:rsidRDefault="00DC6357" w:rsidP="00DC6357">
      <w:pPr>
        <w:spacing w:after="240"/>
        <w:rPr>
          <w:rFonts w:cs="Arial"/>
          <w:sz w:val="22"/>
        </w:rPr>
      </w:pPr>
      <w:r w:rsidRPr="00A16DED">
        <w:rPr>
          <w:rFonts w:cs="Arial"/>
          <w:sz w:val="22"/>
        </w:rPr>
        <w:t>Dear Andreas,</w:t>
      </w:r>
    </w:p>
    <w:p w14:paraId="2B0C0656" w14:textId="77777777" w:rsidR="00DC6357" w:rsidRPr="00A16DED" w:rsidRDefault="00DC6357" w:rsidP="00DC6357">
      <w:pPr>
        <w:spacing w:after="240"/>
        <w:rPr>
          <w:rFonts w:cs="Arial"/>
          <w:sz w:val="22"/>
        </w:rPr>
      </w:pPr>
      <w:r w:rsidRPr="00A16DED">
        <w:rPr>
          <w:rFonts w:cs="Arial"/>
          <w:sz w:val="22"/>
        </w:rPr>
        <w:t>Thank you for your letter of 20 December 2019 regarding “additional input regarding the impact of the WRC-19 outcome on the harmonised technical conditions for the 26 GHz band”.</w:t>
      </w:r>
    </w:p>
    <w:p w14:paraId="075BD489" w14:textId="77777777" w:rsidR="00DC6357" w:rsidRPr="00A16DED" w:rsidRDefault="00DC6357" w:rsidP="00DC6357">
      <w:pPr>
        <w:spacing w:after="240"/>
        <w:rPr>
          <w:rFonts w:cs="Arial"/>
          <w:sz w:val="22"/>
        </w:rPr>
      </w:pPr>
      <w:r w:rsidRPr="00A16DED">
        <w:rPr>
          <w:rFonts w:cs="Arial"/>
          <w:sz w:val="22"/>
        </w:rPr>
        <w:t>ECC discussed this issue at its Plenary meeting held 3-6 March in Tallinn, Estonia. At this meeting we also considered input from ECC PT1 which had considered the questions raised in your letter at its meeting in January 2020.</w:t>
      </w:r>
    </w:p>
    <w:p w14:paraId="68F5343B" w14:textId="77777777" w:rsidR="00DC6357" w:rsidRPr="00A16DED" w:rsidRDefault="00DC6357" w:rsidP="00DC6357">
      <w:pPr>
        <w:spacing w:after="240"/>
        <w:rPr>
          <w:rFonts w:cs="Arial"/>
          <w:sz w:val="22"/>
        </w:rPr>
      </w:pPr>
      <w:r w:rsidRPr="00A16DED">
        <w:rPr>
          <w:rFonts w:cs="Arial"/>
          <w:sz w:val="22"/>
        </w:rPr>
        <w:t>ECC is of the view that no additional compatibility studies are necessary for the amendment of Commission Implementing Decision (EU) 2019/784.</w:t>
      </w:r>
    </w:p>
    <w:p w14:paraId="21E19892" w14:textId="77777777" w:rsidR="00DC6357" w:rsidRPr="00A16DED" w:rsidRDefault="00DC6357" w:rsidP="00DC6357">
      <w:pPr>
        <w:spacing w:after="240"/>
        <w:rPr>
          <w:rFonts w:cs="Arial"/>
          <w:sz w:val="22"/>
        </w:rPr>
      </w:pPr>
      <w:r w:rsidRPr="00A16DED">
        <w:rPr>
          <w:rFonts w:cs="Arial"/>
          <w:sz w:val="22"/>
        </w:rPr>
        <w:t>In response to the questions raised by the European Commission, ECC provides the following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1"/>
      </w:tblGrid>
      <w:tr w:rsidR="00DC6357" w:rsidRPr="00A16DED" w14:paraId="62D86A8A" w14:textId="77777777" w:rsidTr="00DC6357">
        <w:tc>
          <w:tcPr>
            <w:tcW w:w="1384" w:type="dxa"/>
          </w:tcPr>
          <w:p w14:paraId="6D540156" w14:textId="2DBEC239" w:rsidR="00DC6357" w:rsidRPr="00A16DED" w:rsidRDefault="00DC6357" w:rsidP="00DC6357">
            <w:pPr>
              <w:spacing w:before="240" w:after="240"/>
              <w:rPr>
                <w:rFonts w:cs="Arial"/>
                <w:sz w:val="22"/>
              </w:rPr>
            </w:pPr>
            <w:r w:rsidRPr="00A16DED">
              <w:rPr>
                <w:rFonts w:cs="Arial"/>
                <w:sz w:val="22"/>
              </w:rPr>
              <w:t>Question 1:</w:t>
            </w:r>
          </w:p>
        </w:tc>
        <w:tc>
          <w:tcPr>
            <w:tcW w:w="8471" w:type="dxa"/>
          </w:tcPr>
          <w:p w14:paraId="14C4789D" w14:textId="7B44649D" w:rsidR="00DC6357" w:rsidRPr="00A16DED" w:rsidRDefault="00DC6357" w:rsidP="00DC6357">
            <w:pPr>
              <w:spacing w:before="240" w:after="240"/>
              <w:rPr>
                <w:rFonts w:cs="Arial"/>
                <w:sz w:val="22"/>
              </w:rPr>
            </w:pPr>
            <w:r w:rsidRPr="00A16DED">
              <w:rPr>
                <w:rFonts w:cs="Arial"/>
                <w:sz w:val="22"/>
              </w:rPr>
              <w:t>CEPT expects that manufacturers will bring to the market wireless broadband 5G equipment that operates all the way down to the lower edge of the 26 GHz band and complies with the initial limits agreed at WRC-19, i.e. −33 </w:t>
            </w:r>
            <w:proofErr w:type="spellStart"/>
            <w:r w:rsidRPr="00A16DED">
              <w:rPr>
                <w:rFonts w:cs="Arial"/>
                <w:sz w:val="22"/>
              </w:rPr>
              <w:t>dBW</w:t>
            </w:r>
            <w:proofErr w:type="spellEnd"/>
            <w:r w:rsidRPr="00A16DED">
              <w:rPr>
                <w:rFonts w:cs="Arial"/>
                <w:sz w:val="22"/>
              </w:rPr>
              <w:t>/200 MHz TRP for base stations and −29 </w:t>
            </w:r>
            <w:proofErr w:type="spellStart"/>
            <w:r w:rsidRPr="00A16DED">
              <w:rPr>
                <w:rFonts w:cs="Arial"/>
                <w:sz w:val="22"/>
              </w:rPr>
              <w:t>dBW</w:t>
            </w:r>
            <w:proofErr w:type="spellEnd"/>
            <w:r w:rsidRPr="00A16DED">
              <w:rPr>
                <w:rFonts w:cs="Arial"/>
                <w:sz w:val="22"/>
              </w:rPr>
              <w:t xml:space="preserve">/200 MHz TRP for terminal stations. This interim regulation is understood by the CEPT, based on information from its industry partners, to allow for equipment to be </w:t>
            </w:r>
            <w:r w:rsidR="00FB3C85" w:rsidRPr="00A16DED">
              <w:rPr>
                <w:rFonts w:cs="Arial"/>
                <w:sz w:val="22"/>
              </w:rPr>
              <w:t xml:space="preserve">rapidly made </w:t>
            </w:r>
            <w:r w:rsidRPr="00A16DED">
              <w:rPr>
                <w:rFonts w:cs="Arial"/>
                <w:sz w:val="22"/>
              </w:rPr>
              <w:t>available worldwide</w:t>
            </w:r>
          </w:p>
          <w:p w14:paraId="4AC42BFD" w14:textId="491A3715" w:rsidR="00DC6357" w:rsidRPr="00A16DED" w:rsidRDefault="00DC6357" w:rsidP="00DC6357">
            <w:pPr>
              <w:spacing w:after="240"/>
              <w:rPr>
                <w:rFonts w:cs="Arial"/>
                <w:sz w:val="22"/>
              </w:rPr>
            </w:pPr>
            <w:r w:rsidRPr="00A16DED">
              <w:rPr>
                <w:rFonts w:cs="Arial"/>
                <w:sz w:val="22"/>
              </w:rPr>
              <w:t>These limits would be suitable for the protection of EESS (passive) during the period where 5G roll out in the 26 GHz band is low. However, they would no longer be suitable when 5G deployment densities increase to something close to mass market levels.</w:t>
            </w:r>
          </w:p>
        </w:tc>
      </w:tr>
      <w:tr w:rsidR="00DC6357" w:rsidRPr="00A16DED" w14:paraId="0CCDBE71" w14:textId="77777777" w:rsidTr="00DC6357">
        <w:tc>
          <w:tcPr>
            <w:tcW w:w="1384" w:type="dxa"/>
          </w:tcPr>
          <w:p w14:paraId="237C23F9" w14:textId="62A5BF41" w:rsidR="00DC6357" w:rsidRPr="00A16DED" w:rsidRDefault="00DC6357" w:rsidP="00DC6357">
            <w:pPr>
              <w:spacing w:before="240" w:after="240"/>
              <w:rPr>
                <w:rFonts w:cs="Arial"/>
                <w:sz w:val="22"/>
              </w:rPr>
            </w:pPr>
            <w:r w:rsidRPr="00A16DED">
              <w:rPr>
                <w:rFonts w:cs="Arial"/>
                <w:sz w:val="22"/>
              </w:rPr>
              <w:t>Question 2:</w:t>
            </w:r>
          </w:p>
        </w:tc>
        <w:tc>
          <w:tcPr>
            <w:tcW w:w="8471" w:type="dxa"/>
          </w:tcPr>
          <w:p w14:paraId="2DF66F27" w14:textId="77777777" w:rsidR="00DC6357" w:rsidRPr="00A16DED" w:rsidRDefault="00DC6357" w:rsidP="00DC6357">
            <w:pPr>
              <w:spacing w:before="240" w:after="240"/>
              <w:rPr>
                <w:rFonts w:cs="Arial"/>
                <w:sz w:val="22"/>
              </w:rPr>
            </w:pPr>
            <w:r w:rsidRPr="00A16DED">
              <w:rPr>
                <w:rFonts w:cs="Arial"/>
                <w:sz w:val="22"/>
              </w:rPr>
              <w:t xml:space="preserve">CEPT is not able to provide information on the ability of current wireless broadband equipment to meet the final limits of −39 </w:t>
            </w:r>
            <w:proofErr w:type="spellStart"/>
            <w:r w:rsidRPr="00A16DED">
              <w:rPr>
                <w:rFonts w:cs="Arial"/>
                <w:sz w:val="22"/>
              </w:rPr>
              <w:t>dBW</w:t>
            </w:r>
            <w:proofErr w:type="spellEnd"/>
            <w:r w:rsidRPr="00A16DED">
              <w:rPr>
                <w:rFonts w:cs="Arial"/>
                <w:sz w:val="22"/>
              </w:rPr>
              <w:t xml:space="preserve">/200 MHz TRP for base stations and </w:t>
            </w:r>
            <w:r w:rsidRPr="00A16DED">
              <w:rPr>
                <w:rFonts w:cs="Arial"/>
                <w:sz w:val="22"/>
              </w:rPr>
              <w:lastRenderedPageBreak/>
              <w:t>−35 </w:t>
            </w:r>
            <w:proofErr w:type="spellStart"/>
            <w:r w:rsidRPr="00A16DED">
              <w:rPr>
                <w:rFonts w:cs="Arial"/>
                <w:sz w:val="22"/>
              </w:rPr>
              <w:t>dBW</w:t>
            </w:r>
            <w:proofErr w:type="spellEnd"/>
            <w:r w:rsidRPr="00A16DED">
              <w:rPr>
                <w:rFonts w:cs="Arial"/>
                <w:sz w:val="22"/>
              </w:rPr>
              <w:t xml:space="preserve">/200 MHz TRP for terminal stations. </w:t>
            </w:r>
          </w:p>
          <w:p w14:paraId="6C7CDA40" w14:textId="0C6989C9" w:rsidR="00DC6357" w:rsidRPr="00A16DED" w:rsidRDefault="00DC6357" w:rsidP="00DC6357">
            <w:pPr>
              <w:spacing w:before="240" w:after="240"/>
              <w:rPr>
                <w:rFonts w:cs="Arial"/>
                <w:sz w:val="22"/>
              </w:rPr>
            </w:pPr>
            <w:r w:rsidRPr="00A16DED">
              <w:rPr>
                <w:rFonts w:cs="Arial"/>
                <w:sz w:val="22"/>
              </w:rPr>
              <w:t xml:space="preserve">On the question of guard bands, CEPT does not support the implementation of a regulatory guard band within the band 24.25 - 27.50 GHz. The technical analysis in the lead up WRC-19 did not consider that a guard band would be needed since compliance with the unwanted emission limits in the 23.6-24 GHz and other provisions is </w:t>
            </w:r>
            <w:proofErr w:type="gramStart"/>
            <w:r w:rsidRPr="00A16DED">
              <w:rPr>
                <w:rFonts w:cs="Arial"/>
                <w:sz w:val="22"/>
              </w:rPr>
              <w:t>sufficient</w:t>
            </w:r>
            <w:proofErr w:type="gramEnd"/>
            <w:r w:rsidRPr="00A16DED">
              <w:rPr>
                <w:rFonts w:cs="Arial"/>
                <w:sz w:val="22"/>
              </w:rPr>
              <w:t xml:space="preserve"> for EESS (passive) protection and would enable the availability of the whole 26 GHz band.</w:t>
            </w:r>
          </w:p>
        </w:tc>
      </w:tr>
      <w:tr w:rsidR="00DC6357" w:rsidRPr="00A16DED" w14:paraId="715EBD0E" w14:textId="77777777" w:rsidTr="00DC6357">
        <w:tc>
          <w:tcPr>
            <w:tcW w:w="1384" w:type="dxa"/>
          </w:tcPr>
          <w:p w14:paraId="4C0FABD3" w14:textId="7B19A0AF" w:rsidR="00DC6357" w:rsidRPr="00A16DED" w:rsidRDefault="00DC6357" w:rsidP="00DC6357">
            <w:pPr>
              <w:spacing w:before="240" w:after="240"/>
              <w:rPr>
                <w:rFonts w:cs="Arial"/>
                <w:sz w:val="22"/>
              </w:rPr>
            </w:pPr>
            <w:r w:rsidRPr="00A16DED">
              <w:rPr>
                <w:rFonts w:cs="Arial"/>
                <w:sz w:val="22"/>
              </w:rPr>
              <w:lastRenderedPageBreak/>
              <w:t>Question 3:</w:t>
            </w:r>
          </w:p>
        </w:tc>
        <w:tc>
          <w:tcPr>
            <w:tcW w:w="8471" w:type="dxa"/>
          </w:tcPr>
          <w:p w14:paraId="103F8F07" w14:textId="2039363E" w:rsidR="00DC6357" w:rsidRPr="00A16DED" w:rsidRDefault="00DC6357" w:rsidP="00DC6357">
            <w:pPr>
              <w:spacing w:before="240" w:after="240"/>
              <w:rPr>
                <w:rFonts w:cs="Arial"/>
                <w:sz w:val="22"/>
              </w:rPr>
            </w:pPr>
            <w:r w:rsidRPr="00A16DED">
              <w:rPr>
                <w:rFonts w:cs="Arial"/>
                <w:sz w:val="22"/>
              </w:rPr>
              <w:t>CEPT is not able to provide information on the ability of current wireless broadband equipment to meet the limits in Commission Decision (EU)2019/784.</w:t>
            </w:r>
          </w:p>
        </w:tc>
      </w:tr>
    </w:tbl>
    <w:p w14:paraId="482EECD9" w14:textId="52824192" w:rsidR="00DC6357" w:rsidRPr="00A16DED" w:rsidRDefault="00DC6357" w:rsidP="00DC6357">
      <w:pPr>
        <w:spacing w:after="240"/>
        <w:rPr>
          <w:rFonts w:cs="Arial"/>
          <w:sz w:val="22"/>
        </w:rPr>
      </w:pPr>
      <w:r w:rsidRPr="00A16DED">
        <w:rPr>
          <w:rFonts w:cs="Arial"/>
          <w:sz w:val="22"/>
        </w:rPr>
        <w:t>In addition, ECC would like to provide the following conclusions from its discussion on the issues raised by the letter from the European Commission:</w:t>
      </w:r>
    </w:p>
    <w:p w14:paraId="6A1A65D0" w14:textId="77777777" w:rsidR="00775D0E" w:rsidRPr="00A16DED" w:rsidRDefault="00775D0E" w:rsidP="00DC6357">
      <w:pPr>
        <w:spacing w:after="240"/>
        <w:rPr>
          <w:rFonts w:cs="Arial"/>
          <w:sz w:val="22"/>
        </w:rPr>
      </w:pPr>
    </w:p>
    <w:p w14:paraId="4B4122B0" w14:textId="77777777" w:rsidR="00DC6357" w:rsidRPr="00A16DED" w:rsidRDefault="00DC6357" w:rsidP="00DC6357">
      <w:pPr>
        <w:spacing w:after="240"/>
        <w:rPr>
          <w:rFonts w:cs="Arial"/>
          <w:sz w:val="22"/>
          <w:u w:val="single"/>
        </w:rPr>
      </w:pPr>
      <w:r w:rsidRPr="00A16DED">
        <w:rPr>
          <w:rFonts w:cs="Arial"/>
          <w:sz w:val="22"/>
          <w:u w:val="single"/>
        </w:rPr>
        <w:t>Two-step approach</w:t>
      </w:r>
    </w:p>
    <w:p w14:paraId="1CDC9C52" w14:textId="50826E18" w:rsidR="00DC6357" w:rsidRPr="00A16DED" w:rsidRDefault="00DC6357" w:rsidP="00DC6357">
      <w:pPr>
        <w:spacing w:after="240"/>
        <w:rPr>
          <w:rFonts w:cs="Arial"/>
          <w:sz w:val="22"/>
        </w:rPr>
      </w:pPr>
      <w:r w:rsidRPr="00A16DED">
        <w:rPr>
          <w:rFonts w:cs="Arial"/>
          <w:sz w:val="22"/>
        </w:rPr>
        <w:t>WRC-19 agreed a two-step approach for unwanted emissions limits from IMT in the 26 GHz band into 23.6-24 GHz based on initial limits</w:t>
      </w:r>
      <w:r w:rsidR="007C0452" w:rsidRPr="00A16DED">
        <w:rPr>
          <w:rFonts w:cs="Arial"/>
          <w:sz w:val="22"/>
        </w:rPr>
        <w:t xml:space="preserve"> </w:t>
      </w:r>
      <w:r w:rsidR="00231985" w:rsidRPr="00A16DED">
        <w:rPr>
          <w:rFonts w:cs="Arial"/>
          <w:sz w:val="22"/>
        </w:rPr>
        <w:t>(−33 </w:t>
      </w:r>
      <w:proofErr w:type="spellStart"/>
      <w:r w:rsidR="00231985" w:rsidRPr="00A16DED">
        <w:rPr>
          <w:rFonts w:cs="Arial"/>
          <w:sz w:val="22"/>
        </w:rPr>
        <w:t>dBW</w:t>
      </w:r>
      <w:proofErr w:type="spellEnd"/>
      <w:r w:rsidR="00231985" w:rsidRPr="00A16DED">
        <w:rPr>
          <w:rFonts w:cs="Arial"/>
          <w:sz w:val="22"/>
        </w:rPr>
        <w:t>/200 MHz TRP for base stations and −29 </w:t>
      </w:r>
      <w:proofErr w:type="spellStart"/>
      <w:r w:rsidR="00231985" w:rsidRPr="00A16DED">
        <w:rPr>
          <w:rFonts w:cs="Arial"/>
          <w:sz w:val="22"/>
        </w:rPr>
        <w:t>dBW</w:t>
      </w:r>
      <w:proofErr w:type="spellEnd"/>
      <w:r w:rsidR="00231985" w:rsidRPr="00A16DED">
        <w:rPr>
          <w:rFonts w:cs="Arial"/>
          <w:sz w:val="22"/>
        </w:rPr>
        <w:t>/200 MHz TRP for terminal stations)</w:t>
      </w:r>
      <w:r w:rsidRPr="00A16DED">
        <w:rPr>
          <w:rFonts w:cs="Arial"/>
          <w:sz w:val="22"/>
        </w:rPr>
        <w:t xml:space="preserve"> for early deployments, followed by more stringent final limits which apply to new installations after a specified date. The two-step approach </w:t>
      </w:r>
      <w:proofErr w:type="gramStart"/>
      <w:r w:rsidRPr="00A16DED">
        <w:rPr>
          <w:rFonts w:cs="Arial"/>
          <w:sz w:val="22"/>
        </w:rPr>
        <w:t>was based on an assumption</w:t>
      </w:r>
      <w:proofErr w:type="gramEnd"/>
      <w:r w:rsidRPr="00A16DED">
        <w:rPr>
          <w:rFonts w:cs="Arial"/>
          <w:sz w:val="22"/>
        </w:rPr>
        <w:t xml:space="preserve"> that mass-market deployments will not occur during the initial step and therefore the aggregate emissions from 5G deployment will remain below the EESS protection requirement. </w:t>
      </w:r>
    </w:p>
    <w:p w14:paraId="5665BC38" w14:textId="455DEEA0" w:rsidR="00DC6357" w:rsidRPr="00A16DED" w:rsidRDefault="00DC6357" w:rsidP="00DC6357">
      <w:pPr>
        <w:spacing w:after="240"/>
        <w:rPr>
          <w:rFonts w:cs="Arial"/>
          <w:sz w:val="22"/>
        </w:rPr>
      </w:pPr>
      <w:r w:rsidRPr="00A16DED">
        <w:rPr>
          <w:rFonts w:cs="Arial"/>
          <w:sz w:val="22"/>
        </w:rPr>
        <w:t>CEPT agrees that a two-step approach is a suitable way forward for Europe. This will enable the introduction of 5G to start in the period where equipment meeting the final limits is not yet available. However, the timing of the transition to the final limits must be sufficiently short that it avoids the risk of mass-market 5G development of equipment using the initial limits.</w:t>
      </w:r>
    </w:p>
    <w:p w14:paraId="3F98585A" w14:textId="77777777" w:rsidR="00775D0E" w:rsidRPr="00A16DED" w:rsidRDefault="00775D0E" w:rsidP="00DC6357">
      <w:pPr>
        <w:spacing w:after="240"/>
        <w:rPr>
          <w:rFonts w:cs="Arial"/>
          <w:sz w:val="22"/>
        </w:rPr>
      </w:pPr>
    </w:p>
    <w:p w14:paraId="17F2A6A9" w14:textId="77777777" w:rsidR="00DC6357" w:rsidRPr="00A16DED" w:rsidRDefault="00DC6357" w:rsidP="00DC6357">
      <w:pPr>
        <w:spacing w:after="240"/>
        <w:rPr>
          <w:rFonts w:cs="Arial"/>
          <w:sz w:val="22"/>
          <w:u w:val="single"/>
        </w:rPr>
      </w:pPr>
      <w:r w:rsidRPr="00A16DED">
        <w:rPr>
          <w:rFonts w:cs="Arial"/>
          <w:sz w:val="22"/>
          <w:u w:val="single"/>
        </w:rPr>
        <w:t>Final limits, including restrictions below 23.6 GHz</w:t>
      </w:r>
    </w:p>
    <w:p w14:paraId="52F04D9A" w14:textId="148F8FE5" w:rsidR="00DC6357" w:rsidRPr="00A16DED" w:rsidRDefault="00DC6357" w:rsidP="00DC6357">
      <w:pPr>
        <w:spacing w:after="240"/>
        <w:rPr>
          <w:rFonts w:cs="Arial"/>
          <w:sz w:val="22"/>
        </w:rPr>
      </w:pPr>
      <w:r w:rsidRPr="00A16DED">
        <w:rPr>
          <w:rFonts w:cs="Arial"/>
          <w:sz w:val="22"/>
        </w:rPr>
        <w:t xml:space="preserve">After the transition period, the CEPT assumes that the final limits in WRC-19 Resolution 750 for unwanted emissions from 5G into 23.6-24 GHz (−39 </w:t>
      </w:r>
      <w:proofErr w:type="spellStart"/>
      <w:r w:rsidRPr="00A16DED">
        <w:rPr>
          <w:rFonts w:cs="Arial"/>
          <w:sz w:val="22"/>
        </w:rPr>
        <w:t>dBW</w:t>
      </w:r>
      <w:proofErr w:type="spellEnd"/>
      <w:r w:rsidRPr="00A16DED">
        <w:rPr>
          <w:rFonts w:cs="Arial"/>
          <w:sz w:val="22"/>
        </w:rPr>
        <w:t>/200 MHz TRP for base stations and −35 </w:t>
      </w:r>
      <w:proofErr w:type="spellStart"/>
      <w:r w:rsidRPr="00A16DED">
        <w:rPr>
          <w:rFonts w:cs="Arial"/>
          <w:sz w:val="22"/>
        </w:rPr>
        <w:t>dBW</w:t>
      </w:r>
      <w:proofErr w:type="spellEnd"/>
      <w:r w:rsidRPr="00A16DED">
        <w:rPr>
          <w:rFonts w:cs="Arial"/>
          <w:sz w:val="22"/>
        </w:rPr>
        <w:t>/200 MHz TRP for terminal stations) will provide protection of the EESS (passive) in the band 23.6-24.0 GHz only on the condition that it can be ensured through regulatory provisions that there will be no high-density deployment in the frequency band 22-23.6 GHz</w:t>
      </w:r>
      <w:r w:rsidR="00FF0A22" w:rsidRPr="00A16DED">
        <w:rPr>
          <w:rFonts w:cs="Arial"/>
          <w:sz w:val="22"/>
        </w:rPr>
        <w:t xml:space="preserve"> i.e.</w:t>
      </w:r>
      <w:r w:rsidR="003D447E" w:rsidRPr="00A16DED">
        <w:rPr>
          <w:rFonts w:cs="Arial"/>
          <w:sz w:val="22"/>
        </w:rPr>
        <w:t xml:space="preserve"> </w:t>
      </w:r>
      <w:r w:rsidR="00891861" w:rsidRPr="00A16DED">
        <w:rPr>
          <w:rFonts w:cs="Arial"/>
          <w:sz w:val="22"/>
        </w:rPr>
        <w:t>access systems that provide wireless broadband electronic communication services.</w:t>
      </w:r>
    </w:p>
    <w:p w14:paraId="67DDED3A" w14:textId="77777777" w:rsidR="00DC6357" w:rsidRPr="00A16DED" w:rsidRDefault="00DC6357" w:rsidP="00DC6357">
      <w:pPr>
        <w:spacing w:after="240"/>
        <w:rPr>
          <w:rFonts w:cs="Arial"/>
          <w:sz w:val="22"/>
        </w:rPr>
      </w:pPr>
      <w:r w:rsidRPr="00A16DED">
        <w:rPr>
          <w:rFonts w:cs="Arial"/>
          <w:sz w:val="22"/>
        </w:rPr>
        <w:t xml:space="preserve">It is understood that the limits of −39 </w:t>
      </w:r>
      <w:proofErr w:type="spellStart"/>
      <w:r w:rsidRPr="00A16DED">
        <w:rPr>
          <w:rFonts w:cs="Arial"/>
          <w:sz w:val="22"/>
        </w:rPr>
        <w:t>dBW</w:t>
      </w:r>
      <w:proofErr w:type="spellEnd"/>
      <w:r w:rsidRPr="00A16DED">
        <w:rPr>
          <w:rFonts w:cs="Arial"/>
          <w:sz w:val="22"/>
        </w:rPr>
        <w:t xml:space="preserve">/200 MHz for base stations and −35 </w:t>
      </w:r>
      <w:proofErr w:type="spellStart"/>
      <w:r w:rsidRPr="00A16DED">
        <w:rPr>
          <w:rFonts w:cs="Arial"/>
          <w:sz w:val="22"/>
        </w:rPr>
        <w:t>dBW</w:t>
      </w:r>
      <w:proofErr w:type="spellEnd"/>
      <w:r w:rsidRPr="00A16DED">
        <w:rPr>
          <w:rFonts w:cs="Arial"/>
          <w:sz w:val="22"/>
        </w:rPr>
        <w:t xml:space="preserve">/200 MHz for terminal stations </w:t>
      </w:r>
      <w:r w:rsidRPr="00A16DED">
        <w:rPr>
          <w:rFonts w:cs="Arial"/>
          <w:i/>
          <w:sz w:val="22"/>
        </w:rPr>
        <w:t>when taken together with</w:t>
      </w:r>
      <w:r w:rsidRPr="00A16DED">
        <w:rPr>
          <w:rFonts w:cs="Arial"/>
          <w:sz w:val="22"/>
        </w:rPr>
        <w:t xml:space="preserve"> the guarantee of no high-density deployment in the frequency band 22-23.6 GHz will provide the same protection to EESS as the EU Decision 2019/784 limits of −42 </w:t>
      </w:r>
      <w:proofErr w:type="spellStart"/>
      <w:r w:rsidRPr="00A16DED">
        <w:rPr>
          <w:rFonts w:cs="Arial"/>
          <w:sz w:val="22"/>
        </w:rPr>
        <w:t>dBW</w:t>
      </w:r>
      <w:proofErr w:type="spellEnd"/>
      <w:r w:rsidRPr="00A16DED">
        <w:rPr>
          <w:rFonts w:cs="Arial"/>
          <w:sz w:val="22"/>
        </w:rPr>
        <w:t>/200 MHz for base stations and −38 </w:t>
      </w:r>
      <w:proofErr w:type="spellStart"/>
      <w:r w:rsidRPr="00A16DED">
        <w:rPr>
          <w:rFonts w:cs="Arial"/>
          <w:sz w:val="22"/>
        </w:rPr>
        <w:t>dBW</w:t>
      </w:r>
      <w:proofErr w:type="spellEnd"/>
      <w:r w:rsidRPr="00A16DED">
        <w:rPr>
          <w:rFonts w:cs="Arial"/>
          <w:sz w:val="22"/>
        </w:rPr>
        <w:t xml:space="preserve">/200 MHz for terminal stations. </w:t>
      </w:r>
    </w:p>
    <w:p w14:paraId="47E2B392" w14:textId="11C0CC5C" w:rsidR="00DC6357" w:rsidRPr="00A16DED" w:rsidRDefault="00DC6357" w:rsidP="00DC6357">
      <w:pPr>
        <w:spacing w:after="240"/>
        <w:rPr>
          <w:rFonts w:cs="Arial"/>
          <w:sz w:val="22"/>
        </w:rPr>
      </w:pPr>
      <w:r w:rsidRPr="00A16DED">
        <w:rPr>
          <w:rFonts w:cs="Arial"/>
          <w:sz w:val="22"/>
        </w:rPr>
        <w:t>Preventing such high-density deployment below 23.6 GHz will require a mandatory provision in the EU Decision that the frequency band 22-23.6 GHz shall not be used for access systems that provide wireless broadband electronic communication services.</w:t>
      </w:r>
    </w:p>
    <w:p w14:paraId="2C6C9933" w14:textId="77777777" w:rsidR="00775D0E" w:rsidRPr="00A16DED" w:rsidRDefault="00775D0E" w:rsidP="00DC6357">
      <w:pPr>
        <w:spacing w:after="240"/>
        <w:rPr>
          <w:rFonts w:cs="Arial"/>
          <w:sz w:val="22"/>
        </w:rPr>
      </w:pPr>
    </w:p>
    <w:p w14:paraId="5F0FB849" w14:textId="77777777" w:rsidR="00DC6357" w:rsidRPr="00A16DED" w:rsidRDefault="00DC6357" w:rsidP="00DC6357">
      <w:pPr>
        <w:spacing w:after="240"/>
        <w:rPr>
          <w:rFonts w:cs="Arial"/>
          <w:sz w:val="22"/>
          <w:u w:val="single"/>
        </w:rPr>
      </w:pPr>
      <w:r w:rsidRPr="00A16DED">
        <w:rPr>
          <w:rFonts w:cs="Arial"/>
          <w:sz w:val="22"/>
          <w:u w:val="single"/>
        </w:rPr>
        <w:t>Date of the end of the transition period</w:t>
      </w:r>
    </w:p>
    <w:p w14:paraId="791DB6F6" w14:textId="77777777" w:rsidR="00DC6357" w:rsidRPr="00A16DED" w:rsidRDefault="00DC6357" w:rsidP="00DC6357">
      <w:pPr>
        <w:spacing w:after="240"/>
        <w:rPr>
          <w:rFonts w:cs="Arial"/>
          <w:sz w:val="22"/>
        </w:rPr>
      </w:pPr>
      <w:r w:rsidRPr="00A16DED">
        <w:rPr>
          <w:rFonts w:cs="Arial"/>
          <w:sz w:val="22"/>
        </w:rPr>
        <w:t>WRC-19 Resolution 750 specifies that the final unwanted emission limits apply to base stations and mobile stations brought into use after 1 September 2027. The timeframe for the transition to the second step should allow early roll-outs but avoid mass-market deployment. While it is difficult to predict when 5G roll-out in the 26 GHz band will reach levels that would cause a problem, CEPT concluded that a transition date in September 2027 poses a risk to EESS (passive) since mass market deployments in Europe might happen significantly earlier than this.</w:t>
      </w:r>
    </w:p>
    <w:p w14:paraId="0400F188" w14:textId="221CE9CE" w:rsidR="00DC6357" w:rsidRPr="00A16DED" w:rsidRDefault="00DC6357" w:rsidP="00DC6357">
      <w:pPr>
        <w:spacing w:after="240"/>
        <w:rPr>
          <w:rFonts w:cs="Arial"/>
          <w:sz w:val="22"/>
        </w:rPr>
      </w:pPr>
      <w:r w:rsidRPr="00A16DED">
        <w:rPr>
          <w:rFonts w:cs="Arial"/>
          <w:sz w:val="22"/>
        </w:rPr>
        <w:t>Having considered these points, CEPT recommends a date of 1 January 2024 for transition from the initial limits to the final limits, which would avoid the risk of interference to EESS from large-scale 5G deployments and would provide regulatory certainty and a clear signal to industry of the target to develop</w:t>
      </w:r>
      <w:r w:rsidR="00EF585D">
        <w:rPr>
          <w:rFonts w:cs="Arial"/>
          <w:sz w:val="22"/>
        </w:rPr>
        <w:t xml:space="preserve"> </w:t>
      </w:r>
      <w:r w:rsidRPr="00A16DED">
        <w:rPr>
          <w:rFonts w:cs="Arial"/>
          <w:sz w:val="22"/>
        </w:rPr>
        <w:t xml:space="preserve">solutions. </w:t>
      </w:r>
    </w:p>
    <w:p w14:paraId="2EAE0F06" w14:textId="77777777" w:rsidR="00775D0E" w:rsidRPr="00A16DED" w:rsidRDefault="00775D0E" w:rsidP="00DC6357">
      <w:pPr>
        <w:spacing w:after="240"/>
        <w:rPr>
          <w:rFonts w:cs="Arial"/>
          <w:sz w:val="22"/>
        </w:rPr>
      </w:pPr>
      <w:bookmarkStart w:id="0" w:name="_GoBack"/>
      <w:bookmarkEnd w:id="0"/>
    </w:p>
    <w:p w14:paraId="076A4F08" w14:textId="3853CE81" w:rsidR="00DC6357" w:rsidRPr="00A16DED" w:rsidRDefault="00DC6357" w:rsidP="003F3D11">
      <w:pPr>
        <w:spacing w:after="360"/>
        <w:rPr>
          <w:rFonts w:cs="Arial"/>
          <w:sz w:val="22"/>
        </w:rPr>
      </w:pPr>
      <w:r w:rsidRPr="00A16DED">
        <w:rPr>
          <w:rFonts w:cs="Arial"/>
          <w:sz w:val="22"/>
        </w:rPr>
        <w:t>Best regards,</w:t>
      </w:r>
    </w:p>
    <w:p w14:paraId="1466A42D" w14:textId="77777777" w:rsidR="00DC6357" w:rsidRPr="00A16DED" w:rsidRDefault="00DC6357" w:rsidP="00DC6357">
      <w:pPr>
        <w:keepNext/>
        <w:spacing w:before="0" w:after="0"/>
        <w:rPr>
          <w:rFonts w:cs="Arial"/>
          <w:sz w:val="22"/>
        </w:rPr>
      </w:pPr>
      <w:r w:rsidRPr="00A16DED">
        <w:rPr>
          <w:rFonts w:cs="Arial"/>
          <w:sz w:val="22"/>
        </w:rPr>
        <w:t>Chris Woolford</w:t>
      </w:r>
    </w:p>
    <w:p w14:paraId="40B503A7" w14:textId="37572AF2" w:rsidR="00DC6357" w:rsidRPr="00A16DED" w:rsidRDefault="00DC6357" w:rsidP="00DC6357">
      <w:pPr>
        <w:spacing w:before="0" w:after="240"/>
        <w:rPr>
          <w:rFonts w:cs="Arial"/>
          <w:sz w:val="22"/>
        </w:rPr>
      </w:pPr>
      <w:r w:rsidRPr="00A16DED">
        <w:rPr>
          <w:rFonts w:cs="Arial"/>
          <w:sz w:val="22"/>
        </w:rPr>
        <w:t>ECC Chairman</w:t>
      </w:r>
    </w:p>
    <w:p w14:paraId="5F9FFECA" w14:textId="1898F057" w:rsidR="00617D4D" w:rsidRPr="00A16DED" w:rsidRDefault="00A16DED" w:rsidP="00DC6357">
      <w:pPr>
        <w:spacing w:before="0" w:after="240"/>
        <w:rPr>
          <w:rFonts w:cs="Arial"/>
          <w:sz w:val="22"/>
        </w:rPr>
      </w:pPr>
      <w:hyperlink r:id="rId13" w:history="1">
        <w:r w:rsidRPr="00932412">
          <w:rPr>
            <w:rStyle w:val="Hyperlink"/>
            <w:rFonts w:cs="Arial"/>
            <w:sz w:val="22"/>
          </w:rPr>
          <w:t>Chris.Woolford@Ofcom.org.uk</w:t>
        </w:r>
      </w:hyperlink>
      <w:r>
        <w:rPr>
          <w:rFonts w:cs="Arial"/>
          <w:sz w:val="22"/>
        </w:rPr>
        <w:t xml:space="preserve"> </w:t>
      </w:r>
    </w:p>
    <w:sectPr w:rsidR="00617D4D" w:rsidRPr="00A16DED" w:rsidSect="00797DEE">
      <w:headerReference w:type="even" r:id="rId14"/>
      <w:headerReference w:type="default" r:id="rId15"/>
      <w:footerReference w:type="even" r:id="rId16"/>
      <w:footerReference w:type="default" r:id="rId17"/>
      <w:headerReference w:type="first" r:id="rId18"/>
      <w:footerReference w:type="first" r:id="rId1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7AB7" w14:textId="77777777" w:rsidR="00712A9A" w:rsidRDefault="00712A9A" w:rsidP="00DB17F9">
      <w:r>
        <w:separator/>
      </w:r>
    </w:p>
    <w:p w14:paraId="567092B3" w14:textId="77777777" w:rsidR="00712A9A" w:rsidRDefault="00712A9A"/>
  </w:endnote>
  <w:endnote w:type="continuationSeparator" w:id="0">
    <w:p w14:paraId="46F575AC" w14:textId="77777777" w:rsidR="00712A9A" w:rsidRDefault="00712A9A" w:rsidP="00DB17F9">
      <w:r>
        <w:continuationSeparator/>
      </w:r>
    </w:p>
    <w:p w14:paraId="51B00F44" w14:textId="77777777" w:rsidR="00712A9A" w:rsidRDefault="00712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A6F7" w14:textId="77777777" w:rsidR="00DC6357" w:rsidRDefault="00DC6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4C99" w14:textId="77777777" w:rsidR="00DC6357" w:rsidRDefault="00DC6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8551" w14:textId="77777777" w:rsidR="00DC6357" w:rsidRDefault="00DC6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0B3E" w14:textId="77777777" w:rsidR="00712A9A" w:rsidRPr="00F51BD6" w:rsidRDefault="00712A9A" w:rsidP="00CD07E7">
      <w:pPr>
        <w:spacing w:before="120" w:after="0"/>
      </w:pPr>
      <w:r>
        <w:separator/>
      </w:r>
    </w:p>
  </w:footnote>
  <w:footnote w:type="continuationSeparator" w:id="0">
    <w:p w14:paraId="7AFB7646" w14:textId="77777777" w:rsidR="00712A9A" w:rsidRDefault="00712A9A" w:rsidP="00CD07E7">
      <w:pPr>
        <w:spacing w:before="120" w:after="0"/>
      </w:pPr>
      <w:r>
        <w:continuationSeparator/>
      </w:r>
    </w:p>
  </w:footnote>
  <w:footnote w:type="continuationNotice" w:id="1">
    <w:p w14:paraId="2AF7D392" w14:textId="77777777" w:rsidR="00712A9A" w:rsidRPr="00CD07E7" w:rsidRDefault="00712A9A"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A8E1" w14:textId="77777777"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4C1A87">
      <w:rPr>
        <w:noProof/>
      </w:rPr>
      <w:t>1</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D59E" w14:textId="77777777"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555127">
      <w:rPr>
        <w:noProof/>
      </w:rPr>
      <w:t>2</w:t>
    </w:r>
    <w:r w:rsidRPr="00714F0F">
      <w:fldChar w:fldCharType="end"/>
    </w:r>
  </w:p>
  <w:p w14:paraId="3942FAD2" w14:textId="77777777" w:rsidR="00E11D7E" w:rsidRDefault="00E11D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0FA6" w14:textId="77777777" w:rsidR="00DC6357" w:rsidRDefault="00DC6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9pt;height:60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15:restartNumberingAfterBreak="0">
    <w:nsid w:val="35C80964"/>
    <w:multiLevelType w:val="hybridMultilevel"/>
    <w:tmpl w:val="E9C00184"/>
    <w:lvl w:ilvl="0" w:tplc="3978F7FA">
      <w:start w:val="1"/>
      <w:numFmt w:val="decimal"/>
      <w:pStyle w:val="BN"/>
      <w:lvlText w:val="%1)"/>
      <w:lvlJc w:val="left"/>
      <w:pPr>
        <w:tabs>
          <w:tab w:val="num" w:pos="737"/>
        </w:tabs>
        <w:ind w:left="737" w:hanging="453"/>
      </w:pPr>
      <w:rPr>
        <w:rFonts w:hint="default"/>
      </w:rPr>
    </w:lvl>
    <w:lvl w:ilvl="1" w:tplc="040C000B" w:tentative="1">
      <w:start w:val="1"/>
      <w:numFmt w:val="lowerLetter"/>
      <w:lvlText w:val="%2."/>
      <w:lvlJc w:val="left"/>
      <w:pPr>
        <w:tabs>
          <w:tab w:val="num" w:pos="1440"/>
        </w:tabs>
        <w:ind w:left="1440" w:hanging="360"/>
      </w:pPr>
    </w:lvl>
    <w:lvl w:ilvl="2" w:tplc="35D8F3E4" w:tentative="1">
      <w:start w:val="1"/>
      <w:numFmt w:val="lowerRoman"/>
      <w:lvlText w:val="%3."/>
      <w:lvlJc w:val="right"/>
      <w:pPr>
        <w:tabs>
          <w:tab w:val="num" w:pos="2160"/>
        </w:tabs>
        <w:ind w:left="2160" w:hanging="180"/>
      </w:pPr>
    </w:lvl>
    <w:lvl w:ilvl="3" w:tplc="F9FE2900" w:tentative="1">
      <w:start w:val="1"/>
      <w:numFmt w:val="decimal"/>
      <w:lvlText w:val="%4."/>
      <w:lvlJc w:val="left"/>
      <w:pPr>
        <w:tabs>
          <w:tab w:val="num" w:pos="2880"/>
        </w:tabs>
        <w:ind w:left="2880" w:hanging="360"/>
      </w:pPr>
    </w:lvl>
    <w:lvl w:ilvl="4" w:tplc="27EA7E46" w:tentative="1">
      <w:start w:val="1"/>
      <w:numFmt w:val="lowerLetter"/>
      <w:lvlText w:val="%5."/>
      <w:lvlJc w:val="left"/>
      <w:pPr>
        <w:tabs>
          <w:tab w:val="num" w:pos="3600"/>
        </w:tabs>
        <w:ind w:left="3600" w:hanging="360"/>
      </w:pPr>
    </w:lvl>
    <w:lvl w:ilvl="5" w:tplc="D61C8882" w:tentative="1">
      <w:start w:val="1"/>
      <w:numFmt w:val="lowerRoman"/>
      <w:lvlText w:val="%6."/>
      <w:lvlJc w:val="right"/>
      <w:pPr>
        <w:tabs>
          <w:tab w:val="num" w:pos="4320"/>
        </w:tabs>
        <w:ind w:left="4320" w:hanging="180"/>
      </w:pPr>
    </w:lvl>
    <w:lvl w:ilvl="6" w:tplc="4802E618" w:tentative="1">
      <w:start w:val="1"/>
      <w:numFmt w:val="decimal"/>
      <w:lvlText w:val="%7."/>
      <w:lvlJc w:val="left"/>
      <w:pPr>
        <w:tabs>
          <w:tab w:val="num" w:pos="5040"/>
        </w:tabs>
        <w:ind w:left="5040" w:hanging="360"/>
      </w:pPr>
    </w:lvl>
    <w:lvl w:ilvl="7" w:tplc="CCA2FE5E" w:tentative="1">
      <w:start w:val="1"/>
      <w:numFmt w:val="lowerLetter"/>
      <w:lvlText w:val="%8."/>
      <w:lvlJc w:val="left"/>
      <w:pPr>
        <w:tabs>
          <w:tab w:val="num" w:pos="5760"/>
        </w:tabs>
        <w:ind w:left="5760" w:hanging="360"/>
      </w:pPr>
    </w:lvl>
    <w:lvl w:ilvl="8" w:tplc="0FD0192C" w:tentative="1">
      <w:start w:val="1"/>
      <w:numFmt w:val="lowerRoman"/>
      <w:lvlText w:val="%9."/>
      <w:lvlJc w:val="right"/>
      <w:pPr>
        <w:tabs>
          <w:tab w:val="num" w:pos="6480"/>
        </w:tabs>
        <w:ind w:left="6480" w:hanging="180"/>
      </w:pPr>
    </w:lvl>
  </w:abstractNum>
  <w:abstractNum w:abstractNumId="5"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6F23715E"/>
    <w:multiLevelType w:val="multilevel"/>
    <w:tmpl w:val="FC78219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8"/>
  </w:num>
  <w:num w:numId="4">
    <w:abstractNumId w:val="3"/>
  </w:num>
  <w:num w:numId="5">
    <w:abstractNumId w:val="6"/>
  </w:num>
  <w:num w:numId="6">
    <w:abstractNumId w:val="5"/>
  </w:num>
  <w:num w:numId="7">
    <w:abstractNumId w:val="7"/>
  </w:num>
  <w:num w:numId="8">
    <w:abstractNumId w:val="2"/>
  </w:num>
  <w:num w:numId="9">
    <w:abstractNumId w:val="2"/>
  </w:num>
  <w:num w:numId="10">
    <w:abstractNumId w:val="9"/>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F50"/>
    <w:rsid w:val="0001112E"/>
    <w:rsid w:val="00012E3B"/>
    <w:rsid w:val="00015419"/>
    <w:rsid w:val="00041A18"/>
    <w:rsid w:val="0004622B"/>
    <w:rsid w:val="00067793"/>
    <w:rsid w:val="00080D4D"/>
    <w:rsid w:val="00082DD7"/>
    <w:rsid w:val="00095620"/>
    <w:rsid w:val="000A3940"/>
    <w:rsid w:val="000B6D45"/>
    <w:rsid w:val="000C028F"/>
    <w:rsid w:val="000D1710"/>
    <w:rsid w:val="000D43BB"/>
    <w:rsid w:val="000E3E4D"/>
    <w:rsid w:val="000E42F5"/>
    <w:rsid w:val="000F0594"/>
    <w:rsid w:val="000F0CA8"/>
    <w:rsid w:val="000F24F5"/>
    <w:rsid w:val="000F2ED9"/>
    <w:rsid w:val="001006CA"/>
    <w:rsid w:val="00100F8B"/>
    <w:rsid w:val="00102172"/>
    <w:rsid w:val="00110652"/>
    <w:rsid w:val="001526A2"/>
    <w:rsid w:val="00154F16"/>
    <w:rsid w:val="00156314"/>
    <w:rsid w:val="00172B28"/>
    <w:rsid w:val="00183FE0"/>
    <w:rsid w:val="0018553F"/>
    <w:rsid w:val="001A01CA"/>
    <w:rsid w:val="001B0583"/>
    <w:rsid w:val="001C30A8"/>
    <w:rsid w:val="0020079A"/>
    <w:rsid w:val="00222F9E"/>
    <w:rsid w:val="002302A9"/>
    <w:rsid w:val="00231985"/>
    <w:rsid w:val="00231A0F"/>
    <w:rsid w:val="00263FFB"/>
    <w:rsid w:val="00265F50"/>
    <w:rsid w:val="00274F84"/>
    <w:rsid w:val="0027787F"/>
    <w:rsid w:val="0028060B"/>
    <w:rsid w:val="0028120C"/>
    <w:rsid w:val="00283417"/>
    <w:rsid w:val="0028573C"/>
    <w:rsid w:val="00295827"/>
    <w:rsid w:val="00295F16"/>
    <w:rsid w:val="00296C44"/>
    <w:rsid w:val="002A033F"/>
    <w:rsid w:val="002C6DC3"/>
    <w:rsid w:val="002D1FA9"/>
    <w:rsid w:val="002D50A3"/>
    <w:rsid w:val="002E02FE"/>
    <w:rsid w:val="002F70E6"/>
    <w:rsid w:val="003007C0"/>
    <w:rsid w:val="00307A79"/>
    <w:rsid w:val="003204D5"/>
    <w:rsid w:val="00320ED0"/>
    <w:rsid w:val="00322E6A"/>
    <w:rsid w:val="003314A0"/>
    <w:rsid w:val="00381169"/>
    <w:rsid w:val="0038287C"/>
    <w:rsid w:val="0038358E"/>
    <w:rsid w:val="00387DDE"/>
    <w:rsid w:val="00391A01"/>
    <w:rsid w:val="003A0EB5"/>
    <w:rsid w:val="003A4263"/>
    <w:rsid w:val="003A5711"/>
    <w:rsid w:val="003C64D9"/>
    <w:rsid w:val="003D447E"/>
    <w:rsid w:val="003E2E42"/>
    <w:rsid w:val="003E70E0"/>
    <w:rsid w:val="003F3D11"/>
    <w:rsid w:val="00403CE6"/>
    <w:rsid w:val="004110CA"/>
    <w:rsid w:val="0041160E"/>
    <w:rsid w:val="0042761F"/>
    <w:rsid w:val="00431162"/>
    <w:rsid w:val="00441EE0"/>
    <w:rsid w:val="00443482"/>
    <w:rsid w:val="00450308"/>
    <w:rsid w:val="00457AD1"/>
    <w:rsid w:val="0046427F"/>
    <w:rsid w:val="004837B8"/>
    <w:rsid w:val="00485665"/>
    <w:rsid w:val="00491977"/>
    <w:rsid w:val="004A1329"/>
    <w:rsid w:val="004C1A87"/>
    <w:rsid w:val="004C4A2E"/>
    <w:rsid w:val="004E057E"/>
    <w:rsid w:val="004E44C8"/>
    <w:rsid w:val="004E53BE"/>
    <w:rsid w:val="004E7F82"/>
    <w:rsid w:val="004F3EA9"/>
    <w:rsid w:val="00501992"/>
    <w:rsid w:val="005026AC"/>
    <w:rsid w:val="00510AE7"/>
    <w:rsid w:val="00520EFD"/>
    <w:rsid w:val="0053062A"/>
    <w:rsid w:val="00535050"/>
    <w:rsid w:val="00536F3C"/>
    <w:rsid w:val="0054260E"/>
    <w:rsid w:val="00550D79"/>
    <w:rsid w:val="00555127"/>
    <w:rsid w:val="005559AC"/>
    <w:rsid w:val="00555FB3"/>
    <w:rsid w:val="00557B5A"/>
    <w:rsid w:val="005611D0"/>
    <w:rsid w:val="00566BD4"/>
    <w:rsid w:val="00576411"/>
    <w:rsid w:val="00577CAF"/>
    <w:rsid w:val="00580223"/>
    <w:rsid w:val="00594186"/>
    <w:rsid w:val="005A05D1"/>
    <w:rsid w:val="005A53B8"/>
    <w:rsid w:val="005B202B"/>
    <w:rsid w:val="005C10EB"/>
    <w:rsid w:val="005C2301"/>
    <w:rsid w:val="005C5A96"/>
    <w:rsid w:val="005D371D"/>
    <w:rsid w:val="005E7495"/>
    <w:rsid w:val="00617D4D"/>
    <w:rsid w:val="00621C12"/>
    <w:rsid w:val="00623E18"/>
    <w:rsid w:val="00625C5D"/>
    <w:rsid w:val="00635A22"/>
    <w:rsid w:val="00642083"/>
    <w:rsid w:val="0065550D"/>
    <w:rsid w:val="00664295"/>
    <w:rsid w:val="00665364"/>
    <w:rsid w:val="00667B35"/>
    <w:rsid w:val="006713EB"/>
    <w:rsid w:val="00673A9B"/>
    <w:rsid w:val="006876A8"/>
    <w:rsid w:val="006A3B77"/>
    <w:rsid w:val="006A49E3"/>
    <w:rsid w:val="006B1EFD"/>
    <w:rsid w:val="006C14E4"/>
    <w:rsid w:val="006C6DA8"/>
    <w:rsid w:val="006C7F61"/>
    <w:rsid w:val="006D407F"/>
    <w:rsid w:val="006F0442"/>
    <w:rsid w:val="00712A9A"/>
    <w:rsid w:val="00714F0F"/>
    <w:rsid w:val="007160BE"/>
    <w:rsid w:val="00722F65"/>
    <w:rsid w:val="00723B38"/>
    <w:rsid w:val="007257CD"/>
    <w:rsid w:val="00734A4F"/>
    <w:rsid w:val="007414C6"/>
    <w:rsid w:val="00762BCC"/>
    <w:rsid w:val="00763BA3"/>
    <w:rsid w:val="00765B66"/>
    <w:rsid w:val="00767BB2"/>
    <w:rsid w:val="0077159C"/>
    <w:rsid w:val="00775D0E"/>
    <w:rsid w:val="00776D23"/>
    <w:rsid w:val="00780376"/>
    <w:rsid w:val="00780EE3"/>
    <w:rsid w:val="00791AAC"/>
    <w:rsid w:val="00794DDF"/>
    <w:rsid w:val="00797D4C"/>
    <w:rsid w:val="00797DEE"/>
    <w:rsid w:val="007C0452"/>
    <w:rsid w:val="007C0E7E"/>
    <w:rsid w:val="007C4098"/>
    <w:rsid w:val="007D17C5"/>
    <w:rsid w:val="007D52EC"/>
    <w:rsid w:val="007D73EA"/>
    <w:rsid w:val="007E1A57"/>
    <w:rsid w:val="007F1CEE"/>
    <w:rsid w:val="00807C77"/>
    <w:rsid w:val="00836D62"/>
    <w:rsid w:val="00837537"/>
    <w:rsid w:val="00842766"/>
    <w:rsid w:val="00854EBF"/>
    <w:rsid w:val="0085656F"/>
    <w:rsid w:val="0086094D"/>
    <w:rsid w:val="0086731C"/>
    <w:rsid w:val="00872382"/>
    <w:rsid w:val="00877BE7"/>
    <w:rsid w:val="00886906"/>
    <w:rsid w:val="008912FE"/>
    <w:rsid w:val="00891861"/>
    <w:rsid w:val="008A0417"/>
    <w:rsid w:val="008A245D"/>
    <w:rsid w:val="008A54FC"/>
    <w:rsid w:val="008B70CD"/>
    <w:rsid w:val="008C0E8E"/>
    <w:rsid w:val="008D141C"/>
    <w:rsid w:val="008D2C13"/>
    <w:rsid w:val="008E0288"/>
    <w:rsid w:val="008E6109"/>
    <w:rsid w:val="008F47AB"/>
    <w:rsid w:val="00907A34"/>
    <w:rsid w:val="009138BA"/>
    <w:rsid w:val="009170EA"/>
    <w:rsid w:val="0092076F"/>
    <w:rsid w:val="0092484B"/>
    <w:rsid w:val="00930439"/>
    <w:rsid w:val="00937AEB"/>
    <w:rsid w:val="009617F0"/>
    <w:rsid w:val="009662E3"/>
    <w:rsid w:val="00966DD9"/>
    <w:rsid w:val="00986677"/>
    <w:rsid w:val="0099421C"/>
    <w:rsid w:val="009A2F3A"/>
    <w:rsid w:val="009A7A45"/>
    <w:rsid w:val="009C3803"/>
    <w:rsid w:val="009D2C13"/>
    <w:rsid w:val="009D3BA5"/>
    <w:rsid w:val="009D4BA1"/>
    <w:rsid w:val="009D7D5A"/>
    <w:rsid w:val="009E47EB"/>
    <w:rsid w:val="009F3A37"/>
    <w:rsid w:val="009F6EA2"/>
    <w:rsid w:val="00A02090"/>
    <w:rsid w:val="00A03731"/>
    <w:rsid w:val="00A061CE"/>
    <w:rsid w:val="00A076B5"/>
    <w:rsid w:val="00A16DED"/>
    <w:rsid w:val="00A17F69"/>
    <w:rsid w:val="00A23870"/>
    <w:rsid w:val="00A274DB"/>
    <w:rsid w:val="00A41E1E"/>
    <w:rsid w:val="00A6411D"/>
    <w:rsid w:val="00A673EB"/>
    <w:rsid w:val="00A73298"/>
    <w:rsid w:val="00A751C0"/>
    <w:rsid w:val="00A81373"/>
    <w:rsid w:val="00A95ACB"/>
    <w:rsid w:val="00A97942"/>
    <w:rsid w:val="00AA079B"/>
    <w:rsid w:val="00AA086A"/>
    <w:rsid w:val="00AC0EA5"/>
    <w:rsid w:val="00AC2686"/>
    <w:rsid w:val="00AD1BE1"/>
    <w:rsid w:val="00AD7257"/>
    <w:rsid w:val="00AF0889"/>
    <w:rsid w:val="00AF2D0C"/>
    <w:rsid w:val="00AF4C0E"/>
    <w:rsid w:val="00B14E5E"/>
    <w:rsid w:val="00B25910"/>
    <w:rsid w:val="00B26973"/>
    <w:rsid w:val="00B27330"/>
    <w:rsid w:val="00B30D3B"/>
    <w:rsid w:val="00B432D4"/>
    <w:rsid w:val="00B5315C"/>
    <w:rsid w:val="00B576D7"/>
    <w:rsid w:val="00B80892"/>
    <w:rsid w:val="00B82735"/>
    <w:rsid w:val="00B92306"/>
    <w:rsid w:val="00B92861"/>
    <w:rsid w:val="00BA7A69"/>
    <w:rsid w:val="00BB15E2"/>
    <w:rsid w:val="00BD28DF"/>
    <w:rsid w:val="00BD6876"/>
    <w:rsid w:val="00BE2864"/>
    <w:rsid w:val="00C00565"/>
    <w:rsid w:val="00C076BF"/>
    <w:rsid w:val="00C212B5"/>
    <w:rsid w:val="00C25F81"/>
    <w:rsid w:val="00C27F02"/>
    <w:rsid w:val="00C32C20"/>
    <w:rsid w:val="00C44908"/>
    <w:rsid w:val="00C504F4"/>
    <w:rsid w:val="00C512DE"/>
    <w:rsid w:val="00C57E85"/>
    <w:rsid w:val="00C65BB4"/>
    <w:rsid w:val="00C77AEE"/>
    <w:rsid w:val="00C8071C"/>
    <w:rsid w:val="00C816CB"/>
    <w:rsid w:val="00C82461"/>
    <w:rsid w:val="00C91E3B"/>
    <w:rsid w:val="00CA07CC"/>
    <w:rsid w:val="00CA25B5"/>
    <w:rsid w:val="00CA4FCE"/>
    <w:rsid w:val="00CA5F8F"/>
    <w:rsid w:val="00CC2F41"/>
    <w:rsid w:val="00CC5A6F"/>
    <w:rsid w:val="00CD07E7"/>
    <w:rsid w:val="00CE271A"/>
    <w:rsid w:val="00CE6FF5"/>
    <w:rsid w:val="00CF5245"/>
    <w:rsid w:val="00D06683"/>
    <w:rsid w:val="00D07B1A"/>
    <w:rsid w:val="00D1101B"/>
    <w:rsid w:val="00D1167E"/>
    <w:rsid w:val="00D234E7"/>
    <w:rsid w:val="00D25691"/>
    <w:rsid w:val="00D30E46"/>
    <w:rsid w:val="00D3663D"/>
    <w:rsid w:val="00D4349F"/>
    <w:rsid w:val="00D47EF6"/>
    <w:rsid w:val="00D50AC8"/>
    <w:rsid w:val="00D60A44"/>
    <w:rsid w:val="00D7390F"/>
    <w:rsid w:val="00D74F04"/>
    <w:rsid w:val="00D90913"/>
    <w:rsid w:val="00D92BEC"/>
    <w:rsid w:val="00DA18F2"/>
    <w:rsid w:val="00DB17F9"/>
    <w:rsid w:val="00DC6357"/>
    <w:rsid w:val="00DD5136"/>
    <w:rsid w:val="00DD6973"/>
    <w:rsid w:val="00DF2C67"/>
    <w:rsid w:val="00DF3AE2"/>
    <w:rsid w:val="00DF7D21"/>
    <w:rsid w:val="00E03771"/>
    <w:rsid w:val="00E059C5"/>
    <w:rsid w:val="00E11D7E"/>
    <w:rsid w:val="00E14334"/>
    <w:rsid w:val="00E2303A"/>
    <w:rsid w:val="00E343BD"/>
    <w:rsid w:val="00E348D9"/>
    <w:rsid w:val="00E36601"/>
    <w:rsid w:val="00E46600"/>
    <w:rsid w:val="00E60351"/>
    <w:rsid w:val="00E668CE"/>
    <w:rsid w:val="00E71AE7"/>
    <w:rsid w:val="00E752E6"/>
    <w:rsid w:val="00EA2ED5"/>
    <w:rsid w:val="00EA6088"/>
    <w:rsid w:val="00EC1A2C"/>
    <w:rsid w:val="00ED2C10"/>
    <w:rsid w:val="00EF585D"/>
    <w:rsid w:val="00F11542"/>
    <w:rsid w:val="00F212EB"/>
    <w:rsid w:val="00F23D13"/>
    <w:rsid w:val="00F25F22"/>
    <w:rsid w:val="00F32DEC"/>
    <w:rsid w:val="00F43E24"/>
    <w:rsid w:val="00F45561"/>
    <w:rsid w:val="00F465D3"/>
    <w:rsid w:val="00F51BD6"/>
    <w:rsid w:val="00F56F06"/>
    <w:rsid w:val="00F56F62"/>
    <w:rsid w:val="00F62D48"/>
    <w:rsid w:val="00F73815"/>
    <w:rsid w:val="00F7770D"/>
    <w:rsid w:val="00F905E7"/>
    <w:rsid w:val="00F91FDD"/>
    <w:rsid w:val="00F93115"/>
    <w:rsid w:val="00FA4E32"/>
    <w:rsid w:val="00FA5792"/>
    <w:rsid w:val="00FB04BE"/>
    <w:rsid w:val="00FB200D"/>
    <w:rsid w:val="00FB3571"/>
    <w:rsid w:val="00FB3C85"/>
    <w:rsid w:val="00FB4F1D"/>
    <w:rsid w:val="00FE7EEC"/>
    <w:rsid w:val="00FF0A22"/>
    <w:rsid w:val="00FF0E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15551703"/>
  <w15:docId w15:val="{9BC95A26-76FD-4862-9662-7261E76B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semiHidden="1" w:uiPriority="31" w:qFormat="1"/>
    <w:lsdException w:name="Intense Reference" w:semiHidden="1" w:uiPriority="0"/>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styleId="BodyText">
    <w:name w:val="Body Text"/>
    <w:basedOn w:val="Normal"/>
    <w:link w:val="BodyTextChar"/>
    <w:locked/>
    <w:rsid w:val="00555127"/>
    <w:pPr>
      <w:spacing w:before="0" w:after="120"/>
      <w:jc w:val="left"/>
    </w:pPr>
    <w:rPr>
      <w:rFonts w:eastAsia="Times New Roman"/>
      <w:sz w:val="22"/>
      <w:lang w:eastAsia="fr-FR"/>
    </w:rPr>
  </w:style>
  <w:style w:type="character" w:customStyle="1" w:styleId="BodyTextChar">
    <w:name w:val="Body Text Char"/>
    <w:basedOn w:val="DefaultParagraphFont"/>
    <w:link w:val="BodyText"/>
    <w:rsid w:val="00555127"/>
    <w:rPr>
      <w:sz w:val="22"/>
      <w:szCs w:val="22"/>
      <w:lang w:val="en-GB" w:eastAsia="fr-FR"/>
    </w:rPr>
  </w:style>
  <w:style w:type="paragraph" w:customStyle="1" w:styleId="BN">
    <w:name w:val="BN"/>
    <w:basedOn w:val="Normal"/>
    <w:rsid w:val="00555127"/>
    <w:pPr>
      <w:numPr>
        <w:numId w:val="11"/>
      </w:numPr>
      <w:overflowPunct w:val="0"/>
      <w:autoSpaceDE w:val="0"/>
      <w:autoSpaceDN w:val="0"/>
      <w:adjustRightInd w:val="0"/>
      <w:spacing w:before="0" w:after="180"/>
      <w:jc w:val="left"/>
      <w:textAlignment w:val="baseline"/>
    </w:pPr>
    <w:rPr>
      <w:rFonts w:eastAsia="Times New Roman"/>
      <w:szCs w:val="20"/>
    </w:rPr>
  </w:style>
  <w:style w:type="paragraph" w:styleId="Footer">
    <w:name w:val="footer"/>
    <w:basedOn w:val="Normal"/>
    <w:link w:val="FooterChar"/>
    <w:uiPriority w:val="99"/>
    <w:unhideWhenUsed/>
    <w:locked/>
    <w:rsid w:val="00DC6357"/>
    <w:pPr>
      <w:tabs>
        <w:tab w:val="center" w:pos="4513"/>
        <w:tab w:val="right" w:pos="9026"/>
      </w:tabs>
      <w:spacing w:before="0" w:after="0"/>
    </w:pPr>
  </w:style>
  <w:style w:type="character" w:customStyle="1" w:styleId="FooterChar">
    <w:name w:val="Footer Char"/>
    <w:basedOn w:val="DefaultParagraphFont"/>
    <w:link w:val="Footer"/>
    <w:uiPriority w:val="99"/>
    <w:rsid w:val="00DC6357"/>
    <w:rPr>
      <w:rFonts w:eastAsia="Calibri"/>
      <w:szCs w:val="22"/>
      <w:lang w:val="en-GB"/>
    </w:rPr>
  </w:style>
  <w:style w:type="character" w:styleId="UnresolvedMention">
    <w:name w:val="Unresolved Mention"/>
    <w:basedOn w:val="DefaultParagraphFont"/>
    <w:uiPriority w:val="99"/>
    <w:semiHidden/>
    <w:unhideWhenUsed/>
    <w:rsid w:val="00A1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Woolford@Ofcom.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s.GEISS@ec.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04C6FEEE3CD41AD0C335AAE6BA97C" ma:contentTypeVersion="13" ma:contentTypeDescription="Create a new document." ma:contentTypeScope="" ma:versionID="69281f3db67165fb1d24d111080aa3de">
  <xsd:schema xmlns:xsd="http://www.w3.org/2001/XMLSchema" xmlns:xs="http://www.w3.org/2001/XMLSchema" xmlns:p="http://schemas.microsoft.com/office/2006/metadata/properties" xmlns:ns3="2d78068c-6926-401d-90ac-7ebbca57bff5" xmlns:ns4="084448f3-190e-46c5-976c-9d19122fb21c" targetNamespace="http://schemas.microsoft.com/office/2006/metadata/properties" ma:root="true" ma:fieldsID="c64366c4f155297c5dfc153f073a28e5" ns3:_="" ns4:_="">
    <xsd:import namespace="2d78068c-6926-401d-90ac-7ebbca57bff5"/>
    <xsd:import namespace="084448f3-190e-46c5-976c-9d19122fb2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068c-6926-401d-90ac-7ebbca57bf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48f3-190e-46c5-976c-9d19122fb2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CF70-D553-4C1E-91B6-FB92DD7A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068c-6926-401d-90ac-7ebbca57bff5"/>
    <ds:schemaRef ds:uri="084448f3-190e-46c5-976c-9d19122fb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8784E-D096-4CF9-B865-DE68845C7B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7DA070-A376-4C63-B124-97D941F8B7D3}">
  <ds:schemaRefs>
    <ds:schemaRef ds:uri="http://schemas.microsoft.com/sharepoint/v3/contenttype/forms"/>
  </ds:schemaRefs>
</ds:datastoreItem>
</file>

<file path=customXml/itemProps4.xml><?xml version="1.0" encoding="utf-8"?>
<ds:datastoreItem xmlns:ds="http://schemas.openxmlformats.org/officeDocument/2006/customXml" ds:itemID="{76F653C9-90B6-4546-B07A-DD8A4F21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22</TotalTime>
  <Pages>3</Pages>
  <Words>903</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XXX(YY)XX - Source - Content</vt:lpstr>
      <vt:lpstr>XXX(YY)XX - Source - Content</vt:lpstr>
    </vt:vector>
  </TitlesOfParts>
  <Manager>ECC</Manager>
  <Company>ECO</Company>
  <LinksUpToDate>false</LinksUpToDate>
  <CharactersWithSpaces>6044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ECC Secretary </cp:lastModifiedBy>
  <cp:revision>29</cp:revision>
  <cp:lastPrinted>2016-10-04T08:55:00Z</cp:lastPrinted>
  <dcterms:created xsi:type="dcterms:W3CDTF">2020-03-05T08:43:00Z</dcterms:created>
  <dcterms:modified xsi:type="dcterms:W3CDTF">2020-03-06T12:23:00Z</dcterms:modified>
  <cp:category>protected templates</cp:category>
  <cp:contentStatus>Template ECC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Steve.Green@ofcom.org.uk</vt:lpwstr>
  </property>
  <property fmtid="{D5CDD505-2E9C-101B-9397-08002B2CF9AE}" pid="5" name="MSIP_Label_5a50d26f-5c2c-4137-8396-1b24eb24286c_SetDate">
    <vt:lpwstr>2020-03-04T13:02:37.0911754Z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aefefb84-5190-4c26-9795-142bef9b142e</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ContentTypeId">
    <vt:lpwstr>0x01010092104C6FEEE3CD41AD0C335AAE6BA97C</vt:lpwstr>
  </property>
</Properties>
</file>