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CC25" w14:textId="77777777" w:rsidR="00067C4A" w:rsidRDefault="00067C4A"/>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131C3B9A" w14:textId="77777777" w:rsidTr="000E3E4D">
        <w:trPr>
          <w:cantSplit/>
          <w:trHeight w:val="1560"/>
        </w:trPr>
        <w:tc>
          <w:tcPr>
            <w:tcW w:w="4820" w:type="dxa"/>
            <w:gridSpan w:val="2"/>
            <w:tcBorders>
              <w:top w:val="nil"/>
              <w:left w:val="nil"/>
              <w:bottom w:val="nil"/>
              <w:right w:val="nil"/>
            </w:tcBorders>
            <w:vAlign w:val="center"/>
          </w:tcPr>
          <w:p w14:paraId="798301A0" w14:textId="5D3B83E5" w:rsidR="00FC1A1B" w:rsidRDefault="00FC1A1B" w:rsidP="00DD5136">
            <w:pPr>
              <w:pStyle w:val="ECCLetterHead"/>
            </w:pPr>
          </w:p>
          <w:p w14:paraId="131C3B98" w14:textId="31E261E5" w:rsidR="00265F50" w:rsidRPr="00265F50" w:rsidRDefault="00C977BD" w:rsidP="00DD5136">
            <w:pPr>
              <w:pStyle w:val="ECCLetterHead"/>
            </w:pPr>
            <w:r w:rsidRPr="001407B5">
              <w:rPr>
                <w:noProof/>
                <w:lang w:val="en-US"/>
              </w:rPr>
              <w:drawing>
                <wp:inline distT="0" distB="0" distL="0" distR="0" wp14:anchorId="131C3C43" wp14:editId="131C3C44">
                  <wp:extent cx="1619250" cy="825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25500"/>
                          </a:xfrm>
                          <a:prstGeom prst="rect">
                            <a:avLst/>
                          </a:prstGeom>
                          <a:noFill/>
                          <a:ln>
                            <a:noFill/>
                          </a:ln>
                        </pic:spPr>
                      </pic:pic>
                    </a:graphicData>
                  </a:graphic>
                </wp:inline>
              </w:drawing>
            </w:r>
            <w:r w:rsidR="00671F1F">
              <w:t>ECC PT1</w:t>
            </w:r>
          </w:p>
        </w:tc>
        <w:tc>
          <w:tcPr>
            <w:tcW w:w="4961" w:type="dxa"/>
            <w:tcBorders>
              <w:top w:val="nil"/>
              <w:left w:val="nil"/>
              <w:bottom w:val="nil"/>
              <w:right w:val="nil"/>
            </w:tcBorders>
          </w:tcPr>
          <w:p w14:paraId="131C3B99" w14:textId="021D106F" w:rsidR="00265F50" w:rsidRPr="00265F50" w:rsidRDefault="00671F1F" w:rsidP="0053663A">
            <w:pPr>
              <w:pStyle w:val="ECCLetterHead"/>
              <w:jc w:val="right"/>
            </w:pPr>
            <w:r>
              <w:t>ECC PT1(</w:t>
            </w:r>
            <w:r w:rsidR="0053663A">
              <w:t>20</w:t>
            </w:r>
            <w:r w:rsidR="00D241A3">
              <w:t>)</w:t>
            </w:r>
            <w:r w:rsidR="00890A5F">
              <w:t>XXX</w:t>
            </w:r>
          </w:p>
        </w:tc>
      </w:tr>
      <w:tr w:rsidR="00F11542" w:rsidRPr="00453E28" w14:paraId="131C3B9C" w14:textId="77777777" w:rsidTr="006B4A9A">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31C3B9B" w14:textId="3AF3A438" w:rsidR="00F11542" w:rsidRPr="00453E28" w:rsidRDefault="00890A5F" w:rsidP="00DD5136">
            <w:pPr>
              <w:pStyle w:val="ECCLetterHead"/>
              <w:rPr>
                <w:lang w:val="en-US"/>
              </w:rPr>
            </w:pPr>
            <w:r w:rsidRPr="00453E28">
              <w:rPr>
                <w:lang w:val="en-US"/>
              </w:rPr>
              <w:t>ECC PT1 #XX</w:t>
            </w:r>
          </w:p>
        </w:tc>
      </w:tr>
      <w:tr w:rsidR="00F11542" w:rsidRPr="00453E28" w14:paraId="131C3B9E" w14:textId="77777777" w:rsidTr="006B4A9A">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31C3B9D" w14:textId="5FB13840" w:rsidR="00F11542" w:rsidRPr="00453E28" w:rsidRDefault="00B060DA" w:rsidP="0025130A">
            <w:pPr>
              <w:pStyle w:val="ECCLetterHead"/>
              <w:rPr>
                <w:lang w:val="en-US"/>
              </w:rPr>
            </w:pPr>
            <w:r>
              <w:rPr>
                <w:lang w:val="en-US"/>
              </w:rPr>
              <w:t>Web</w:t>
            </w:r>
            <w:r w:rsidR="00FA03E3" w:rsidRPr="00453E28">
              <w:rPr>
                <w:lang w:val="en-US"/>
              </w:rPr>
              <w:t>-meeting</w:t>
            </w:r>
            <w:r w:rsidR="00890A5F" w:rsidRPr="00453E28">
              <w:rPr>
                <w:lang w:val="en-US"/>
              </w:rPr>
              <w:t xml:space="preserve">, </w:t>
            </w:r>
            <w:r w:rsidR="0025130A">
              <w:rPr>
                <w:lang w:val="en-US"/>
              </w:rPr>
              <w:t xml:space="preserve">10th </w:t>
            </w:r>
            <w:r>
              <w:rPr>
                <w:lang w:val="en-US"/>
              </w:rPr>
              <w:t xml:space="preserve">November </w:t>
            </w:r>
            <w:r w:rsidR="00671F1F" w:rsidRPr="00453E28">
              <w:rPr>
                <w:lang w:val="en-US"/>
              </w:rPr>
              <w:t xml:space="preserve"> 20</w:t>
            </w:r>
            <w:r w:rsidR="00DF4A51" w:rsidRPr="00453E28">
              <w:rPr>
                <w:lang w:val="en-US"/>
              </w:rPr>
              <w:t>20</w:t>
            </w:r>
          </w:p>
        </w:tc>
      </w:tr>
      <w:tr w:rsidR="00F11542" w:rsidRPr="00453E28" w14:paraId="131C3BA0" w14:textId="77777777" w:rsidTr="006B4A9A">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31C3B9F" w14:textId="77777777" w:rsidR="00F11542" w:rsidRPr="00453E28" w:rsidRDefault="00F11542" w:rsidP="00263FFB">
            <w:pPr>
              <w:pStyle w:val="ECCLetterHead"/>
              <w:rPr>
                <w:lang w:val="en-US"/>
              </w:rPr>
            </w:pPr>
          </w:p>
        </w:tc>
      </w:tr>
      <w:tr w:rsidR="00263FFB" w:rsidRPr="00453E28" w14:paraId="131C3BA3"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131C3BA1" w14:textId="77777777" w:rsidR="00263FFB" w:rsidRPr="00453E28" w:rsidRDefault="00263FFB" w:rsidP="00263FFB">
            <w:pPr>
              <w:pStyle w:val="ECCLetterHead"/>
              <w:rPr>
                <w:lang w:val="en-US"/>
              </w:rPr>
            </w:pPr>
            <w:r w:rsidRPr="00453E28">
              <w:rPr>
                <w:lang w:val="en-US"/>
              </w:rPr>
              <w:t xml:space="preserve">Date issued: </w:t>
            </w:r>
          </w:p>
        </w:tc>
        <w:tc>
          <w:tcPr>
            <w:tcW w:w="7962" w:type="dxa"/>
            <w:gridSpan w:val="2"/>
            <w:tcBorders>
              <w:top w:val="nil"/>
              <w:left w:val="nil"/>
              <w:bottom w:val="nil"/>
              <w:right w:val="nil"/>
            </w:tcBorders>
            <w:vAlign w:val="center"/>
          </w:tcPr>
          <w:p w14:paraId="131C3BA2" w14:textId="4BA7B38E" w:rsidR="00263FFB" w:rsidRPr="00453E28" w:rsidRDefault="00890A5F" w:rsidP="00890A5F">
            <w:pPr>
              <w:pStyle w:val="ECCLetterHead"/>
              <w:rPr>
                <w:lang w:val="en-US"/>
              </w:rPr>
            </w:pPr>
            <w:r w:rsidRPr="00453E28">
              <w:rPr>
                <w:lang w:val="en-US"/>
              </w:rPr>
              <w:t>XX</w:t>
            </w:r>
            <w:r w:rsidR="00574371" w:rsidRPr="00453E28">
              <w:rPr>
                <w:lang w:val="en-US"/>
              </w:rPr>
              <w:t xml:space="preserve"> </w:t>
            </w:r>
            <w:proofErr w:type="spellStart"/>
            <w:r w:rsidRPr="00453E28">
              <w:rPr>
                <w:lang w:val="en-US"/>
              </w:rPr>
              <w:t>XX</w:t>
            </w:r>
            <w:proofErr w:type="spellEnd"/>
            <w:r w:rsidR="008D10BA" w:rsidRPr="00453E28">
              <w:rPr>
                <w:lang w:val="en-US"/>
              </w:rPr>
              <w:t xml:space="preserve"> </w:t>
            </w:r>
            <w:r w:rsidR="00574371" w:rsidRPr="00453E28">
              <w:rPr>
                <w:lang w:val="en-US"/>
              </w:rPr>
              <w:t>2020</w:t>
            </w:r>
          </w:p>
        </w:tc>
      </w:tr>
      <w:tr w:rsidR="00263FFB" w:rsidRPr="00453E28" w14:paraId="131C3BA6"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131C3BA4" w14:textId="77777777" w:rsidR="00263FFB" w:rsidRPr="00453E28" w:rsidRDefault="00263FFB" w:rsidP="00263FFB">
            <w:pPr>
              <w:pStyle w:val="ECCLetterHead"/>
              <w:rPr>
                <w:lang w:val="en-US"/>
              </w:rPr>
            </w:pPr>
            <w:r w:rsidRPr="00453E28">
              <w:rPr>
                <w:lang w:val="en-US"/>
              </w:rPr>
              <w:t xml:space="preserve">Source: </w:t>
            </w:r>
          </w:p>
        </w:tc>
        <w:tc>
          <w:tcPr>
            <w:tcW w:w="7962" w:type="dxa"/>
            <w:gridSpan w:val="2"/>
            <w:tcBorders>
              <w:top w:val="nil"/>
              <w:left w:val="nil"/>
              <w:bottom w:val="nil"/>
              <w:right w:val="nil"/>
            </w:tcBorders>
            <w:vAlign w:val="center"/>
          </w:tcPr>
          <w:p w14:paraId="131C3BA5" w14:textId="67144BBA" w:rsidR="00263FFB" w:rsidRPr="00453E28" w:rsidRDefault="000A7EA1" w:rsidP="00C84F0E">
            <w:pPr>
              <w:pStyle w:val="ECCLetterHead"/>
              <w:rPr>
                <w:lang w:val="en-US"/>
              </w:rPr>
            </w:pPr>
            <w:r w:rsidRPr="00453E28">
              <w:rPr>
                <w:lang w:val="en-US"/>
              </w:rPr>
              <w:t>Huawei</w:t>
            </w:r>
            <w:r w:rsidR="00C84F0E">
              <w:rPr>
                <w:lang w:val="en-US"/>
              </w:rPr>
              <w:t>,</w:t>
            </w:r>
            <w:r w:rsidR="00213194">
              <w:rPr>
                <w:lang w:val="en-US"/>
              </w:rPr>
              <w:t xml:space="preserve"> Ericsson</w:t>
            </w:r>
          </w:p>
        </w:tc>
      </w:tr>
      <w:tr w:rsidR="00263FFB" w:rsidRPr="00453E28" w14:paraId="131C3BA9"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131C3BA7" w14:textId="77777777" w:rsidR="00263FFB" w:rsidRPr="00453E28" w:rsidRDefault="00263FFB" w:rsidP="00263FFB">
            <w:pPr>
              <w:pStyle w:val="ECCLetterHead"/>
              <w:rPr>
                <w:lang w:val="en-US"/>
              </w:rPr>
            </w:pPr>
            <w:r w:rsidRPr="00453E28">
              <w:rPr>
                <w:lang w:val="en-US"/>
              </w:rPr>
              <w:t xml:space="preserve">Subject: </w:t>
            </w:r>
          </w:p>
        </w:tc>
        <w:tc>
          <w:tcPr>
            <w:tcW w:w="7962" w:type="dxa"/>
            <w:gridSpan w:val="2"/>
            <w:tcBorders>
              <w:top w:val="nil"/>
              <w:left w:val="nil"/>
              <w:bottom w:val="nil"/>
              <w:right w:val="nil"/>
            </w:tcBorders>
            <w:vAlign w:val="center"/>
          </w:tcPr>
          <w:p w14:paraId="131C3BA8" w14:textId="7F05171F" w:rsidR="00263FFB" w:rsidRPr="00453E28" w:rsidRDefault="00C13EF8" w:rsidP="00B060DA">
            <w:pPr>
              <w:pStyle w:val="ECCLetterHead"/>
              <w:rPr>
                <w:lang w:val="en-US"/>
              </w:rPr>
            </w:pPr>
            <w:r>
              <w:rPr>
                <w:lang w:val="en-US"/>
              </w:rPr>
              <w:t>Definition of the list of</w:t>
            </w:r>
            <w:r w:rsidR="00B060DA">
              <w:rPr>
                <w:lang w:val="en-US"/>
              </w:rPr>
              <w:t xml:space="preserve"> </w:t>
            </w:r>
            <w:r w:rsidR="00B060DA" w:rsidRPr="00B060DA">
              <w:rPr>
                <w:lang w:val="en-US"/>
              </w:rPr>
              <w:t>the adjacent and in-band incumbent services and applications</w:t>
            </w:r>
            <w:r w:rsidR="00B060DA">
              <w:rPr>
                <w:lang w:val="en-US"/>
              </w:rPr>
              <w:t xml:space="preserve"> for the</w:t>
            </w:r>
            <w:r w:rsidR="001A6DB8" w:rsidRPr="00453E28">
              <w:rPr>
                <w:lang w:val="en-US"/>
              </w:rPr>
              <w:t xml:space="preserve"> </w:t>
            </w:r>
            <w:r w:rsidR="0090017E" w:rsidRPr="00453E28">
              <w:rPr>
                <w:lang w:val="en-US"/>
              </w:rPr>
              <w:t>23</w:t>
            </w:r>
            <w:r w:rsidR="001A6DB8" w:rsidRPr="00453E28">
              <w:rPr>
                <w:lang w:val="en-US"/>
              </w:rPr>
              <w:t>00-2400 M</w:t>
            </w:r>
            <w:r w:rsidR="0090017E" w:rsidRPr="00453E28">
              <w:rPr>
                <w:lang w:val="en-US"/>
              </w:rPr>
              <w:t>Hz</w:t>
            </w:r>
            <w:r w:rsidR="004F2AD9" w:rsidRPr="00453E28">
              <w:rPr>
                <w:lang w:val="en-US"/>
              </w:rPr>
              <w:t xml:space="preserve"> band</w:t>
            </w:r>
            <w:r w:rsidR="00B060DA">
              <w:rPr>
                <w:lang w:val="en-US"/>
              </w:rPr>
              <w:t xml:space="preserve"> </w:t>
            </w:r>
          </w:p>
        </w:tc>
      </w:tr>
      <w:tr w:rsidR="00263FFB" w:rsidRPr="00453E28" w14:paraId="131C3BAB"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131C3BAA" w14:textId="77777777" w:rsidR="00263FFB" w:rsidRPr="00453E28" w:rsidRDefault="00C977BD" w:rsidP="00263FFB">
            <w:pPr>
              <w:pStyle w:val="ECCTabletext"/>
              <w:rPr>
                <w:lang w:val="en-US"/>
              </w:rPr>
            </w:pPr>
            <w:r w:rsidRPr="00453E28">
              <w:rPr>
                <w:noProof/>
                <w:lang w:val="en-US"/>
              </w:rPr>
              <mc:AlternateContent>
                <mc:Choice Requires="wps">
                  <w:drawing>
                    <wp:anchor distT="0" distB="0" distL="114300" distR="114300" simplePos="0" relativeHeight="251656704" behindDoc="0" locked="1" layoutInCell="0" allowOverlap="1" wp14:anchorId="131C3C45" wp14:editId="565527DD">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131C3C54" w14:textId="77777777" w:rsidR="00F3012E" w:rsidRPr="00F45561" w:rsidRDefault="00F3012E"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1C3C45"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131C3C54" w14:textId="77777777" w:rsidR="00F3012E" w:rsidRPr="00F45561" w:rsidRDefault="00F3012E" w:rsidP="00F45561">
                            <w:pPr>
                              <w:pStyle w:val="ECCTabletext"/>
                              <w:jc w:val="center"/>
                              <w:rPr>
                                <w:lang w:val="de-DE"/>
                              </w:rPr>
                            </w:pPr>
                            <w:r>
                              <w:rPr>
                                <w:lang w:val="de-DE"/>
                              </w:rPr>
                              <w:t>N</w:t>
                            </w:r>
                          </w:p>
                        </w:txbxContent>
                      </v:textbox>
                      <w10:anchorlock/>
                    </v:shape>
                  </w:pict>
                </mc:Fallback>
              </mc:AlternateContent>
            </w:r>
            <w:r w:rsidR="00263FFB" w:rsidRPr="00453E28">
              <w:rPr>
                <w:lang w:val="en-US"/>
              </w:rPr>
              <w:t>Group membership required to read? (Y/N)</w:t>
            </w:r>
          </w:p>
        </w:tc>
      </w:tr>
      <w:tr w:rsidR="00263FFB" w:rsidRPr="00453E28" w14:paraId="131C3BAE" w14:textId="77777777"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131C3BAC" w14:textId="77777777" w:rsidR="00263FFB" w:rsidRPr="00453E28" w:rsidRDefault="00263FFB" w:rsidP="00263FFB">
            <w:pPr>
              <w:rPr>
                <w:rStyle w:val="ECCParagraph"/>
                <w:lang w:val="en-US"/>
              </w:rPr>
            </w:pPr>
          </w:p>
          <w:p w14:paraId="131C3BAD" w14:textId="77777777" w:rsidR="00263FFB" w:rsidRPr="00453E28" w:rsidRDefault="00263FFB" w:rsidP="00263FFB">
            <w:pPr>
              <w:rPr>
                <w:lang w:val="en-US"/>
              </w:rPr>
            </w:pPr>
          </w:p>
        </w:tc>
      </w:tr>
      <w:tr w:rsidR="00263FFB" w:rsidRPr="00453E28" w14:paraId="131C3BB0" w14:textId="77777777"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9919938" w14:textId="66018AEA" w:rsidR="00B060DA" w:rsidRDefault="00263FFB" w:rsidP="00890A5F">
            <w:pPr>
              <w:pStyle w:val="ECCLetterHead"/>
              <w:rPr>
                <w:b w:val="0"/>
                <w:bCs/>
                <w:lang w:val="en-US"/>
              </w:rPr>
            </w:pPr>
            <w:r w:rsidRPr="00453E28">
              <w:rPr>
                <w:lang w:val="en-US"/>
              </w:rPr>
              <w:t>Summary:</w:t>
            </w:r>
            <w:r w:rsidRPr="00453E28">
              <w:rPr>
                <w:b w:val="0"/>
                <w:bCs/>
                <w:lang w:val="en-US"/>
              </w:rPr>
              <w:t xml:space="preserve"> </w:t>
            </w:r>
            <w:r w:rsidR="00011EF4">
              <w:rPr>
                <w:b w:val="0"/>
                <w:bCs/>
                <w:lang w:val="en-US"/>
              </w:rPr>
              <w:t>T</w:t>
            </w:r>
            <w:r w:rsidR="00B060DA">
              <w:rPr>
                <w:b w:val="0"/>
                <w:bCs/>
                <w:lang w:val="en-US"/>
              </w:rPr>
              <w:t xml:space="preserve">his contribution proposes updates to the list of </w:t>
            </w:r>
            <w:r w:rsidR="00B060DA" w:rsidRPr="00B060DA">
              <w:rPr>
                <w:b w:val="0"/>
                <w:bCs/>
                <w:lang w:val="en-US"/>
              </w:rPr>
              <w:t xml:space="preserve">the adjacent and in-band incumbent services and applications for the 2300-2400 MHz band </w:t>
            </w:r>
            <w:r w:rsidR="0013157F">
              <w:rPr>
                <w:b w:val="0"/>
                <w:bCs/>
                <w:lang w:val="en-US"/>
              </w:rPr>
              <w:t>as after</w:t>
            </w:r>
            <w:r w:rsidR="00B060DA">
              <w:rPr>
                <w:b w:val="0"/>
                <w:bCs/>
                <w:lang w:val="en-US"/>
              </w:rPr>
              <w:t xml:space="preserve"> existing </w:t>
            </w:r>
            <w:r w:rsidR="00630D6B" w:rsidRPr="00453E28">
              <w:rPr>
                <w:b w:val="0"/>
                <w:bCs/>
                <w:lang w:val="en-US"/>
              </w:rPr>
              <w:t>ECC Report</w:t>
            </w:r>
            <w:r w:rsidR="0090017E" w:rsidRPr="00453E28">
              <w:rPr>
                <w:b w:val="0"/>
                <w:bCs/>
                <w:lang w:val="en-US"/>
              </w:rPr>
              <w:t>s</w:t>
            </w:r>
            <w:r w:rsidR="0080196B">
              <w:rPr>
                <w:b w:val="0"/>
                <w:bCs/>
                <w:lang w:val="en-US"/>
              </w:rPr>
              <w:t xml:space="preserve"> and up</w:t>
            </w:r>
            <w:r w:rsidR="0013157F">
              <w:rPr>
                <w:b w:val="0"/>
                <w:bCs/>
                <w:lang w:val="en-US"/>
              </w:rPr>
              <w:t>-to-date information</w:t>
            </w:r>
            <w:r w:rsidR="0080196B">
              <w:rPr>
                <w:b w:val="0"/>
                <w:bCs/>
                <w:lang w:val="en-US"/>
              </w:rPr>
              <w:t xml:space="preserve"> using the </w:t>
            </w:r>
            <w:r w:rsidR="0013157F" w:rsidRPr="0013157F">
              <w:rPr>
                <w:b w:val="0"/>
                <w:bCs/>
                <w:lang w:val="en-US"/>
              </w:rPr>
              <w:t>ECO Frequency Information System</w:t>
            </w:r>
            <w:r w:rsidR="0080196B">
              <w:rPr>
                <w:b w:val="0"/>
                <w:bCs/>
                <w:lang w:val="en-US"/>
              </w:rPr>
              <w:t xml:space="preserve"> database</w:t>
            </w:r>
            <w:r w:rsidR="00B060DA">
              <w:rPr>
                <w:b w:val="0"/>
                <w:bCs/>
                <w:lang w:val="en-US"/>
              </w:rPr>
              <w:t>.</w:t>
            </w:r>
          </w:p>
          <w:p w14:paraId="131C3BAF" w14:textId="2EE135C9" w:rsidR="00890A5F" w:rsidRPr="00453E28" w:rsidRDefault="00890A5F">
            <w:pPr>
              <w:pStyle w:val="ECCLetterHead"/>
              <w:rPr>
                <w:b w:val="0"/>
                <w:lang w:val="en-US"/>
              </w:rPr>
            </w:pPr>
          </w:p>
        </w:tc>
      </w:tr>
      <w:tr w:rsidR="00263FFB" w:rsidRPr="00453E28" w14:paraId="131C3BB2" w14:textId="77777777" w:rsidTr="00A1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9781" w:type="dxa"/>
            <w:gridSpan w:val="3"/>
            <w:tcBorders>
              <w:top w:val="nil"/>
              <w:left w:val="single" w:sz="6" w:space="0" w:color="C00000"/>
              <w:bottom w:val="single" w:sz="6" w:space="0" w:color="C00000"/>
              <w:right w:val="single" w:sz="6" w:space="0" w:color="C00000"/>
            </w:tcBorders>
          </w:tcPr>
          <w:p w14:paraId="131C3BB1" w14:textId="77777777" w:rsidR="002F70E6" w:rsidRPr="00453E28" w:rsidRDefault="002F70E6" w:rsidP="00263FFB">
            <w:pPr>
              <w:pStyle w:val="ECCTabletext"/>
              <w:rPr>
                <w:lang w:val="en-US"/>
              </w:rPr>
            </w:pPr>
          </w:p>
        </w:tc>
      </w:tr>
      <w:tr w:rsidR="00263FFB" w:rsidRPr="00453E28" w14:paraId="131C3BB4"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31C3BB3" w14:textId="5CDCAC6E" w:rsidR="001F613B" w:rsidRPr="00453E28" w:rsidRDefault="00263FFB" w:rsidP="0084414F">
            <w:pPr>
              <w:pStyle w:val="ECCLetterHead"/>
              <w:rPr>
                <w:b w:val="0"/>
                <w:lang w:val="en-US"/>
              </w:rPr>
            </w:pPr>
            <w:r w:rsidRPr="00453E28">
              <w:rPr>
                <w:lang w:val="en-US"/>
              </w:rPr>
              <w:t>Proposal:</w:t>
            </w:r>
            <w:r w:rsidR="00A1678F" w:rsidRPr="00453E28">
              <w:rPr>
                <w:b w:val="0"/>
                <w:lang w:val="en-US"/>
              </w:rPr>
              <w:t xml:space="preserve"> </w:t>
            </w:r>
            <w:r w:rsidR="00AD3107" w:rsidRPr="00453E28">
              <w:rPr>
                <w:b w:val="0"/>
                <w:lang w:val="en-US"/>
              </w:rPr>
              <w:t>We p</w:t>
            </w:r>
            <w:r w:rsidR="00BC5A60" w:rsidRPr="00453E28">
              <w:rPr>
                <w:b w:val="0"/>
                <w:lang w:val="en-US"/>
              </w:rPr>
              <w:t xml:space="preserve">ropose </w:t>
            </w:r>
            <w:r w:rsidR="00AD3107" w:rsidRPr="00453E28">
              <w:rPr>
                <w:b w:val="0"/>
                <w:lang w:val="en-US"/>
              </w:rPr>
              <w:t xml:space="preserve">to </w:t>
            </w:r>
            <w:r w:rsidR="00B060DA">
              <w:rPr>
                <w:b w:val="0"/>
                <w:lang w:val="en-US"/>
              </w:rPr>
              <w:t xml:space="preserve">account for this input while populating the Draft </w:t>
            </w:r>
            <w:r w:rsidR="00011EF4">
              <w:rPr>
                <w:b w:val="0"/>
                <w:lang w:val="en-US"/>
              </w:rPr>
              <w:t>E</w:t>
            </w:r>
            <w:r w:rsidR="00B060DA">
              <w:rPr>
                <w:b w:val="0"/>
                <w:lang w:val="en-US"/>
              </w:rPr>
              <w:t>CC Report.</w:t>
            </w:r>
          </w:p>
        </w:tc>
      </w:tr>
      <w:tr w:rsidR="00263FFB" w:rsidRPr="00453E28" w14:paraId="131C3BB6" w14:textId="77777777" w:rsidTr="006D2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7"/>
        </w:trPr>
        <w:tc>
          <w:tcPr>
            <w:tcW w:w="9781" w:type="dxa"/>
            <w:gridSpan w:val="3"/>
            <w:tcBorders>
              <w:top w:val="nil"/>
              <w:left w:val="single" w:sz="6" w:space="0" w:color="C00000"/>
              <w:bottom w:val="single" w:sz="6" w:space="0" w:color="C00000"/>
              <w:right w:val="single" w:sz="6" w:space="0" w:color="C00000"/>
            </w:tcBorders>
          </w:tcPr>
          <w:p w14:paraId="131C3BB5" w14:textId="77777777" w:rsidR="001C5DCF" w:rsidRPr="00453E28" w:rsidRDefault="001C5DCF" w:rsidP="00444856">
            <w:pPr>
              <w:pStyle w:val="ECCBulletsLv2"/>
              <w:numPr>
                <w:ilvl w:val="0"/>
                <w:numId w:val="0"/>
              </w:numPr>
              <w:rPr>
                <w:sz w:val="22"/>
                <w:lang w:val="en-US"/>
              </w:rPr>
            </w:pPr>
          </w:p>
        </w:tc>
      </w:tr>
      <w:tr w:rsidR="00263FFB" w:rsidRPr="00453E28" w14:paraId="131C3BB8"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31C3BB7" w14:textId="77777777" w:rsidR="00263FFB" w:rsidRPr="00453E28" w:rsidRDefault="00263FFB" w:rsidP="00263FFB">
            <w:pPr>
              <w:pStyle w:val="ECCLetterHead"/>
              <w:rPr>
                <w:b w:val="0"/>
                <w:szCs w:val="22"/>
                <w:lang w:val="en-US"/>
              </w:rPr>
            </w:pPr>
            <w:r w:rsidRPr="00453E28">
              <w:rPr>
                <w:szCs w:val="22"/>
                <w:lang w:val="en-US"/>
              </w:rPr>
              <w:t>Background:</w:t>
            </w:r>
            <w:r w:rsidR="00444856" w:rsidRPr="00453E28">
              <w:rPr>
                <w:b w:val="0"/>
                <w:bCs/>
                <w:szCs w:val="22"/>
                <w:lang w:val="en-US"/>
              </w:rPr>
              <w:t xml:space="preserve"> </w:t>
            </w:r>
            <w:r w:rsidR="00B714E4" w:rsidRPr="00453E28">
              <w:rPr>
                <w:b w:val="0"/>
                <w:bCs/>
                <w:szCs w:val="22"/>
                <w:lang w:val="en-US"/>
              </w:rPr>
              <w:t xml:space="preserve">In </w:t>
            </w:r>
            <w:r w:rsidR="00444856" w:rsidRPr="00453E28">
              <w:rPr>
                <w:b w:val="0"/>
                <w:bCs/>
                <w:szCs w:val="22"/>
                <w:lang w:val="en-US"/>
              </w:rPr>
              <w:t xml:space="preserve">ECC #52 March plenary </w:t>
            </w:r>
            <w:r w:rsidR="00B714E4" w:rsidRPr="00453E28">
              <w:rPr>
                <w:b w:val="0"/>
                <w:bCs/>
                <w:szCs w:val="22"/>
                <w:lang w:val="en-US"/>
              </w:rPr>
              <w:t xml:space="preserve">the WI </w:t>
            </w:r>
            <w:hyperlink r:id="rId9" w:history="1">
              <w:r w:rsidR="00B714E4" w:rsidRPr="00453E28">
                <w:rPr>
                  <w:rStyle w:val="Hyperlink"/>
                  <w:rFonts w:cs="Arial"/>
                  <w:sz w:val="20"/>
                  <w:shd w:val="clear" w:color="auto" w:fill="FFFFFF"/>
                  <w:lang w:val="en-US"/>
                </w:rPr>
                <w:t>PT1_28</w:t>
              </w:r>
            </w:hyperlink>
            <w:r w:rsidR="00B714E4" w:rsidRPr="00453E28">
              <w:rPr>
                <w:b w:val="0"/>
                <w:bCs/>
                <w:szCs w:val="22"/>
                <w:lang w:val="en-US"/>
              </w:rPr>
              <w:t xml:space="preserve"> was approved</w:t>
            </w:r>
          </w:p>
        </w:tc>
      </w:tr>
      <w:tr w:rsidR="00265F50" w:rsidRPr="00453E28" w14:paraId="131C3BBA"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131C3BB9" w14:textId="77777777" w:rsidR="00444856" w:rsidRPr="00453E28" w:rsidRDefault="00444856" w:rsidP="00B714E4">
            <w:pPr>
              <w:pStyle w:val="ECCTabletext"/>
              <w:rPr>
                <w:sz w:val="22"/>
                <w:lang w:val="en-US"/>
              </w:rPr>
            </w:pPr>
          </w:p>
        </w:tc>
      </w:tr>
    </w:tbl>
    <w:p w14:paraId="131C3BBB" w14:textId="77777777" w:rsidR="002E4226" w:rsidRPr="00453E28" w:rsidRDefault="00E41B27" w:rsidP="00480A19">
      <w:pPr>
        <w:pStyle w:val="Heading1"/>
        <w:numPr>
          <w:ilvl w:val="0"/>
          <w:numId w:val="0"/>
        </w:numPr>
        <w:tabs>
          <w:tab w:val="left" w:pos="2745"/>
        </w:tabs>
        <w:jc w:val="left"/>
        <w:rPr>
          <w:rStyle w:val="ECCParagraph"/>
          <w:color w:val="auto"/>
          <w:sz w:val="22"/>
          <w:szCs w:val="20"/>
          <w:lang w:val="en-US"/>
        </w:rPr>
      </w:pPr>
      <w:r w:rsidRPr="00453E28">
        <w:rPr>
          <w:rStyle w:val="ECCParagraph"/>
          <w:color w:val="auto"/>
          <w:sz w:val="22"/>
          <w:szCs w:val="20"/>
          <w:lang w:val="en-US"/>
        </w:rPr>
        <w:tab/>
      </w:r>
    </w:p>
    <w:p w14:paraId="3D6FFAC3" w14:textId="18CFE1B0" w:rsidR="00A26B45" w:rsidRPr="004D3730" w:rsidRDefault="00011EF4" w:rsidP="00057271">
      <w:pPr>
        <w:pStyle w:val="Heading1"/>
        <w:rPr>
          <w:b w:val="0"/>
        </w:rPr>
      </w:pPr>
      <w:r w:rsidRPr="004D3730">
        <w:rPr>
          <w:rStyle w:val="BookTitle"/>
          <w:b/>
          <w:i w:val="0"/>
          <w:iCs w:val="0"/>
          <w:spacing w:val="0"/>
        </w:rPr>
        <w:t>Background</w:t>
      </w:r>
    </w:p>
    <w:p w14:paraId="2CDD3B12" w14:textId="1A2750A7" w:rsidR="00223F52" w:rsidRPr="00057271" w:rsidRDefault="003C52BA" w:rsidP="002D0DE2">
      <w:pPr>
        <w:rPr>
          <w:sz w:val="22"/>
          <w:szCs w:val="20"/>
          <w:lang w:val="en-US"/>
        </w:rPr>
      </w:pPr>
      <w:r w:rsidRPr="00057271">
        <w:rPr>
          <w:sz w:val="22"/>
          <w:szCs w:val="20"/>
          <w:lang w:val="en-US"/>
        </w:rPr>
        <w:t>The following usages apply to the 2300-2</w:t>
      </w:r>
      <w:r w:rsidR="00011EF4">
        <w:rPr>
          <w:sz w:val="22"/>
          <w:szCs w:val="20"/>
          <w:lang w:val="en-US"/>
        </w:rPr>
        <w:t>4</w:t>
      </w:r>
      <w:r w:rsidRPr="00057271">
        <w:rPr>
          <w:sz w:val="22"/>
          <w:szCs w:val="20"/>
          <w:lang w:val="en-US"/>
        </w:rPr>
        <w:t>00 MHz band and to the bands below and above i</w:t>
      </w:r>
      <w:r w:rsidR="00011EF4">
        <w:rPr>
          <w:sz w:val="22"/>
          <w:szCs w:val="20"/>
          <w:lang w:val="en-US"/>
        </w:rPr>
        <w:t>s:</w:t>
      </w:r>
    </w:p>
    <w:p w14:paraId="1EDC382E" w14:textId="51FF0388" w:rsidR="003C52BA" w:rsidRDefault="003C52BA" w:rsidP="003C52BA">
      <w:pPr>
        <w:pStyle w:val="Caption"/>
        <w:rPr>
          <w:rFonts w:eastAsia="Batang"/>
          <w:lang w:val="en-GB"/>
        </w:rPr>
      </w:pPr>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1</w:t>
      </w:r>
      <w:r w:rsidRPr="00DE1712">
        <w:rPr>
          <w:lang w:val="en-GB"/>
        </w:rPr>
        <w:fldChar w:fldCharType="end"/>
      </w:r>
      <w:r w:rsidRPr="00DE1712">
        <w:rPr>
          <w:rFonts w:eastAsia="Batang"/>
          <w:lang w:val="en-GB"/>
        </w:rPr>
        <w:t xml:space="preserve">: </w:t>
      </w:r>
      <w:r w:rsidRPr="003C52BA">
        <w:rPr>
          <w:rFonts w:eastAsia="Batang"/>
          <w:lang w:val="en-GB"/>
        </w:rPr>
        <w:t xml:space="preserve">Overview of usages in and around the 2300-2400 MHz band </w:t>
      </w:r>
      <w:r>
        <w:rPr>
          <w:rFonts w:eastAsia="Batang"/>
          <w:lang w:val="en-GB"/>
        </w:rPr>
        <w:t>(source: ECC Report 172)</w:t>
      </w:r>
    </w:p>
    <w:p w14:paraId="3E2FDA43" w14:textId="2EC65735" w:rsidR="00223F52" w:rsidRDefault="00223F52" w:rsidP="00057271">
      <w:pPr>
        <w:jc w:val="center"/>
        <w:rPr>
          <w:b/>
          <w:sz w:val="22"/>
          <w:szCs w:val="20"/>
          <w:lang w:val="en-US"/>
        </w:rPr>
      </w:pPr>
      <w:r w:rsidRPr="00223F52">
        <w:rPr>
          <w:noProof/>
          <w:lang w:val="en-US"/>
        </w:rPr>
        <w:lastRenderedPageBreak/>
        <w:drawing>
          <wp:inline distT="0" distB="0" distL="0" distR="0" wp14:anchorId="31948DA6" wp14:editId="18D859DB">
            <wp:extent cx="5023174" cy="3056584"/>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504" cy="3067129"/>
                    </a:xfrm>
                    <a:prstGeom prst="rect">
                      <a:avLst/>
                    </a:prstGeom>
                    <a:noFill/>
                    <a:ln>
                      <a:noFill/>
                    </a:ln>
                  </pic:spPr>
                </pic:pic>
              </a:graphicData>
            </a:graphic>
          </wp:inline>
        </w:drawing>
      </w:r>
    </w:p>
    <w:p w14:paraId="4B94E1C8" w14:textId="77777777" w:rsidR="005A63D8" w:rsidRDefault="005A63D8" w:rsidP="003C52BA">
      <w:pPr>
        <w:spacing w:before="0" w:after="0"/>
        <w:rPr>
          <w:sz w:val="22"/>
          <w:szCs w:val="20"/>
          <w:lang w:val="en-US"/>
        </w:rPr>
        <w:sectPr w:rsidR="005A63D8" w:rsidSect="00B80471">
          <w:headerReference w:type="even" r:id="rId11"/>
          <w:headerReference w:type="default" r:id="rId12"/>
          <w:pgSz w:w="11907" w:h="16840" w:code="9"/>
          <w:pgMar w:top="1440" w:right="1134" w:bottom="1440" w:left="1134" w:header="709" w:footer="709" w:gutter="0"/>
          <w:cols w:space="708"/>
          <w:titlePg/>
          <w:docGrid w:linePitch="360"/>
        </w:sectPr>
      </w:pPr>
    </w:p>
    <w:p w14:paraId="71C92799" w14:textId="752913A8" w:rsidR="001D2095" w:rsidRPr="004D3730" w:rsidRDefault="005260BF" w:rsidP="00057271">
      <w:pPr>
        <w:pStyle w:val="Heading1"/>
      </w:pPr>
      <w:r w:rsidRPr="004D3730">
        <w:lastRenderedPageBreak/>
        <w:t>Summary from ECC Report 172 studies</w:t>
      </w:r>
    </w:p>
    <w:p w14:paraId="214867F7" w14:textId="77777777" w:rsidR="001D2095" w:rsidRDefault="001D2095" w:rsidP="00057271">
      <w:pPr>
        <w:spacing w:before="0" w:after="0"/>
        <w:rPr>
          <w:sz w:val="22"/>
          <w:szCs w:val="20"/>
          <w:lang w:val="en-US"/>
        </w:rPr>
      </w:pPr>
    </w:p>
    <w:p w14:paraId="730F4C78" w14:textId="32F1B14B" w:rsidR="003C52BA" w:rsidRDefault="003C52BA" w:rsidP="00057271">
      <w:pPr>
        <w:spacing w:before="0" w:after="0"/>
        <w:rPr>
          <w:sz w:val="22"/>
          <w:szCs w:val="20"/>
          <w:lang w:val="en-US"/>
        </w:rPr>
      </w:pPr>
      <w:bookmarkStart w:id="0" w:name="_Hlk55814854"/>
      <w:r w:rsidRPr="00057271">
        <w:rPr>
          <w:sz w:val="22"/>
          <w:szCs w:val="20"/>
          <w:lang w:val="en-US"/>
        </w:rPr>
        <w:t xml:space="preserve">Among the usages listed in the table above, </w:t>
      </w:r>
      <w:r w:rsidR="001D2095">
        <w:rPr>
          <w:sz w:val="22"/>
          <w:szCs w:val="20"/>
          <w:lang w:val="en-US"/>
        </w:rPr>
        <w:t xml:space="preserve">the following table describes the </w:t>
      </w:r>
      <w:r w:rsidRPr="00057271">
        <w:rPr>
          <w:sz w:val="22"/>
          <w:szCs w:val="20"/>
          <w:lang w:val="en-US"/>
        </w:rPr>
        <w:t xml:space="preserve">studies </w:t>
      </w:r>
      <w:r w:rsidR="001D2095">
        <w:rPr>
          <w:sz w:val="22"/>
          <w:szCs w:val="20"/>
          <w:lang w:val="en-US"/>
        </w:rPr>
        <w:t xml:space="preserve">that </w:t>
      </w:r>
      <w:r w:rsidRPr="00057271">
        <w:rPr>
          <w:sz w:val="22"/>
          <w:szCs w:val="20"/>
          <w:lang w:val="en-US"/>
        </w:rPr>
        <w:t xml:space="preserve">were carried out in ECC Report 172 for </w:t>
      </w:r>
      <w:r w:rsidR="001D2095">
        <w:rPr>
          <w:sz w:val="22"/>
          <w:szCs w:val="20"/>
          <w:lang w:val="en-US"/>
        </w:rPr>
        <w:t>the different services and applications operating in the band and around it</w:t>
      </w:r>
      <w:r w:rsidRPr="00057271">
        <w:rPr>
          <w:sz w:val="22"/>
          <w:szCs w:val="20"/>
          <w:lang w:val="en-US"/>
        </w:rPr>
        <w:t>:</w:t>
      </w:r>
    </w:p>
    <w:p w14:paraId="66336ED2" w14:textId="77777777" w:rsidR="009765F7" w:rsidRDefault="009765F7" w:rsidP="00057271">
      <w:pPr>
        <w:spacing w:before="0" w:after="0"/>
        <w:rPr>
          <w:sz w:val="22"/>
          <w:szCs w:val="20"/>
          <w:lang w:val="en-US"/>
        </w:rPr>
      </w:pPr>
    </w:p>
    <w:p w14:paraId="5EC15CF3" w14:textId="188321FC" w:rsidR="003C52BA" w:rsidRPr="00057271" w:rsidRDefault="009765F7" w:rsidP="00057271">
      <w:pPr>
        <w:pStyle w:val="Caption"/>
        <w:rPr>
          <w:rFonts w:eastAsia="Batang"/>
          <w:lang w:val="en-GB"/>
        </w:rPr>
      </w:pPr>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003F2BAC">
        <w:rPr>
          <w:noProof/>
          <w:lang w:val="en-GB"/>
        </w:rPr>
        <w:t>2</w:t>
      </w:r>
      <w:r w:rsidRPr="00DE1712">
        <w:rPr>
          <w:lang w:val="en-GB"/>
        </w:rPr>
        <w:fldChar w:fldCharType="end"/>
      </w:r>
      <w:r w:rsidRPr="00DE1712">
        <w:rPr>
          <w:rFonts w:eastAsia="Batang"/>
          <w:lang w:val="en-GB"/>
        </w:rPr>
        <w:t xml:space="preserve">: </w:t>
      </w:r>
      <w:r>
        <w:rPr>
          <w:rFonts w:eastAsia="Batang"/>
          <w:lang w:val="en-GB"/>
        </w:rPr>
        <w:t>Summary of the studies carried out in ECC Report 172</w:t>
      </w:r>
    </w:p>
    <w:tbl>
      <w:tblPr>
        <w:tblStyle w:val="ECCTable-redheader"/>
        <w:tblW w:w="0" w:type="auto"/>
        <w:tblInd w:w="0" w:type="dxa"/>
        <w:tblLook w:val="01E0" w:firstRow="1" w:lastRow="1" w:firstColumn="1" w:lastColumn="1" w:noHBand="0" w:noVBand="0"/>
      </w:tblPr>
      <w:tblGrid>
        <w:gridCol w:w="2405"/>
        <w:gridCol w:w="2126"/>
        <w:gridCol w:w="2835"/>
        <w:gridCol w:w="6521"/>
      </w:tblGrid>
      <w:tr w:rsidR="005A63D8" w:rsidRPr="00DE1712" w14:paraId="6FA44026" w14:textId="482F6708" w:rsidTr="00057271">
        <w:trPr>
          <w:cnfStyle w:val="100000000000" w:firstRow="1" w:lastRow="0" w:firstColumn="0" w:lastColumn="0" w:oddVBand="0" w:evenVBand="0" w:oddHBand="0" w:evenHBand="0" w:firstRowFirstColumn="0" w:firstRowLastColumn="0" w:lastRowFirstColumn="0" w:lastRowLastColumn="0"/>
        </w:trPr>
        <w:tc>
          <w:tcPr>
            <w:tcW w:w="2405" w:type="dxa"/>
          </w:tcPr>
          <w:p w14:paraId="4D07158A" w14:textId="0769597D" w:rsidR="005A63D8" w:rsidRPr="00057271" w:rsidRDefault="005A63D8" w:rsidP="00057271">
            <w:pPr>
              <w:spacing w:before="40" w:after="40"/>
              <w:jc w:val="left"/>
              <w:rPr>
                <w:sz w:val="18"/>
              </w:rPr>
            </w:pPr>
            <w:r w:rsidRPr="00057271">
              <w:rPr>
                <w:sz w:val="18"/>
              </w:rPr>
              <w:t>Service / Application</w:t>
            </w:r>
          </w:p>
        </w:tc>
        <w:tc>
          <w:tcPr>
            <w:tcW w:w="2126" w:type="dxa"/>
          </w:tcPr>
          <w:p w14:paraId="23D21EB6" w14:textId="6F9AB98B" w:rsidR="005A63D8" w:rsidRPr="00057271" w:rsidRDefault="005A63D8" w:rsidP="00057271">
            <w:pPr>
              <w:spacing w:before="40" w:after="40"/>
              <w:jc w:val="left"/>
              <w:rPr>
                <w:sz w:val="18"/>
              </w:rPr>
            </w:pPr>
            <w:r w:rsidRPr="00057271">
              <w:rPr>
                <w:sz w:val="18"/>
              </w:rPr>
              <w:t>Frequency range</w:t>
            </w:r>
          </w:p>
        </w:tc>
        <w:tc>
          <w:tcPr>
            <w:tcW w:w="2835" w:type="dxa"/>
          </w:tcPr>
          <w:p w14:paraId="76593EA0" w14:textId="7D2B4C8E" w:rsidR="001D2095" w:rsidRDefault="00EA6865" w:rsidP="00057271">
            <w:pPr>
              <w:spacing w:before="40" w:after="40"/>
              <w:jc w:val="left"/>
              <w:rPr>
                <w:sz w:val="18"/>
              </w:rPr>
            </w:pPr>
            <w:r>
              <w:rPr>
                <w:sz w:val="18"/>
              </w:rPr>
              <w:t>Methodology</w:t>
            </w:r>
            <w:r w:rsidR="001D2095">
              <w:rPr>
                <w:sz w:val="18"/>
              </w:rPr>
              <w:t xml:space="preserve"> of study</w:t>
            </w:r>
          </w:p>
          <w:p w14:paraId="4EF0F2D9" w14:textId="2A46B9F9" w:rsidR="005A63D8" w:rsidRPr="00057271" w:rsidRDefault="005A63D8" w:rsidP="00057271">
            <w:pPr>
              <w:spacing w:before="40" w:after="40"/>
              <w:jc w:val="left"/>
              <w:rPr>
                <w:sz w:val="18"/>
              </w:rPr>
            </w:pPr>
            <w:r w:rsidRPr="00057271">
              <w:rPr>
                <w:sz w:val="18"/>
              </w:rPr>
              <w:t>in ECC Report 172</w:t>
            </w:r>
          </w:p>
        </w:tc>
        <w:tc>
          <w:tcPr>
            <w:tcW w:w="6521" w:type="dxa"/>
          </w:tcPr>
          <w:p w14:paraId="4AB9FE6A" w14:textId="0124DA47" w:rsidR="005A63D8" w:rsidRDefault="00EA6865" w:rsidP="005A63D8">
            <w:pPr>
              <w:spacing w:before="40" w:after="40"/>
              <w:jc w:val="left"/>
              <w:rPr>
                <w:sz w:val="18"/>
              </w:rPr>
            </w:pPr>
            <w:r>
              <w:rPr>
                <w:sz w:val="18"/>
              </w:rPr>
              <w:t>Conclusions</w:t>
            </w:r>
            <w:r w:rsidR="005A63D8">
              <w:rPr>
                <w:sz w:val="18"/>
              </w:rPr>
              <w:t xml:space="preserve"> from ECC Report 172</w:t>
            </w:r>
            <w:r w:rsidR="009765F7">
              <w:rPr>
                <w:sz w:val="18"/>
              </w:rPr>
              <w:t xml:space="preserve"> </w:t>
            </w:r>
            <w:proofErr w:type="spellStart"/>
            <w:r w:rsidR="009765F7">
              <w:rPr>
                <w:sz w:val="18"/>
              </w:rPr>
              <w:t>wrt</w:t>
            </w:r>
            <w:proofErr w:type="spellEnd"/>
            <w:r w:rsidR="009765F7">
              <w:rPr>
                <w:sz w:val="18"/>
              </w:rPr>
              <w:t>. LTE-TDD</w:t>
            </w:r>
          </w:p>
          <w:p w14:paraId="5D90847B" w14:textId="2C438728" w:rsidR="005A63D8" w:rsidRPr="005A63D8" w:rsidRDefault="005A63D8" w:rsidP="005A63D8">
            <w:pPr>
              <w:spacing w:before="40" w:after="40"/>
              <w:jc w:val="left"/>
              <w:rPr>
                <w:sz w:val="18"/>
              </w:rPr>
            </w:pPr>
            <w:r>
              <w:rPr>
                <w:sz w:val="18"/>
              </w:rPr>
              <w:t xml:space="preserve">(Summary of the resulting regulatory measure) </w:t>
            </w:r>
          </w:p>
        </w:tc>
      </w:tr>
      <w:tr w:rsidR="005A63D8" w:rsidRPr="00DE1712" w14:paraId="4013D0C6" w14:textId="0C375614" w:rsidTr="00057271">
        <w:tc>
          <w:tcPr>
            <w:tcW w:w="2405" w:type="dxa"/>
          </w:tcPr>
          <w:p w14:paraId="251FA11F" w14:textId="58C470AB" w:rsidR="005A63D8" w:rsidRPr="00057271" w:rsidRDefault="005A63D8" w:rsidP="00057271">
            <w:pPr>
              <w:pStyle w:val="ECCTabletext"/>
              <w:spacing w:before="40" w:after="40"/>
              <w:jc w:val="left"/>
              <w:rPr>
                <w:sz w:val="18"/>
              </w:rPr>
            </w:pPr>
            <w:r w:rsidRPr="00057271">
              <w:rPr>
                <w:sz w:val="18"/>
              </w:rPr>
              <w:t>RLANs</w:t>
            </w:r>
          </w:p>
        </w:tc>
        <w:tc>
          <w:tcPr>
            <w:tcW w:w="2126" w:type="dxa"/>
          </w:tcPr>
          <w:p w14:paraId="4974DDAE" w14:textId="3E322B0D" w:rsidR="005A63D8" w:rsidRPr="00057271" w:rsidRDefault="005A63D8" w:rsidP="00057271">
            <w:pPr>
              <w:pStyle w:val="ECCTabletext"/>
              <w:spacing w:before="40" w:after="40"/>
              <w:jc w:val="left"/>
              <w:rPr>
                <w:sz w:val="18"/>
              </w:rPr>
            </w:pPr>
            <w:r w:rsidRPr="00057271">
              <w:rPr>
                <w:sz w:val="18"/>
              </w:rPr>
              <w:t>2400-2485 MHz</w:t>
            </w:r>
          </w:p>
        </w:tc>
        <w:tc>
          <w:tcPr>
            <w:tcW w:w="2835" w:type="dxa"/>
          </w:tcPr>
          <w:p w14:paraId="236937A0" w14:textId="25AA771A" w:rsidR="005A63D8" w:rsidRPr="00057271" w:rsidRDefault="005A63D8" w:rsidP="00057271">
            <w:pPr>
              <w:pStyle w:val="ECCTabletext"/>
              <w:spacing w:before="40" w:after="40"/>
              <w:jc w:val="left"/>
              <w:rPr>
                <w:sz w:val="18"/>
              </w:rPr>
            </w:pPr>
            <w:r w:rsidRPr="00057271">
              <w:rPr>
                <w:sz w:val="18"/>
              </w:rPr>
              <w:t>Simulations</w:t>
            </w:r>
          </w:p>
        </w:tc>
        <w:tc>
          <w:tcPr>
            <w:tcW w:w="6521" w:type="dxa"/>
          </w:tcPr>
          <w:p w14:paraId="41EDE640" w14:textId="427DC055" w:rsidR="008F55ED" w:rsidRPr="00057271" w:rsidRDefault="008F55ED" w:rsidP="00057271">
            <w:pPr>
              <w:rPr>
                <w:i/>
                <w:sz w:val="18"/>
                <w:szCs w:val="18"/>
              </w:rPr>
            </w:pPr>
            <w:r w:rsidRPr="00057271">
              <w:rPr>
                <w:i/>
                <w:sz w:val="18"/>
                <w:szCs w:val="18"/>
              </w:rPr>
              <w:t>The results for the impact of macro LTE TDD BS on WLAN show that coexistence is feasible for indoor WLAN systems at antenna height of 1.5 m with an interference probability smaller than 1%. The outdoor placed WLAN systems at 10 m height (worst case) will have very high interference probability. For the indoor case, WLAN AP interfering the Pico LTE TDD BS, there is a degradation in average bit rate. The results clearly show that increasing the offset frequency of LTE TDD decreases the bit rate degradation significantly. In all scenarios it is shown that using WLAN channel 5 instead of channel 1 will improve the situation significantly so that the coexistence between LTE TDD and WLAN would be feasible without mutual harmful interference.</w:t>
            </w:r>
          </w:p>
        </w:tc>
      </w:tr>
      <w:tr w:rsidR="005A63D8" w:rsidRPr="00DE1712" w14:paraId="58C010DE" w14:textId="5EA70CCD" w:rsidTr="00057271">
        <w:tc>
          <w:tcPr>
            <w:tcW w:w="2405" w:type="dxa"/>
          </w:tcPr>
          <w:p w14:paraId="70D145C8" w14:textId="17A7F112" w:rsidR="005A63D8" w:rsidRPr="00057271" w:rsidRDefault="005A63D8" w:rsidP="00057271">
            <w:pPr>
              <w:pStyle w:val="ECCTabletext"/>
              <w:spacing w:before="40" w:after="40"/>
              <w:jc w:val="left"/>
              <w:rPr>
                <w:sz w:val="18"/>
              </w:rPr>
            </w:pPr>
            <w:r w:rsidRPr="00057271">
              <w:rPr>
                <w:sz w:val="18"/>
              </w:rPr>
              <w:t>Bluetooth</w:t>
            </w:r>
          </w:p>
        </w:tc>
        <w:tc>
          <w:tcPr>
            <w:tcW w:w="2126" w:type="dxa"/>
          </w:tcPr>
          <w:p w14:paraId="276F061D" w14:textId="7AA06609" w:rsidR="005A63D8" w:rsidRPr="00057271" w:rsidRDefault="00227642" w:rsidP="00057271">
            <w:pPr>
              <w:pStyle w:val="ECCTabletext"/>
              <w:spacing w:before="40" w:after="40"/>
              <w:jc w:val="left"/>
              <w:rPr>
                <w:sz w:val="18"/>
              </w:rPr>
            </w:pPr>
            <w:r w:rsidRPr="00E949EF">
              <w:rPr>
                <w:sz w:val="18"/>
              </w:rPr>
              <w:t>2400-2485 MHz</w:t>
            </w:r>
          </w:p>
        </w:tc>
        <w:tc>
          <w:tcPr>
            <w:tcW w:w="2835" w:type="dxa"/>
          </w:tcPr>
          <w:p w14:paraId="694A5522" w14:textId="6FB6B7AA" w:rsidR="005A63D8" w:rsidRPr="00057271" w:rsidRDefault="00227642" w:rsidP="00057271">
            <w:pPr>
              <w:pStyle w:val="ECCTabletext"/>
              <w:spacing w:before="40" w:after="40"/>
              <w:jc w:val="left"/>
              <w:rPr>
                <w:sz w:val="18"/>
                <w:szCs w:val="18"/>
              </w:rPr>
            </w:pPr>
            <w:r w:rsidRPr="0025130A">
              <w:rPr>
                <w:sz w:val="18"/>
                <w:szCs w:val="18"/>
              </w:rPr>
              <w:t>Link budget analysis</w:t>
            </w:r>
          </w:p>
        </w:tc>
        <w:tc>
          <w:tcPr>
            <w:tcW w:w="6521" w:type="dxa"/>
          </w:tcPr>
          <w:p w14:paraId="3D9EBCA4" w14:textId="0DBA749C" w:rsidR="00011EF4" w:rsidRPr="00057271" w:rsidRDefault="00E1513C" w:rsidP="00011EF4">
            <w:pPr>
              <w:rPr>
                <w:i/>
                <w:sz w:val="18"/>
                <w:szCs w:val="18"/>
              </w:rPr>
            </w:pPr>
            <w:r w:rsidRPr="00057271">
              <w:rPr>
                <w:i/>
                <w:sz w:val="18"/>
                <w:szCs w:val="18"/>
              </w:rPr>
              <w:t>…</w:t>
            </w:r>
            <w:r w:rsidR="00011EF4" w:rsidRPr="00057271">
              <w:rPr>
                <w:i/>
                <w:sz w:val="18"/>
                <w:szCs w:val="18"/>
              </w:rPr>
              <w:t>In certain worst case scenarios when Bluetooth is operating close to the 2400 MHz band edge there can be interference issues.</w:t>
            </w:r>
          </w:p>
          <w:p w14:paraId="49A2EF5C" w14:textId="6D4860D5" w:rsidR="005A63D8" w:rsidRPr="00057271" w:rsidRDefault="00011EF4" w:rsidP="00057271">
            <w:pPr>
              <w:rPr>
                <w:i/>
                <w:sz w:val="18"/>
                <w:szCs w:val="18"/>
              </w:rPr>
            </w:pPr>
            <w:r w:rsidRPr="00057271">
              <w:rPr>
                <w:i/>
                <w:sz w:val="18"/>
                <w:szCs w:val="18"/>
              </w:rPr>
              <w:t>Fortunately in this situation the device has full control over the choice of Bluetooth channels and may allocate them such that frequency usage close to the 2400 MHz edge is avoided by means of adaptive frequency hopping</w:t>
            </w:r>
            <w:r w:rsidR="00E1513C" w:rsidRPr="00057271">
              <w:rPr>
                <w:i/>
                <w:sz w:val="18"/>
                <w:szCs w:val="18"/>
              </w:rPr>
              <w:t>…</w:t>
            </w:r>
          </w:p>
        </w:tc>
      </w:tr>
      <w:tr w:rsidR="009765F7" w:rsidRPr="00DE1712" w14:paraId="066E3D20" w14:textId="77777777" w:rsidTr="00057271">
        <w:tc>
          <w:tcPr>
            <w:tcW w:w="2405" w:type="dxa"/>
          </w:tcPr>
          <w:p w14:paraId="3B95D7F2" w14:textId="2226E2BF" w:rsidR="009765F7" w:rsidRPr="005A63D8" w:rsidRDefault="009765F7" w:rsidP="005A63D8">
            <w:pPr>
              <w:pStyle w:val="ECCTabletext"/>
              <w:spacing w:before="40" w:after="40"/>
              <w:jc w:val="left"/>
              <w:rPr>
                <w:sz w:val="18"/>
              </w:rPr>
            </w:pPr>
            <w:r>
              <w:rPr>
                <w:sz w:val="18"/>
              </w:rPr>
              <w:t>BWS</w:t>
            </w:r>
          </w:p>
        </w:tc>
        <w:tc>
          <w:tcPr>
            <w:tcW w:w="2126" w:type="dxa"/>
          </w:tcPr>
          <w:p w14:paraId="7E8A43D7" w14:textId="4DE17686" w:rsidR="009765F7" w:rsidRPr="005A63D8" w:rsidRDefault="009765F7" w:rsidP="005A63D8">
            <w:pPr>
              <w:pStyle w:val="ECCTabletext"/>
              <w:spacing w:before="40" w:after="40"/>
              <w:jc w:val="left"/>
              <w:rPr>
                <w:sz w:val="18"/>
              </w:rPr>
            </w:pPr>
            <w:r>
              <w:rPr>
                <w:sz w:val="18"/>
              </w:rPr>
              <w:t>2300-2400 MHz</w:t>
            </w:r>
          </w:p>
        </w:tc>
        <w:tc>
          <w:tcPr>
            <w:tcW w:w="2835" w:type="dxa"/>
          </w:tcPr>
          <w:p w14:paraId="195982A6" w14:textId="5D8CE086" w:rsidR="009765F7" w:rsidRPr="005A63D8" w:rsidRDefault="009765F7" w:rsidP="005A63D8">
            <w:pPr>
              <w:pStyle w:val="ECCTabletext"/>
              <w:spacing w:before="40" w:after="40"/>
              <w:jc w:val="left"/>
              <w:rPr>
                <w:sz w:val="18"/>
              </w:rPr>
            </w:pPr>
            <w:r>
              <w:rPr>
                <w:sz w:val="18"/>
              </w:rPr>
              <w:t>Minimum coupling loss</w:t>
            </w:r>
          </w:p>
        </w:tc>
        <w:tc>
          <w:tcPr>
            <w:tcW w:w="6521" w:type="dxa"/>
          </w:tcPr>
          <w:p w14:paraId="19F5D161" w14:textId="4925E57B" w:rsidR="009765F7" w:rsidRPr="00057271" w:rsidRDefault="009765F7" w:rsidP="005A63D8">
            <w:pPr>
              <w:pStyle w:val="ECCTabletext"/>
              <w:spacing w:before="40" w:after="40"/>
              <w:jc w:val="left"/>
              <w:rPr>
                <w:i/>
                <w:sz w:val="18"/>
              </w:rPr>
            </w:pPr>
            <w:r w:rsidRPr="00057271">
              <w:rPr>
                <w:i/>
                <w:sz w:val="18"/>
              </w:rPr>
              <w:t>It can be concluded that two BWS BSs, operating in close proximity and in adjacent frequency blocks, should be synchronized and coordinated in order to be able to use high power amplifiers and antennas. In case of non-synchronized systems the necessary frequency separation will be large or the output power will be very low.</w:t>
            </w:r>
          </w:p>
        </w:tc>
      </w:tr>
      <w:tr w:rsidR="005A63D8" w:rsidRPr="00DE1712" w14:paraId="00E5F405" w14:textId="0AC582ED" w:rsidTr="00057271">
        <w:tc>
          <w:tcPr>
            <w:tcW w:w="2405" w:type="dxa"/>
          </w:tcPr>
          <w:p w14:paraId="14BF0CA7" w14:textId="20D8041A" w:rsidR="005A63D8" w:rsidRPr="00057271" w:rsidRDefault="005A63D8" w:rsidP="00057271">
            <w:pPr>
              <w:pStyle w:val="ECCTabletext"/>
              <w:spacing w:before="40" w:after="40"/>
              <w:jc w:val="left"/>
              <w:rPr>
                <w:sz w:val="18"/>
              </w:rPr>
            </w:pPr>
            <w:r w:rsidRPr="00057271">
              <w:rPr>
                <w:sz w:val="18"/>
              </w:rPr>
              <w:t>SRS - Space Research (Space to Earth)</w:t>
            </w:r>
          </w:p>
        </w:tc>
        <w:tc>
          <w:tcPr>
            <w:tcW w:w="2126" w:type="dxa"/>
          </w:tcPr>
          <w:p w14:paraId="00551F10" w14:textId="1A2214A4" w:rsidR="005A63D8" w:rsidRPr="00057271" w:rsidRDefault="005A63D8" w:rsidP="00057271">
            <w:pPr>
              <w:pStyle w:val="ECCTabletext"/>
              <w:spacing w:before="40" w:after="40"/>
              <w:jc w:val="left"/>
              <w:rPr>
                <w:sz w:val="18"/>
              </w:rPr>
            </w:pPr>
            <w:r w:rsidRPr="00057271">
              <w:rPr>
                <w:sz w:val="18"/>
              </w:rPr>
              <w:t>2200-2290 MHz</w:t>
            </w:r>
          </w:p>
        </w:tc>
        <w:tc>
          <w:tcPr>
            <w:tcW w:w="2835" w:type="dxa"/>
          </w:tcPr>
          <w:p w14:paraId="5C956BB9" w14:textId="287E9E16" w:rsidR="005A63D8" w:rsidRPr="00057271" w:rsidRDefault="005A63D8" w:rsidP="00057271">
            <w:pPr>
              <w:pStyle w:val="ECCTabletext"/>
              <w:spacing w:before="40" w:after="40"/>
              <w:jc w:val="left"/>
              <w:rPr>
                <w:sz w:val="18"/>
              </w:rPr>
            </w:pPr>
            <w:r w:rsidRPr="00057271">
              <w:rPr>
                <w:sz w:val="18"/>
              </w:rPr>
              <w:t>Link budget analysis</w:t>
            </w:r>
          </w:p>
        </w:tc>
        <w:tc>
          <w:tcPr>
            <w:tcW w:w="6521" w:type="dxa"/>
          </w:tcPr>
          <w:p w14:paraId="563C8428" w14:textId="1AA739CC" w:rsidR="005A63D8" w:rsidRPr="00057271" w:rsidRDefault="008F55ED" w:rsidP="00057271">
            <w:r w:rsidRPr="00057271">
              <w:rPr>
                <w:sz w:val="18"/>
              </w:rPr>
              <w:t>In conclusion, BWS does not have any considerable negative impact on space to space service.</w:t>
            </w:r>
          </w:p>
        </w:tc>
      </w:tr>
      <w:tr w:rsidR="005A63D8" w:rsidRPr="00DE1712" w14:paraId="4E197815" w14:textId="6AA6C600" w:rsidTr="00057271">
        <w:tc>
          <w:tcPr>
            <w:tcW w:w="2405" w:type="dxa"/>
          </w:tcPr>
          <w:p w14:paraId="561BE8D6" w14:textId="1C8388E9" w:rsidR="005A63D8" w:rsidRPr="00057271" w:rsidRDefault="005A63D8" w:rsidP="00057271">
            <w:pPr>
              <w:pStyle w:val="ECCTabletext"/>
              <w:spacing w:before="40" w:after="40"/>
              <w:jc w:val="left"/>
              <w:rPr>
                <w:sz w:val="18"/>
              </w:rPr>
            </w:pPr>
            <w:r w:rsidRPr="00057271">
              <w:rPr>
                <w:sz w:val="18"/>
              </w:rPr>
              <w:lastRenderedPageBreak/>
              <w:t>SRS - Space Research (deep Space)</w:t>
            </w:r>
          </w:p>
        </w:tc>
        <w:tc>
          <w:tcPr>
            <w:tcW w:w="2126" w:type="dxa"/>
          </w:tcPr>
          <w:p w14:paraId="07C04A10" w14:textId="7D282117" w:rsidR="005A63D8" w:rsidRPr="00057271" w:rsidRDefault="005A63D8" w:rsidP="00057271">
            <w:pPr>
              <w:pStyle w:val="ECCTabletext"/>
              <w:spacing w:before="40" w:after="40"/>
              <w:jc w:val="left"/>
              <w:rPr>
                <w:sz w:val="18"/>
              </w:rPr>
            </w:pPr>
            <w:r w:rsidRPr="00057271">
              <w:rPr>
                <w:sz w:val="18"/>
              </w:rPr>
              <w:t>2290-2300 MHz</w:t>
            </w:r>
          </w:p>
        </w:tc>
        <w:tc>
          <w:tcPr>
            <w:tcW w:w="2835" w:type="dxa"/>
          </w:tcPr>
          <w:p w14:paraId="76E60600" w14:textId="078A7661" w:rsidR="005A63D8" w:rsidRPr="00057271" w:rsidRDefault="005A63D8" w:rsidP="00057271">
            <w:pPr>
              <w:pStyle w:val="ECCTabletext"/>
              <w:spacing w:before="40" w:after="40"/>
              <w:jc w:val="left"/>
              <w:rPr>
                <w:sz w:val="18"/>
              </w:rPr>
            </w:pPr>
            <w:r w:rsidRPr="00057271">
              <w:rPr>
                <w:sz w:val="18"/>
              </w:rPr>
              <w:t>Simulations</w:t>
            </w:r>
          </w:p>
        </w:tc>
        <w:tc>
          <w:tcPr>
            <w:tcW w:w="6521" w:type="dxa"/>
          </w:tcPr>
          <w:p w14:paraId="1B06D52E" w14:textId="1B51D0D1" w:rsidR="005A63D8" w:rsidRPr="00057271" w:rsidRDefault="009765F7" w:rsidP="005A63D8">
            <w:pPr>
              <w:pStyle w:val="ECCTabletext"/>
              <w:spacing w:before="40" w:after="40"/>
              <w:jc w:val="left"/>
              <w:rPr>
                <w:i/>
                <w:sz w:val="18"/>
              </w:rPr>
            </w:pPr>
            <w:r w:rsidRPr="00057271">
              <w:rPr>
                <w:i/>
                <w:sz w:val="18"/>
              </w:rPr>
              <w:t>It can be concluded that having a very sensitive Deep Space earth station receiver close to a broadband wireless system such as LTE TDD might require some mitigation techniques.</w:t>
            </w:r>
          </w:p>
        </w:tc>
      </w:tr>
      <w:tr w:rsidR="005A63D8" w:rsidRPr="00DE1712" w14:paraId="1E05BEC2" w14:textId="702CFDC1" w:rsidTr="00057271">
        <w:tc>
          <w:tcPr>
            <w:tcW w:w="2405" w:type="dxa"/>
          </w:tcPr>
          <w:p w14:paraId="0277A26B" w14:textId="0CB7B10F" w:rsidR="005A63D8" w:rsidRPr="00057271" w:rsidRDefault="005A63D8" w:rsidP="00057271">
            <w:pPr>
              <w:pStyle w:val="ECCTabletext"/>
              <w:spacing w:before="40" w:after="40"/>
              <w:jc w:val="left"/>
              <w:rPr>
                <w:sz w:val="18"/>
              </w:rPr>
            </w:pPr>
            <w:r w:rsidRPr="00057271">
              <w:rPr>
                <w:sz w:val="18"/>
              </w:rPr>
              <w:t>RAS</w:t>
            </w:r>
          </w:p>
        </w:tc>
        <w:tc>
          <w:tcPr>
            <w:tcW w:w="2126" w:type="dxa"/>
          </w:tcPr>
          <w:p w14:paraId="429EA0FD" w14:textId="2FA11AF2" w:rsidR="005A63D8" w:rsidRPr="00057271" w:rsidRDefault="005A63D8" w:rsidP="00057271">
            <w:pPr>
              <w:pStyle w:val="ECCTabletext"/>
              <w:spacing w:before="40" w:after="40"/>
              <w:jc w:val="left"/>
              <w:rPr>
                <w:sz w:val="18"/>
              </w:rPr>
            </w:pPr>
            <w:r w:rsidRPr="00057271">
              <w:rPr>
                <w:sz w:val="18"/>
              </w:rPr>
              <w:t>Below 2300 MHz</w:t>
            </w:r>
          </w:p>
        </w:tc>
        <w:tc>
          <w:tcPr>
            <w:tcW w:w="2835" w:type="dxa"/>
          </w:tcPr>
          <w:p w14:paraId="5A92D3A4" w14:textId="529377A0" w:rsidR="005A63D8" w:rsidRPr="00057271" w:rsidRDefault="005A63D8" w:rsidP="00057271">
            <w:pPr>
              <w:pStyle w:val="ECCTabletext"/>
              <w:spacing w:before="40" w:after="40"/>
              <w:jc w:val="left"/>
              <w:rPr>
                <w:sz w:val="18"/>
              </w:rPr>
            </w:pPr>
            <w:r w:rsidRPr="00057271">
              <w:rPr>
                <w:sz w:val="18"/>
              </w:rPr>
              <w:t>Minimum coupling loss</w:t>
            </w:r>
          </w:p>
        </w:tc>
        <w:tc>
          <w:tcPr>
            <w:tcW w:w="6521" w:type="dxa"/>
          </w:tcPr>
          <w:p w14:paraId="090FD039" w14:textId="1FCD68D4" w:rsidR="005A63D8" w:rsidRPr="00057271" w:rsidRDefault="002F34B8" w:rsidP="00057271">
            <w:pPr>
              <w:pStyle w:val="ECCTabletext"/>
              <w:spacing w:before="40" w:after="40"/>
              <w:rPr>
                <w:i/>
                <w:sz w:val="18"/>
                <w:lang w:val="en-US"/>
              </w:rPr>
            </w:pPr>
            <w:r w:rsidRPr="00057271">
              <w:rPr>
                <w:i/>
                <w:sz w:val="18"/>
                <w:lang w:val="en-US"/>
              </w:rPr>
              <w:t>Regarding co-existence with radio astronomy earth stations, it was shown that protection of these stations can be achieved for example by a suitable co-ordination zone around the relatively few observatory stations</w:t>
            </w:r>
          </w:p>
        </w:tc>
      </w:tr>
      <w:tr w:rsidR="005A63D8" w:rsidRPr="00DE1712" w14:paraId="64BBE490" w14:textId="77777777" w:rsidTr="00057271">
        <w:tc>
          <w:tcPr>
            <w:tcW w:w="2405" w:type="dxa"/>
          </w:tcPr>
          <w:p w14:paraId="772BDEB2" w14:textId="7E1052A7" w:rsidR="005A63D8" w:rsidRPr="005A63D8" w:rsidRDefault="005A63D8" w:rsidP="005A63D8">
            <w:pPr>
              <w:pStyle w:val="ECCTabletext"/>
              <w:spacing w:before="40" w:after="40"/>
              <w:jc w:val="left"/>
              <w:rPr>
                <w:sz w:val="18"/>
              </w:rPr>
            </w:pPr>
            <w:r w:rsidRPr="00E949EF">
              <w:rPr>
                <w:sz w:val="18"/>
              </w:rPr>
              <w:t>Telemetry</w:t>
            </w:r>
            <w:r w:rsidR="006D1E27">
              <w:rPr>
                <w:sz w:val="18"/>
              </w:rPr>
              <w:t xml:space="preserve"> (Defence)</w:t>
            </w:r>
          </w:p>
        </w:tc>
        <w:tc>
          <w:tcPr>
            <w:tcW w:w="2126" w:type="dxa"/>
          </w:tcPr>
          <w:p w14:paraId="690B4D2B" w14:textId="0D6F1E55" w:rsidR="005A63D8" w:rsidRPr="005A63D8" w:rsidRDefault="00CE5220" w:rsidP="005A63D8">
            <w:pPr>
              <w:pStyle w:val="ECCTabletext"/>
              <w:spacing w:before="40" w:after="40"/>
              <w:jc w:val="left"/>
              <w:rPr>
                <w:sz w:val="18"/>
              </w:rPr>
            </w:pPr>
            <w:r>
              <w:rPr>
                <w:sz w:val="18"/>
              </w:rPr>
              <w:t>2200-2400MHz</w:t>
            </w:r>
          </w:p>
        </w:tc>
        <w:tc>
          <w:tcPr>
            <w:tcW w:w="2835" w:type="dxa"/>
          </w:tcPr>
          <w:p w14:paraId="719C6A39" w14:textId="16729219" w:rsidR="005A63D8" w:rsidRPr="005A63D8" w:rsidRDefault="00FF0CF6" w:rsidP="005A63D8">
            <w:pPr>
              <w:pStyle w:val="ECCTabletext"/>
              <w:spacing w:before="40" w:after="40"/>
              <w:jc w:val="left"/>
              <w:rPr>
                <w:sz w:val="18"/>
              </w:rPr>
            </w:pPr>
            <w:r w:rsidRPr="0004548D">
              <w:rPr>
                <w:sz w:val="18"/>
              </w:rPr>
              <w:t>Minimum coupling loss</w:t>
            </w:r>
          </w:p>
        </w:tc>
        <w:tc>
          <w:tcPr>
            <w:tcW w:w="6521" w:type="dxa"/>
          </w:tcPr>
          <w:p w14:paraId="6F581B68" w14:textId="77777777" w:rsidR="00DB4794" w:rsidRDefault="00DB4794" w:rsidP="00057271">
            <w:pPr>
              <w:rPr>
                <w:i/>
                <w:sz w:val="18"/>
              </w:rPr>
            </w:pPr>
            <w:r w:rsidRPr="0004548D">
              <w:rPr>
                <w:sz w:val="18"/>
                <w:lang w:val="en-US"/>
              </w:rPr>
              <w:t>From 0,7km to 170Km distance separation is needed</w:t>
            </w:r>
            <w:r w:rsidRPr="0025130A">
              <w:rPr>
                <w:i/>
                <w:sz w:val="18"/>
              </w:rPr>
              <w:t xml:space="preserve"> </w:t>
            </w:r>
          </w:p>
          <w:p w14:paraId="18A3F35D" w14:textId="034CF5ED" w:rsidR="005A63D8" w:rsidRPr="00057271" w:rsidRDefault="00CE5220" w:rsidP="00057271">
            <w:pPr>
              <w:rPr>
                <w:i/>
              </w:rPr>
            </w:pPr>
            <w:r w:rsidRPr="00057271">
              <w:rPr>
                <w:i/>
                <w:sz w:val="18"/>
              </w:rPr>
              <w:t xml:space="preserve">This study provides a worst-case analysis </w:t>
            </w:r>
            <w:r w:rsidRPr="00057271">
              <w:rPr>
                <w:rFonts w:cs="Arial"/>
                <w:i/>
                <w:sz w:val="18"/>
                <w:szCs w:val="20"/>
              </w:rPr>
              <w:t xml:space="preserve">regarding telemetry. The results of this deterministic study show that </w:t>
            </w:r>
            <w:r w:rsidRPr="00057271">
              <w:rPr>
                <w:i/>
                <w:sz w:val="18"/>
              </w:rPr>
              <w:t>in a co-channel configuration, large separation distances are needed to avoid harmful interference on telemetry system from LTE (and vice versa).In adjacent channel, the separation distances decrease drastically so that the operation of TLM and LTE is possible. Some reasonable mitigation techniques may however be needed to ensure that no interference occurs when the airborne TLM is in the main lobe of the LTE base station antenna. In practice, depending on the trajectory of the aircraft, an airborne TLM might not stay in the LTE base station main beam for a long time.</w:t>
            </w:r>
          </w:p>
        </w:tc>
      </w:tr>
      <w:tr w:rsidR="006D1E27" w:rsidRPr="00DE1712" w14:paraId="34CE115D" w14:textId="77777777" w:rsidTr="001D2095">
        <w:tc>
          <w:tcPr>
            <w:tcW w:w="2405" w:type="dxa"/>
          </w:tcPr>
          <w:p w14:paraId="06DD4442" w14:textId="3467714C" w:rsidR="006D1E27" w:rsidRPr="0025130A" w:rsidRDefault="006D1E27" w:rsidP="005A63D8">
            <w:pPr>
              <w:pStyle w:val="ECCTabletext"/>
              <w:spacing w:before="40" w:after="40"/>
              <w:jc w:val="left"/>
              <w:rPr>
                <w:sz w:val="18"/>
                <w:szCs w:val="18"/>
              </w:rPr>
            </w:pPr>
            <w:r w:rsidRPr="0025130A">
              <w:rPr>
                <w:sz w:val="18"/>
                <w:szCs w:val="18"/>
              </w:rPr>
              <w:t>UAS</w:t>
            </w:r>
          </w:p>
        </w:tc>
        <w:tc>
          <w:tcPr>
            <w:tcW w:w="2126" w:type="dxa"/>
          </w:tcPr>
          <w:p w14:paraId="71904A40" w14:textId="1F71F30B" w:rsidR="006D1E27" w:rsidRPr="0025130A" w:rsidRDefault="006D1E27" w:rsidP="005A63D8">
            <w:pPr>
              <w:pStyle w:val="ECCTabletext"/>
              <w:spacing w:before="40" w:after="40"/>
              <w:jc w:val="left"/>
              <w:rPr>
                <w:sz w:val="18"/>
                <w:szCs w:val="18"/>
              </w:rPr>
            </w:pPr>
            <w:r>
              <w:rPr>
                <w:sz w:val="18"/>
                <w:szCs w:val="18"/>
              </w:rPr>
              <w:t>In band</w:t>
            </w:r>
          </w:p>
        </w:tc>
        <w:tc>
          <w:tcPr>
            <w:tcW w:w="2835" w:type="dxa"/>
          </w:tcPr>
          <w:p w14:paraId="477D74E2" w14:textId="6441892F" w:rsidR="006D1E27" w:rsidRPr="0025130A" w:rsidRDefault="00FF0CF6" w:rsidP="005A63D8">
            <w:pPr>
              <w:pStyle w:val="ECCTabletext"/>
              <w:spacing w:before="40" w:after="40"/>
              <w:jc w:val="left"/>
              <w:rPr>
                <w:sz w:val="18"/>
                <w:szCs w:val="18"/>
              </w:rPr>
            </w:pPr>
            <w:r w:rsidRPr="0004548D">
              <w:rPr>
                <w:sz w:val="18"/>
              </w:rPr>
              <w:t>Minimum coupling loss</w:t>
            </w:r>
          </w:p>
        </w:tc>
        <w:tc>
          <w:tcPr>
            <w:tcW w:w="6521" w:type="dxa"/>
          </w:tcPr>
          <w:p w14:paraId="32F9D0DA" w14:textId="5FE0E0F7" w:rsidR="006D1E27" w:rsidRPr="00057271" w:rsidRDefault="006D1E27" w:rsidP="00CE5220">
            <w:pPr>
              <w:rPr>
                <w:i/>
                <w:sz w:val="18"/>
                <w:szCs w:val="18"/>
              </w:rPr>
            </w:pPr>
            <w:r w:rsidRPr="00057271">
              <w:rPr>
                <w:i/>
                <w:sz w:val="18"/>
                <w:szCs w:val="18"/>
              </w:rPr>
              <w:t>The results show that LTE and UAS cannot share spectrum on a co-channel basis. Frequency separation, geographical separation, time sharing or a combination of these mitigation methods help to ensure coexistence. It needs to be mentioned that constraints from LTE on UAS are almost the same as constraints from UAS on LTE.</w:t>
            </w:r>
          </w:p>
        </w:tc>
      </w:tr>
      <w:tr w:rsidR="005A63D8" w:rsidRPr="00DE1712" w14:paraId="559FF4AC" w14:textId="43B72AB2" w:rsidTr="00057271">
        <w:tc>
          <w:tcPr>
            <w:tcW w:w="2405" w:type="dxa"/>
          </w:tcPr>
          <w:p w14:paraId="3130841A" w14:textId="616A142D" w:rsidR="005A63D8" w:rsidRPr="00057271" w:rsidRDefault="005A63D8" w:rsidP="00057271">
            <w:pPr>
              <w:pStyle w:val="ECCTabletext"/>
              <w:spacing w:before="40" w:after="40"/>
              <w:jc w:val="left"/>
              <w:rPr>
                <w:sz w:val="18"/>
              </w:rPr>
            </w:pPr>
            <w:r w:rsidRPr="00057271">
              <w:rPr>
                <w:sz w:val="18"/>
              </w:rPr>
              <w:t>Fixed Service</w:t>
            </w:r>
          </w:p>
        </w:tc>
        <w:tc>
          <w:tcPr>
            <w:tcW w:w="2126" w:type="dxa"/>
          </w:tcPr>
          <w:p w14:paraId="2D48B443" w14:textId="554C8607" w:rsidR="001D2095" w:rsidRPr="00057271" w:rsidRDefault="001D2095" w:rsidP="00057271">
            <w:pPr>
              <w:pStyle w:val="ECCTabletext"/>
              <w:spacing w:before="40" w:after="40"/>
              <w:jc w:val="left"/>
              <w:rPr>
                <w:sz w:val="18"/>
              </w:rPr>
            </w:pPr>
            <w:r>
              <w:rPr>
                <w:sz w:val="18"/>
              </w:rPr>
              <w:t>Below 2300 MHz</w:t>
            </w:r>
          </w:p>
        </w:tc>
        <w:tc>
          <w:tcPr>
            <w:tcW w:w="2835" w:type="dxa"/>
          </w:tcPr>
          <w:p w14:paraId="59382782" w14:textId="1A04DFAB" w:rsidR="005A63D8" w:rsidRPr="00057271" w:rsidRDefault="001D2095" w:rsidP="00057271">
            <w:pPr>
              <w:pStyle w:val="ECCTabletext"/>
              <w:spacing w:before="40" w:after="40"/>
              <w:jc w:val="left"/>
              <w:rPr>
                <w:sz w:val="18"/>
              </w:rPr>
            </w:pPr>
            <w:r>
              <w:rPr>
                <w:sz w:val="18"/>
              </w:rPr>
              <w:t>NA</w:t>
            </w:r>
          </w:p>
        </w:tc>
        <w:tc>
          <w:tcPr>
            <w:tcW w:w="6521" w:type="dxa"/>
          </w:tcPr>
          <w:p w14:paraId="64EDD41D" w14:textId="6C9317ED" w:rsidR="005A63D8" w:rsidRPr="00057271" w:rsidRDefault="001D2095" w:rsidP="005A63D8">
            <w:pPr>
              <w:pStyle w:val="ECCTabletext"/>
              <w:spacing w:before="40" w:after="40"/>
              <w:jc w:val="left"/>
              <w:rPr>
                <w:i/>
                <w:sz w:val="18"/>
              </w:rPr>
            </w:pPr>
            <w:r w:rsidRPr="00057271">
              <w:rPr>
                <w:i/>
                <w:sz w:val="18"/>
              </w:rPr>
              <w:t>Interference studies were not performed in this report as the risk of interference was, because of highly directional antennas and the probable deployment in rural areas, considered to be very low</w:t>
            </w:r>
          </w:p>
        </w:tc>
      </w:tr>
      <w:tr w:rsidR="005A63D8" w:rsidRPr="00DE1712" w14:paraId="2C4ECD2D" w14:textId="12EF5A7E" w:rsidTr="00057271">
        <w:tc>
          <w:tcPr>
            <w:tcW w:w="2405" w:type="dxa"/>
          </w:tcPr>
          <w:p w14:paraId="60B4D6A9" w14:textId="237CCEAC" w:rsidR="005A63D8" w:rsidRPr="00057271" w:rsidRDefault="005A63D8" w:rsidP="00057271">
            <w:pPr>
              <w:pStyle w:val="ECCTabletext"/>
              <w:spacing w:before="40" w:after="40"/>
              <w:jc w:val="left"/>
              <w:rPr>
                <w:sz w:val="18"/>
              </w:rPr>
            </w:pPr>
            <w:r w:rsidRPr="00057271">
              <w:rPr>
                <w:sz w:val="18"/>
              </w:rPr>
              <w:t>PMSE - Programme Making and Special Events: SAP/SAB video l</w:t>
            </w:r>
            <w:r w:rsidR="009765F7">
              <w:rPr>
                <w:sz w:val="18"/>
              </w:rPr>
              <w:t>inks</w:t>
            </w:r>
          </w:p>
        </w:tc>
        <w:tc>
          <w:tcPr>
            <w:tcW w:w="2126" w:type="dxa"/>
          </w:tcPr>
          <w:p w14:paraId="149BFC18" w14:textId="7C9C612D" w:rsidR="005A63D8" w:rsidRPr="00057271" w:rsidRDefault="009765F7" w:rsidP="00057271">
            <w:pPr>
              <w:pStyle w:val="ECCTabletext"/>
              <w:spacing w:before="40" w:after="40"/>
              <w:jc w:val="left"/>
              <w:rPr>
                <w:sz w:val="18"/>
              </w:rPr>
            </w:pPr>
            <w:r>
              <w:rPr>
                <w:sz w:val="18"/>
              </w:rPr>
              <w:t>2300-2400 MHz</w:t>
            </w:r>
          </w:p>
        </w:tc>
        <w:tc>
          <w:tcPr>
            <w:tcW w:w="2835" w:type="dxa"/>
          </w:tcPr>
          <w:p w14:paraId="3F22F15F" w14:textId="64CF37CB" w:rsidR="005A63D8" w:rsidRPr="00057271" w:rsidRDefault="009765F7" w:rsidP="00057271">
            <w:pPr>
              <w:pStyle w:val="ECCTabletext"/>
              <w:spacing w:before="40" w:after="40"/>
              <w:jc w:val="left"/>
              <w:rPr>
                <w:sz w:val="18"/>
              </w:rPr>
            </w:pPr>
            <w:r>
              <w:rPr>
                <w:sz w:val="18"/>
              </w:rPr>
              <w:t>M</w:t>
            </w:r>
            <w:r w:rsidR="005A63D8" w:rsidRPr="00057271">
              <w:rPr>
                <w:sz w:val="18"/>
              </w:rPr>
              <w:t>inimum coupling loss</w:t>
            </w:r>
          </w:p>
        </w:tc>
        <w:tc>
          <w:tcPr>
            <w:tcW w:w="6521" w:type="dxa"/>
          </w:tcPr>
          <w:p w14:paraId="6D8F592C" w14:textId="68597392" w:rsidR="009765F7" w:rsidRPr="00057271" w:rsidRDefault="009765F7" w:rsidP="00057271">
            <w:pPr>
              <w:pStyle w:val="ECCTabletext"/>
              <w:spacing w:before="40" w:after="40"/>
              <w:jc w:val="left"/>
              <w:rPr>
                <w:i/>
                <w:sz w:val="14"/>
              </w:rPr>
            </w:pPr>
            <w:r>
              <w:rPr>
                <w:sz w:val="18"/>
              </w:rPr>
              <w:t>S</w:t>
            </w:r>
            <w:r w:rsidRPr="00057271">
              <w:rPr>
                <w:sz w:val="18"/>
              </w:rPr>
              <w:t>eparation distance from some m to several 100km</w:t>
            </w:r>
          </w:p>
          <w:p w14:paraId="6CD1830C" w14:textId="77777777" w:rsidR="002A166F" w:rsidRPr="00057271" w:rsidRDefault="002A166F" w:rsidP="002A166F">
            <w:pPr>
              <w:rPr>
                <w:i/>
                <w:sz w:val="16"/>
              </w:rPr>
            </w:pPr>
            <w:r w:rsidRPr="00057271">
              <w:rPr>
                <w:i/>
                <w:sz w:val="16"/>
              </w:rPr>
              <w:t xml:space="preserve">The results regarding scenario 1 “Cordless Camera Link” indicate that coexistence can be feasible in the adjacent and alternate channel case, since the required separation distance is moderate. If the receiver performance of wireless video links and the LTE transmitter performance exceed the requirement values in </w:t>
            </w:r>
            <w:r w:rsidRPr="00057271">
              <w:rPr>
                <w:i/>
                <w:sz w:val="16"/>
              </w:rPr>
              <w:fldChar w:fldCharType="begin"/>
            </w:r>
            <w:r w:rsidRPr="00057271">
              <w:rPr>
                <w:i/>
                <w:sz w:val="16"/>
              </w:rPr>
              <w:instrText xml:space="preserve"> REF _Ref305042950 \n \h  \* MERGEFORMAT </w:instrText>
            </w:r>
            <w:r w:rsidRPr="00057271">
              <w:rPr>
                <w:i/>
                <w:sz w:val="16"/>
              </w:rPr>
            </w:r>
            <w:r w:rsidRPr="00057271">
              <w:rPr>
                <w:i/>
                <w:sz w:val="16"/>
              </w:rPr>
              <w:fldChar w:fldCharType="separate"/>
            </w:r>
            <w:r w:rsidRPr="00057271">
              <w:rPr>
                <w:i/>
                <w:sz w:val="16"/>
              </w:rPr>
              <w:t>Table 6:</w:t>
            </w:r>
            <w:r w:rsidRPr="00057271">
              <w:rPr>
                <w:i/>
                <w:sz w:val="16"/>
              </w:rPr>
              <w:fldChar w:fldCharType="end"/>
            </w:r>
            <w:r w:rsidRPr="00057271">
              <w:rPr>
                <w:i/>
                <w:sz w:val="16"/>
              </w:rPr>
              <w:t xml:space="preserve"> and </w:t>
            </w:r>
            <w:r w:rsidRPr="00057271">
              <w:rPr>
                <w:i/>
                <w:sz w:val="16"/>
              </w:rPr>
              <w:fldChar w:fldCharType="begin"/>
            </w:r>
            <w:r w:rsidRPr="00057271">
              <w:rPr>
                <w:i/>
                <w:sz w:val="16"/>
              </w:rPr>
              <w:instrText xml:space="preserve"> REF _Ref305043939 \n \h  \* MERGEFORMAT </w:instrText>
            </w:r>
            <w:r w:rsidRPr="00057271">
              <w:rPr>
                <w:i/>
                <w:sz w:val="16"/>
              </w:rPr>
            </w:r>
            <w:r w:rsidRPr="00057271">
              <w:rPr>
                <w:i/>
                <w:sz w:val="16"/>
              </w:rPr>
              <w:fldChar w:fldCharType="separate"/>
            </w:r>
            <w:r w:rsidRPr="00057271">
              <w:rPr>
                <w:i/>
                <w:sz w:val="16"/>
              </w:rPr>
              <w:t>Table 13</w:t>
            </w:r>
            <w:proofErr w:type="gramStart"/>
            <w:r w:rsidRPr="00057271">
              <w:rPr>
                <w:i/>
                <w:sz w:val="16"/>
              </w:rPr>
              <w:t>:</w:t>
            </w:r>
            <w:r w:rsidRPr="00057271">
              <w:rPr>
                <w:i/>
                <w:sz w:val="16"/>
              </w:rPr>
              <w:fldChar w:fldCharType="end"/>
            </w:r>
            <w:r w:rsidRPr="00057271">
              <w:rPr>
                <w:i/>
                <w:sz w:val="16"/>
              </w:rPr>
              <w:t>,</w:t>
            </w:r>
            <w:proofErr w:type="gramEnd"/>
            <w:r w:rsidRPr="00057271">
              <w:rPr>
                <w:i/>
                <w:sz w:val="16"/>
              </w:rPr>
              <w:t xml:space="preserve"> the observed separation distances can further be reduced to even smaller values. It has to be decided on a case-by-case basis if additional protection and sharing mechanisms have to be employed. In the co-channel case, dedicated protection and coexistence mechanisms would be required under worst case conditions.</w:t>
            </w:r>
          </w:p>
          <w:p w14:paraId="3C9D631D" w14:textId="77777777" w:rsidR="002A166F" w:rsidRPr="00057271" w:rsidRDefault="002A166F" w:rsidP="002A166F">
            <w:pPr>
              <w:rPr>
                <w:i/>
                <w:sz w:val="16"/>
              </w:rPr>
            </w:pPr>
            <w:r w:rsidRPr="00057271">
              <w:rPr>
                <w:i/>
                <w:sz w:val="16"/>
              </w:rPr>
              <w:lastRenderedPageBreak/>
              <w:t>In scenario 2 “Mobile Video Link”, such further protection and coexistence mechanisms are probably required except in the presence of a guard band of more than 20 MHz between the systems. For the case of video link as a victim, this is mainly due to the very low path loss propagation model under worst case conditions and large coverage of the receiver antenna mounted on a helicopter. This is certainly a special propagation case which calls for dedicated coordination measures. In the case of video link transmitters interfering into LTE receivers in this scenario, separation distances are significantly reduced.</w:t>
            </w:r>
          </w:p>
          <w:p w14:paraId="036F5437" w14:textId="22B56D77" w:rsidR="005A63D8" w:rsidRPr="00057271" w:rsidRDefault="002A166F" w:rsidP="00057271">
            <w:r w:rsidRPr="00057271">
              <w:rPr>
                <w:i/>
                <w:sz w:val="16"/>
              </w:rPr>
              <w:t>The results for scenario 3 “Portable Video Link” indicate that coexistence based on geographical separation is feasible at least in the alternate channel (guard band) case if on a case-by-case basis, some additional protection measures are deployed. If certain separation corridors around the main lobe of the narrow-beam video link receive antenna could be employed, geographical separation could be feasible in the adjacent channel case as well, especially if the employed devices exceed the performance limits by a significant amount. In the co-channel case, additional dedicated protection and coexistence mechanisms would be probably be required due to significant necessary separation distances.</w:t>
            </w:r>
          </w:p>
        </w:tc>
      </w:tr>
      <w:tr w:rsidR="005A63D8" w:rsidRPr="00DE1712" w14:paraId="3729743C" w14:textId="60FE7D8C" w:rsidTr="00057271">
        <w:tc>
          <w:tcPr>
            <w:tcW w:w="2405" w:type="dxa"/>
          </w:tcPr>
          <w:p w14:paraId="25863165" w14:textId="186BA7CF" w:rsidR="005A63D8" w:rsidRPr="00057271" w:rsidRDefault="005A63D8" w:rsidP="00057271">
            <w:pPr>
              <w:pStyle w:val="ECCTabletext"/>
              <w:spacing w:before="40" w:after="40"/>
              <w:jc w:val="left"/>
              <w:rPr>
                <w:sz w:val="18"/>
              </w:rPr>
            </w:pPr>
            <w:r w:rsidRPr="00057271">
              <w:rPr>
                <w:sz w:val="18"/>
              </w:rPr>
              <w:lastRenderedPageBreak/>
              <w:t>Amateur Service (secondary service)</w:t>
            </w:r>
          </w:p>
        </w:tc>
        <w:tc>
          <w:tcPr>
            <w:tcW w:w="2126" w:type="dxa"/>
          </w:tcPr>
          <w:p w14:paraId="2821C8B5" w14:textId="1EFA2C20" w:rsidR="005A63D8" w:rsidRPr="00057271" w:rsidRDefault="002A166F" w:rsidP="00057271">
            <w:pPr>
              <w:pStyle w:val="ECCTabletext"/>
              <w:spacing w:before="40" w:after="40"/>
              <w:jc w:val="left"/>
              <w:rPr>
                <w:sz w:val="18"/>
              </w:rPr>
            </w:pPr>
            <w:r>
              <w:rPr>
                <w:sz w:val="18"/>
              </w:rPr>
              <w:t>In band</w:t>
            </w:r>
          </w:p>
        </w:tc>
        <w:tc>
          <w:tcPr>
            <w:tcW w:w="2835" w:type="dxa"/>
          </w:tcPr>
          <w:p w14:paraId="331D9980" w14:textId="78910998" w:rsidR="005A63D8" w:rsidRPr="00057271" w:rsidRDefault="00227642" w:rsidP="00057271">
            <w:pPr>
              <w:pStyle w:val="ECCTabletext"/>
              <w:spacing w:before="40" w:after="40"/>
              <w:jc w:val="left"/>
              <w:rPr>
                <w:sz w:val="18"/>
              </w:rPr>
            </w:pPr>
            <w:r>
              <w:rPr>
                <w:sz w:val="18"/>
              </w:rPr>
              <w:t>M</w:t>
            </w:r>
            <w:r w:rsidRPr="00E949EF">
              <w:rPr>
                <w:sz w:val="18"/>
              </w:rPr>
              <w:t>inimum coupling loss</w:t>
            </w:r>
          </w:p>
        </w:tc>
        <w:tc>
          <w:tcPr>
            <w:tcW w:w="6521" w:type="dxa"/>
          </w:tcPr>
          <w:p w14:paraId="20C1852D" w14:textId="292D0768" w:rsidR="001D2095" w:rsidRPr="00057271" w:rsidRDefault="001D2095" w:rsidP="001D2095">
            <w:pPr>
              <w:pStyle w:val="ECCTabletext"/>
              <w:spacing w:before="40" w:after="40"/>
              <w:jc w:val="left"/>
              <w:rPr>
                <w:i/>
                <w:sz w:val="18"/>
              </w:rPr>
            </w:pPr>
            <w:r w:rsidRPr="00057271">
              <w:rPr>
                <w:i/>
                <w:sz w:val="18"/>
              </w:rPr>
              <w:t>In co-channel case where the antenna main lobes are pointing at each other, the required MCL between LTE and stations in the Amateur Service can be significant. Various mitigation techniques can be used to protect both BWS and Amateur service.</w:t>
            </w:r>
          </w:p>
          <w:p w14:paraId="1E234D36" w14:textId="3B1ED70E" w:rsidR="005A63D8" w:rsidRPr="005A63D8" w:rsidRDefault="001D2095" w:rsidP="001D2095">
            <w:pPr>
              <w:pStyle w:val="ECCTabletext"/>
              <w:spacing w:before="40" w:after="40"/>
              <w:jc w:val="left"/>
              <w:rPr>
                <w:sz w:val="18"/>
              </w:rPr>
            </w:pPr>
            <w:r w:rsidRPr="00057271">
              <w:rPr>
                <w:i/>
                <w:sz w:val="18"/>
              </w:rPr>
              <w:t>Constraints from LTE on the AS are almost the same as constraints from the AS on LTE. It should be noted that the Amateur Service is a secondary user of the band</w:t>
            </w:r>
          </w:p>
        </w:tc>
      </w:tr>
    </w:tbl>
    <w:p w14:paraId="19720CAB" w14:textId="77777777" w:rsidR="005A63D8" w:rsidRPr="00057271" w:rsidRDefault="005A63D8" w:rsidP="00057271">
      <w:pPr>
        <w:spacing w:before="0" w:after="0"/>
        <w:rPr>
          <w:sz w:val="22"/>
          <w:szCs w:val="20"/>
        </w:rPr>
      </w:pPr>
    </w:p>
    <w:p w14:paraId="475CA927" w14:textId="77777777" w:rsidR="005A63D8" w:rsidRDefault="005A63D8" w:rsidP="00057271">
      <w:pPr>
        <w:spacing w:before="0" w:after="0"/>
        <w:rPr>
          <w:sz w:val="22"/>
          <w:szCs w:val="20"/>
          <w:lang w:val="en-US"/>
        </w:rPr>
      </w:pPr>
    </w:p>
    <w:p w14:paraId="41B3D212" w14:textId="1317EBE1" w:rsidR="00521854" w:rsidRPr="00057271" w:rsidRDefault="00521854" w:rsidP="00057271">
      <w:pPr>
        <w:spacing w:before="0" w:after="0"/>
        <w:rPr>
          <w:sz w:val="22"/>
          <w:szCs w:val="20"/>
          <w:lang w:val="en-US"/>
        </w:rPr>
      </w:pPr>
    </w:p>
    <w:bookmarkEnd w:id="0"/>
    <w:p w14:paraId="7800D41B" w14:textId="77777777" w:rsidR="005A63D8" w:rsidRDefault="005A63D8" w:rsidP="00A26B45">
      <w:pPr>
        <w:spacing w:before="0" w:after="0"/>
        <w:rPr>
          <w:sz w:val="22"/>
          <w:szCs w:val="20"/>
          <w:lang w:val="en-US"/>
        </w:rPr>
        <w:sectPr w:rsidR="005A63D8" w:rsidSect="00057271">
          <w:pgSz w:w="16840" w:h="11907" w:orient="landscape" w:code="9"/>
          <w:pgMar w:top="1134" w:right="1440" w:bottom="1134" w:left="1440" w:header="709" w:footer="709" w:gutter="0"/>
          <w:cols w:space="708"/>
          <w:titlePg/>
          <w:docGrid w:linePitch="360"/>
        </w:sectPr>
      </w:pPr>
    </w:p>
    <w:p w14:paraId="2D3C1055" w14:textId="54C40EBD" w:rsidR="00A26B45" w:rsidRDefault="00521854" w:rsidP="00057271">
      <w:pPr>
        <w:spacing w:before="0" w:after="0"/>
        <w:rPr>
          <w:sz w:val="22"/>
          <w:szCs w:val="20"/>
          <w:lang w:val="en-US"/>
        </w:rPr>
      </w:pPr>
      <w:r w:rsidRPr="00057271">
        <w:rPr>
          <w:sz w:val="22"/>
          <w:szCs w:val="20"/>
          <w:lang w:val="en-US"/>
        </w:rPr>
        <w:lastRenderedPageBreak/>
        <w:t xml:space="preserve">The following sections provide motivations for not addressing </w:t>
      </w:r>
      <w:r>
        <w:rPr>
          <w:sz w:val="22"/>
          <w:szCs w:val="20"/>
          <w:lang w:val="en-US"/>
        </w:rPr>
        <w:t xml:space="preserve">some the above listed services / applications with </w:t>
      </w:r>
      <w:r w:rsidRPr="00057271">
        <w:rPr>
          <w:sz w:val="22"/>
          <w:szCs w:val="20"/>
          <w:lang w:val="en-US"/>
        </w:rPr>
        <w:t xml:space="preserve">specific studies </w:t>
      </w:r>
      <w:r>
        <w:rPr>
          <w:sz w:val="22"/>
          <w:szCs w:val="20"/>
          <w:lang w:val="en-US"/>
        </w:rPr>
        <w:t>within th</w:t>
      </w:r>
      <w:r w:rsidR="00EA6865">
        <w:rPr>
          <w:sz w:val="22"/>
          <w:szCs w:val="20"/>
          <w:lang w:val="en-US"/>
        </w:rPr>
        <w:t>e new ECC draft</w:t>
      </w:r>
      <w:r>
        <w:rPr>
          <w:sz w:val="22"/>
          <w:szCs w:val="20"/>
          <w:lang w:val="en-US"/>
        </w:rPr>
        <w:t xml:space="preserve"> Report</w:t>
      </w:r>
      <w:r w:rsidR="00EA6865">
        <w:rPr>
          <w:sz w:val="22"/>
          <w:szCs w:val="20"/>
          <w:lang w:val="en-US"/>
        </w:rPr>
        <w:t>.</w:t>
      </w:r>
    </w:p>
    <w:p w14:paraId="43E13523" w14:textId="3E2A85CC" w:rsidR="00E1513C" w:rsidRDefault="00E1513C" w:rsidP="00057271">
      <w:pPr>
        <w:spacing w:before="0" w:after="0"/>
        <w:rPr>
          <w:sz w:val="22"/>
          <w:szCs w:val="20"/>
          <w:lang w:val="en-US"/>
        </w:rPr>
      </w:pPr>
    </w:p>
    <w:p w14:paraId="50C7B142" w14:textId="1E5AC0C9" w:rsidR="002873CC" w:rsidRPr="004D3730" w:rsidRDefault="002B762D" w:rsidP="002873CC">
      <w:pPr>
        <w:pStyle w:val="Heading1"/>
      </w:pPr>
      <w:r w:rsidRPr="006C1741">
        <w:rPr>
          <w:sz w:val="22"/>
          <w:szCs w:val="20"/>
          <w:lang w:val="en-US"/>
        </w:rPr>
        <w:t>EFIS, ERC Report 25 and ECO Report 03</w:t>
      </w:r>
    </w:p>
    <w:p w14:paraId="703F5E98" w14:textId="77777777" w:rsidR="002873CC" w:rsidRDefault="002873CC" w:rsidP="00057271">
      <w:pPr>
        <w:spacing w:before="0" w:after="0"/>
        <w:rPr>
          <w:sz w:val="22"/>
          <w:szCs w:val="20"/>
          <w:lang w:val="en-US"/>
        </w:rPr>
      </w:pPr>
    </w:p>
    <w:p w14:paraId="47D5D498" w14:textId="77777777" w:rsidR="002873CC" w:rsidRDefault="002873CC" w:rsidP="00057271">
      <w:pPr>
        <w:spacing w:before="0" w:after="0"/>
        <w:rPr>
          <w:sz w:val="22"/>
          <w:szCs w:val="20"/>
          <w:lang w:val="en-US"/>
        </w:rPr>
      </w:pPr>
      <w:bookmarkStart w:id="1" w:name="_Hlk55815107"/>
      <w:r w:rsidRPr="006C1741">
        <w:rPr>
          <w:sz w:val="22"/>
          <w:szCs w:val="20"/>
          <w:lang w:val="en-US"/>
        </w:rPr>
        <w:t>EFIS database, ERC Report 25 and ECO Report 03</w:t>
      </w:r>
      <w:r>
        <w:rPr>
          <w:sz w:val="22"/>
          <w:szCs w:val="20"/>
          <w:lang w:val="en-US"/>
        </w:rPr>
        <w:t xml:space="preserve"> provide relevant information in and around the 2300-2400MHz band. This information are related to:</w:t>
      </w:r>
    </w:p>
    <w:p w14:paraId="39DA3820" w14:textId="20D36982" w:rsidR="002873CC" w:rsidRPr="006330ED" w:rsidRDefault="002873CC" w:rsidP="00586750">
      <w:pPr>
        <w:pStyle w:val="ListParagraph"/>
        <w:numPr>
          <w:ilvl w:val="0"/>
          <w:numId w:val="16"/>
        </w:numPr>
        <w:spacing w:before="0" w:after="0"/>
        <w:rPr>
          <w:sz w:val="22"/>
          <w:szCs w:val="20"/>
          <w:lang w:val="en-US"/>
        </w:rPr>
      </w:pPr>
      <w:r w:rsidRPr="006330ED">
        <w:rPr>
          <w:sz w:val="22"/>
          <w:szCs w:val="20"/>
          <w:lang w:val="en-US"/>
        </w:rPr>
        <w:t>Allocation in region 1</w:t>
      </w:r>
    </w:p>
    <w:p w14:paraId="4D2FEA5C" w14:textId="77777777" w:rsidR="002873CC" w:rsidRPr="006330ED" w:rsidRDefault="002873CC" w:rsidP="00586750">
      <w:pPr>
        <w:pStyle w:val="ListParagraph"/>
        <w:numPr>
          <w:ilvl w:val="0"/>
          <w:numId w:val="16"/>
        </w:numPr>
        <w:spacing w:before="0" w:after="0"/>
        <w:rPr>
          <w:sz w:val="22"/>
          <w:szCs w:val="20"/>
          <w:lang w:val="en-US"/>
        </w:rPr>
      </w:pPr>
      <w:r w:rsidRPr="006330ED">
        <w:rPr>
          <w:sz w:val="22"/>
          <w:szCs w:val="20"/>
          <w:lang w:val="en-US"/>
        </w:rPr>
        <w:t>Allocation in European</w:t>
      </w:r>
    </w:p>
    <w:p w14:paraId="223B0118" w14:textId="77777777" w:rsidR="002873CC" w:rsidRPr="006330ED" w:rsidRDefault="002873CC" w:rsidP="00586750">
      <w:pPr>
        <w:pStyle w:val="ListParagraph"/>
        <w:numPr>
          <w:ilvl w:val="0"/>
          <w:numId w:val="16"/>
        </w:numPr>
        <w:spacing w:before="0" w:after="0"/>
        <w:rPr>
          <w:sz w:val="22"/>
          <w:szCs w:val="20"/>
          <w:lang w:val="en-US"/>
        </w:rPr>
      </w:pPr>
      <w:r w:rsidRPr="006330ED">
        <w:rPr>
          <w:sz w:val="22"/>
          <w:szCs w:val="20"/>
          <w:lang w:val="en-US"/>
        </w:rPr>
        <w:t>ECC/ERC harmonization measure</w:t>
      </w:r>
    </w:p>
    <w:p w14:paraId="22FD023E" w14:textId="77777777" w:rsidR="002873CC" w:rsidRPr="006330ED" w:rsidRDefault="002873CC" w:rsidP="00586750">
      <w:pPr>
        <w:pStyle w:val="ListParagraph"/>
        <w:numPr>
          <w:ilvl w:val="0"/>
          <w:numId w:val="16"/>
        </w:numPr>
        <w:spacing w:before="0" w:after="0"/>
        <w:rPr>
          <w:sz w:val="22"/>
          <w:szCs w:val="20"/>
          <w:lang w:val="en-US"/>
        </w:rPr>
      </w:pPr>
      <w:r w:rsidRPr="006330ED">
        <w:rPr>
          <w:sz w:val="22"/>
          <w:szCs w:val="20"/>
          <w:lang w:val="en-US"/>
        </w:rPr>
        <w:t>Applications</w:t>
      </w:r>
    </w:p>
    <w:p w14:paraId="725C0F4D" w14:textId="77777777" w:rsidR="002873CC" w:rsidRPr="006330ED" w:rsidRDefault="002873CC" w:rsidP="00586750">
      <w:pPr>
        <w:pStyle w:val="ListParagraph"/>
        <w:numPr>
          <w:ilvl w:val="0"/>
          <w:numId w:val="16"/>
        </w:numPr>
        <w:spacing w:before="0" w:after="0"/>
        <w:rPr>
          <w:sz w:val="22"/>
          <w:szCs w:val="20"/>
          <w:lang w:val="en-US"/>
        </w:rPr>
      </w:pPr>
      <w:r w:rsidRPr="006330ED">
        <w:rPr>
          <w:sz w:val="22"/>
          <w:szCs w:val="20"/>
          <w:lang w:val="en-US"/>
        </w:rPr>
        <w:t>Standard</w:t>
      </w:r>
    </w:p>
    <w:p w14:paraId="4A1CDFEF" w14:textId="479A21ED" w:rsidR="002873CC" w:rsidRPr="006330ED" w:rsidRDefault="002873CC" w:rsidP="00586750">
      <w:pPr>
        <w:pStyle w:val="ListParagraph"/>
        <w:numPr>
          <w:ilvl w:val="0"/>
          <w:numId w:val="16"/>
        </w:numPr>
        <w:spacing w:before="0" w:after="0"/>
        <w:rPr>
          <w:sz w:val="22"/>
          <w:szCs w:val="20"/>
          <w:lang w:val="en-US"/>
        </w:rPr>
      </w:pPr>
      <w:r w:rsidRPr="006330ED">
        <w:rPr>
          <w:sz w:val="22"/>
          <w:szCs w:val="20"/>
          <w:lang w:val="en-US"/>
        </w:rPr>
        <w:t>Licensing of mobile band</w:t>
      </w:r>
    </w:p>
    <w:bookmarkEnd w:id="1"/>
    <w:p w14:paraId="7F146BA4" w14:textId="77777777" w:rsidR="006330ED" w:rsidRDefault="006330ED" w:rsidP="00057271">
      <w:pPr>
        <w:spacing w:before="0" w:after="0"/>
        <w:rPr>
          <w:sz w:val="22"/>
          <w:szCs w:val="20"/>
          <w:lang w:val="en-US"/>
        </w:rPr>
      </w:pPr>
    </w:p>
    <w:p w14:paraId="6CAB11C3" w14:textId="51B72493" w:rsidR="006330ED" w:rsidRPr="008A2584" w:rsidRDefault="00607ED5" w:rsidP="00504D04">
      <w:r>
        <w:t>It is proposed to add several tables in the update of the ECC draft report (see paragraph 10)</w:t>
      </w:r>
    </w:p>
    <w:p w14:paraId="4D727E05" w14:textId="47E339E3" w:rsidR="006330ED" w:rsidRDefault="006330ED" w:rsidP="00057271">
      <w:pPr>
        <w:spacing w:before="0" w:after="0"/>
        <w:rPr>
          <w:sz w:val="22"/>
          <w:szCs w:val="20"/>
          <w:lang w:val="en-US"/>
        </w:rPr>
      </w:pPr>
      <w:r>
        <w:rPr>
          <w:sz w:val="22"/>
          <w:szCs w:val="20"/>
          <w:lang w:val="en-US"/>
        </w:rPr>
        <w:t xml:space="preserve"> </w:t>
      </w:r>
    </w:p>
    <w:p w14:paraId="3BF345DA" w14:textId="21689740" w:rsidR="00E1513C" w:rsidRPr="004D3730" w:rsidRDefault="00607ED5" w:rsidP="00057271">
      <w:pPr>
        <w:pStyle w:val="Heading1"/>
      </w:pPr>
      <w:r>
        <w:t>Remark</w:t>
      </w:r>
      <w:r w:rsidR="002A36B4" w:rsidRPr="004D3730">
        <w:t xml:space="preserve"> on </w:t>
      </w:r>
      <w:r w:rsidR="00E1513C" w:rsidRPr="004D3730">
        <w:t>SRD</w:t>
      </w:r>
    </w:p>
    <w:p w14:paraId="01B63BCD" w14:textId="167C89DA" w:rsidR="00BD2DC7" w:rsidRDefault="00E1513C" w:rsidP="00E1513C">
      <w:pPr>
        <w:rPr>
          <w:color w:val="000000" w:themeColor="text1"/>
          <w:sz w:val="22"/>
          <w:lang w:val="en-US"/>
        </w:rPr>
      </w:pPr>
      <w:r w:rsidRPr="00057271">
        <w:rPr>
          <w:color w:val="000000" w:themeColor="text1"/>
          <w:sz w:val="22"/>
          <w:lang w:val="en-US"/>
        </w:rPr>
        <w:t>According to the</w:t>
      </w:r>
      <w:r w:rsidRPr="00057271">
        <w:rPr>
          <w:rFonts w:cs="Arial"/>
          <w:color w:val="000000" w:themeColor="text1"/>
          <w:sz w:val="22"/>
          <w:shd w:val="clear" w:color="auto" w:fill="FFFFFF"/>
        </w:rPr>
        <w:t xml:space="preserve"> working document, the figure 2 includes the incumbent services and applications. </w:t>
      </w:r>
      <w:r w:rsidR="00BD2DC7" w:rsidRPr="00057271">
        <w:rPr>
          <w:rFonts w:cs="Arial"/>
          <w:color w:val="000000" w:themeColor="text1"/>
          <w:sz w:val="22"/>
          <w:shd w:val="clear" w:color="auto" w:fill="FFFFFF"/>
        </w:rPr>
        <w:t xml:space="preserve"> </w:t>
      </w:r>
      <w:r w:rsidR="00BD2DC7">
        <w:rPr>
          <w:rFonts w:cs="Arial"/>
          <w:color w:val="000000" w:themeColor="text1"/>
          <w:sz w:val="22"/>
          <w:shd w:val="clear" w:color="auto" w:fill="FFFFFF"/>
        </w:rPr>
        <w:t xml:space="preserve">SRD includes unlicensed services/technologies like </w:t>
      </w:r>
      <w:proofErr w:type="spellStart"/>
      <w:r w:rsidR="00BD2DC7">
        <w:rPr>
          <w:rFonts w:cs="Arial"/>
          <w:color w:val="000000" w:themeColor="text1"/>
          <w:sz w:val="22"/>
          <w:shd w:val="clear" w:color="auto" w:fill="FFFFFF"/>
        </w:rPr>
        <w:t>WiFi</w:t>
      </w:r>
      <w:proofErr w:type="spellEnd"/>
      <w:r w:rsidR="00BD2DC7">
        <w:rPr>
          <w:rFonts w:cs="Arial"/>
          <w:color w:val="000000" w:themeColor="text1"/>
          <w:sz w:val="22"/>
          <w:shd w:val="clear" w:color="auto" w:fill="FFFFFF"/>
        </w:rPr>
        <w:t xml:space="preserve">, Bluetooth, </w:t>
      </w:r>
      <w:r w:rsidR="00213194">
        <w:rPr>
          <w:rFonts w:cs="Arial"/>
          <w:color w:val="000000" w:themeColor="text1"/>
          <w:sz w:val="22"/>
          <w:shd w:val="clear" w:color="auto" w:fill="FFFFFF"/>
        </w:rPr>
        <w:t>etc.</w:t>
      </w:r>
      <w:r w:rsidR="00BD2DC7">
        <w:rPr>
          <w:rFonts w:cs="Arial"/>
          <w:color w:val="000000" w:themeColor="text1"/>
          <w:sz w:val="22"/>
          <w:shd w:val="clear" w:color="auto" w:fill="FFFFFF"/>
        </w:rPr>
        <w:t xml:space="preserve"> and this is regulated in ERC Rec 70-03. Such </w:t>
      </w:r>
      <w:r w:rsidR="00BD2DC7" w:rsidRPr="000D58C7">
        <w:rPr>
          <w:rFonts w:cs="Arial"/>
          <w:color w:val="000000" w:themeColor="text1"/>
          <w:sz w:val="22"/>
          <w:shd w:val="clear" w:color="auto" w:fill="FFFFFF"/>
        </w:rPr>
        <w:t xml:space="preserve">SRDs </w:t>
      </w:r>
      <w:r w:rsidR="00BD2DC7">
        <w:rPr>
          <w:rFonts w:cs="Arial"/>
          <w:color w:val="000000" w:themeColor="text1"/>
          <w:sz w:val="22"/>
          <w:shd w:val="clear" w:color="auto" w:fill="FFFFFF"/>
        </w:rPr>
        <w:t xml:space="preserve">in general </w:t>
      </w:r>
      <w:r w:rsidR="00BD2DC7" w:rsidRPr="000D58C7">
        <w:rPr>
          <w:rFonts w:cs="Arial"/>
          <w:color w:val="000000" w:themeColor="text1"/>
          <w:sz w:val="22"/>
          <w:shd w:val="clear" w:color="auto" w:fill="FFFFFF"/>
        </w:rPr>
        <w:t>cannot claim protection from radio services</w:t>
      </w:r>
      <w:r w:rsidR="00BD2DC7">
        <w:rPr>
          <w:rFonts w:cs="Arial"/>
          <w:color w:val="000000" w:themeColor="text1"/>
          <w:sz w:val="22"/>
          <w:shd w:val="clear" w:color="auto" w:fill="FFFFFF"/>
        </w:rPr>
        <w:t>, see ERC Rec 70-03 considering.</w:t>
      </w:r>
    </w:p>
    <w:p w14:paraId="50012A88" w14:textId="77777777" w:rsidR="00BD2DC7" w:rsidRPr="00057271" w:rsidRDefault="00BD2DC7" w:rsidP="00E1513C">
      <w:pPr>
        <w:rPr>
          <w:color w:val="000000" w:themeColor="text1"/>
          <w:sz w:val="22"/>
          <w:lang w:val="en-US"/>
        </w:rPr>
      </w:pPr>
    </w:p>
    <w:p w14:paraId="46748601" w14:textId="7651FF9D" w:rsidR="00453E28" w:rsidRPr="004D3730" w:rsidRDefault="005260BF" w:rsidP="0025130A">
      <w:pPr>
        <w:pStyle w:val="Heading1"/>
        <w:rPr>
          <w:rStyle w:val="BookTitle"/>
          <w:b/>
          <w:bCs/>
          <w:i w:val="0"/>
          <w:iCs w:val="0"/>
          <w:spacing w:val="0"/>
        </w:rPr>
      </w:pPr>
      <w:r w:rsidRPr="004D3730">
        <w:rPr>
          <w:rStyle w:val="BookTitle"/>
          <w:b/>
          <w:bCs/>
          <w:i w:val="0"/>
          <w:iCs w:val="0"/>
          <w:spacing w:val="0"/>
        </w:rPr>
        <w:t xml:space="preserve">Remarks on the </w:t>
      </w:r>
      <w:r w:rsidR="00453E28" w:rsidRPr="004D3730">
        <w:rPr>
          <w:rStyle w:val="BookTitle"/>
          <w:b/>
          <w:bCs/>
          <w:i w:val="0"/>
          <w:iCs w:val="0"/>
          <w:spacing w:val="0"/>
        </w:rPr>
        <w:t>Fixed Service</w:t>
      </w:r>
    </w:p>
    <w:p w14:paraId="6987786E" w14:textId="2C13D611" w:rsidR="007D0823" w:rsidRPr="00057271" w:rsidRDefault="007D0823" w:rsidP="00876CD6">
      <w:pPr>
        <w:rPr>
          <w:sz w:val="22"/>
          <w:lang w:val="en-US"/>
        </w:rPr>
      </w:pPr>
      <w:bookmarkStart w:id="2" w:name="_Toc50647128"/>
      <w:bookmarkEnd w:id="2"/>
      <w:r w:rsidRPr="00057271">
        <w:rPr>
          <w:sz w:val="22"/>
          <w:lang w:val="en-US"/>
        </w:rPr>
        <w:t xml:space="preserve">According to the assessment from </w:t>
      </w:r>
      <w:r w:rsidR="00B80471" w:rsidRPr="00057271">
        <w:rPr>
          <w:sz w:val="22"/>
          <w:lang w:val="en-US"/>
        </w:rPr>
        <w:t xml:space="preserve">Report </w:t>
      </w:r>
      <w:r w:rsidR="00933961" w:rsidRPr="00057271">
        <w:rPr>
          <w:sz w:val="22"/>
          <w:lang w:val="en-US"/>
        </w:rPr>
        <w:t>173</w:t>
      </w:r>
      <w:r w:rsidRPr="00057271">
        <w:rPr>
          <w:sz w:val="22"/>
          <w:lang w:val="en-US"/>
        </w:rPr>
        <w:t>, the usage of the adjacent bands below 2300 MHz and above 2400 MHz by Fixed Service can be summarized as follows:</w:t>
      </w:r>
    </w:p>
    <w:p w14:paraId="0DEEA0D3" w14:textId="386495B9" w:rsidR="00530C6F" w:rsidRPr="00057271" w:rsidRDefault="00530C6F" w:rsidP="00586750">
      <w:pPr>
        <w:pStyle w:val="ListParagraph"/>
        <w:numPr>
          <w:ilvl w:val="0"/>
          <w:numId w:val="13"/>
        </w:numPr>
        <w:rPr>
          <w:sz w:val="22"/>
          <w:lang w:val="en-US"/>
        </w:rPr>
      </w:pPr>
      <w:r w:rsidRPr="00057271">
        <w:rPr>
          <w:sz w:val="22"/>
          <w:lang w:val="en-US"/>
        </w:rPr>
        <w:t>Below 2290MHz: there is</w:t>
      </w:r>
      <w:r w:rsidR="00B80471" w:rsidRPr="00057271">
        <w:rPr>
          <w:sz w:val="22"/>
          <w:lang w:val="en-US"/>
        </w:rPr>
        <w:t xml:space="preserve"> </w:t>
      </w:r>
      <w:r w:rsidR="007D0823" w:rsidRPr="00057271">
        <w:rPr>
          <w:sz w:val="22"/>
          <w:lang w:val="en-US"/>
        </w:rPr>
        <w:t xml:space="preserve">limited use from fixed links, </w:t>
      </w:r>
      <w:r w:rsidR="00CE4633" w:rsidRPr="00057271">
        <w:rPr>
          <w:sz w:val="22"/>
          <w:lang w:val="en-US"/>
        </w:rPr>
        <w:t xml:space="preserve">128 fixed links in </w:t>
      </w:r>
      <w:r w:rsidR="007D0823" w:rsidRPr="00057271">
        <w:rPr>
          <w:sz w:val="22"/>
          <w:lang w:val="en-US"/>
        </w:rPr>
        <w:t xml:space="preserve">total across </w:t>
      </w:r>
      <w:r w:rsidR="00CE4633" w:rsidRPr="00057271">
        <w:rPr>
          <w:sz w:val="22"/>
          <w:lang w:val="en-US"/>
        </w:rPr>
        <w:t>CEPT</w:t>
      </w:r>
      <w:r w:rsidR="007D0823" w:rsidRPr="00057271">
        <w:rPr>
          <w:sz w:val="22"/>
          <w:lang w:val="en-US"/>
        </w:rPr>
        <w:t xml:space="preserve"> countries</w:t>
      </w:r>
      <w:r w:rsidRPr="00057271">
        <w:rPr>
          <w:sz w:val="22"/>
          <w:lang w:val="en-US"/>
        </w:rPr>
        <w:t>.</w:t>
      </w:r>
      <w:r w:rsidR="00CE4633" w:rsidRPr="00057271">
        <w:rPr>
          <w:sz w:val="22"/>
          <w:lang w:val="en-US"/>
        </w:rPr>
        <w:t xml:space="preserve"> </w:t>
      </w:r>
      <w:r w:rsidR="00EA6865" w:rsidRPr="00057271">
        <w:rPr>
          <w:sz w:val="22"/>
          <w:lang w:val="en-US"/>
        </w:rPr>
        <w:t>A</w:t>
      </w:r>
      <w:r w:rsidR="007D0823" w:rsidRPr="00057271">
        <w:rPr>
          <w:sz w:val="22"/>
          <w:lang w:val="en-US"/>
        </w:rPr>
        <w:t xml:space="preserve"> “temporary use” </w:t>
      </w:r>
      <w:r w:rsidR="00EA6865" w:rsidRPr="00057271">
        <w:rPr>
          <w:sz w:val="22"/>
          <w:lang w:val="en-US"/>
        </w:rPr>
        <w:t>and a</w:t>
      </w:r>
      <w:r w:rsidR="007D0823" w:rsidRPr="00057271">
        <w:rPr>
          <w:sz w:val="22"/>
          <w:lang w:val="en-US"/>
        </w:rPr>
        <w:t xml:space="preserve"> </w:t>
      </w:r>
      <w:r w:rsidR="00CE4633" w:rsidRPr="00057271">
        <w:rPr>
          <w:sz w:val="22"/>
          <w:lang w:val="en-US"/>
        </w:rPr>
        <w:t>PMSE</w:t>
      </w:r>
      <w:r w:rsidR="00EA6865" w:rsidRPr="00057271">
        <w:rPr>
          <w:sz w:val="22"/>
          <w:lang w:val="en-US"/>
        </w:rPr>
        <w:t xml:space="preserve"> use</w:t>
      </w:r>
      <w:r w:rsidR="007E247D" w:rsidRPr="00057271">
        <w:rPr>
          <w:sz w:val="22"/>
          <w:lang w:val="en-US"/>
        </w:rPr>
        <w:t xml:space="preserve"> </w:t>
      </w:r>
      <w:r w:rsidR="00EA6865" w:rsidRPr="00057271">
        <w:rPr>
          <w:sz w:val="22"/>
          <w:lang w:val="en-US"/>
        </w:rPr>
        <w:t>are</w:t>
      </w:r>
      <w:r w:rsidR="007D0823" w:rsidRPr="00057271">
        <w:rPr>
          <w:sz w:val="22"/>
          <w:lang w:val="en-US"/>
        </w:rPr>
        <w:t xml:space="preserve"> also recorded</w:t>
      </w:r>
      <w:r w:rsidR="005260BF" w:rsidRPr="00057271">
        <w:rPr>
          <w:sz w:val="22"/>
          <w:lang w:val="en-US"/>
        </w:rPr>
        <w:t>;</w:t>
      </w:r>
    </w:p>
    <w:p w14:paraId="39231565" w14:textId="0445B9CB" w:rsidR="00B80471" w:rsidRPr="00057271" w:rsidRDefault="00530C6F" w:rsidP="00586750">
      <w:pPr>
        <w:pStyle w:val="ListParagraph"/>
        <w:numPr>
          <w:ilvl w:val="0"/>
          <w:numId w:val="13"/>
        </w:numPr>
        <w:rPr>
          <w:sz w:val="22"/>
          <w:lang w:val="en-US"/>
        </w:rPr>
      </w:pPr>
      <w:r w:rsidRPr="00057271">
        <w:rPr>
          <w:sz w:val="22"/>
          <w:lang w:val="en-US"/>
        </w:rPr>
        <w:t>Above 2400MHz:</w:t>
      </w:r>
      <w:r w:rsidR="00CE4633" w:rsidRPr="00057271">
        <w:rPr>
          <w:sz w:val="22"/>
          <w:lang w:val="en-US"/>
        </w:rPr>
        <w:t xml:space="preserve"> </w:t>
      </w:r>
      <w:r w:rsidR="005260BF" w:rsidRPr="00057271">
        <w:rPr>
          <w:sz w:val="22"/>
          <w:lang w:val="en-US"/>
        </w:rPr>
        <w:t>point-to-</w:t>
      </w:r>
      <w:r w:rsidR="007D0823" w:rsidRPr="00057271">
        <w:rPr>
          <w:sz w:val="22"/>
          <w:lang w:val="en-US"/>
        </w:rPr>
        <w:t xml:space="preserve">point links and </w:t>
      </w:r>
      <w:r w:rsidR="005260BF" w:rsidRPr="00057271">
        <w:rPr>
          <w:sz w:val="22"/>
          <w:lang w:val="en-US"/>
        </w:rPr>
        <w:t>point-to-multi-point c</w:t>
      </w:r>
      <w:r w:rsidR="007D0823" w:rsidRPr="00057271">
        <w:rPr>
          <w:sz w:val="22"/>
          <w:lang w:val="en-US"/>
        </w:rPr>
        <w:t>entral stations are deployed in one CEPT country only</w:t>
      </w:r>
      <w:r w:rsidR="005260BF" w:rsidRPr="00057271">
        <w:rPr>
          <w:sz w:val="22"/>
          <w:lang w:val="en-US"/>
        </w:rPr>
        <w:t>.</w:t>
      </w:r>
    </w:p>
    <w:p w14:paraId="431B3B9E" w14:textId="77777777" w:rsidR="007D0823" w:rsidRPr="00057271" w:rsidRDefault="007D0823" w:rsidP="00530C6F">
      <w:pPr>
        <w:jc w:val="left"/>
        <w:rPr>
          <w:rStyle w:val="BookTitle"/>
          <w:sz w:val="22"/>
        </w:rPr>
      </w:pPr>
      <w:r w:rsidRPr="00057271">
        <w:rPr>
          <w:sz w:val="22"/>
          <w:lang w:val="en-US"/>
        </w:rPr>
        <w:t>The more detailed assessment from ECC Report 173 is provided in Annex 1.</w:t>
      </w:r>
    </w:p>
    <w:p w14:paraId="4074E1FB" w14:textId="3A5C8F83" w:rsidR="00530C6F" w:rsidRPr="00057271" w:rsidRDefault="00FB31BB" w:rsidP="00530C6F">
      <w:pPr>
        <w:jc w:val="left"/>
        <w:rPr>
          <w:sz w:val="22"/>
          <w:lang w:val="en-US"/>
        </w:rPr>
      </w:pPr>
      <w:r w:rsidRPr="00057271">
        <w:rPr>
          <w:sz w:val="22"/>
          <w:lang w:val="en-US"/>
        </w:rPr>
        <w:t xml:space="preserve">Due to the varying characteristics of different types of </w:t>
      </w:r>
      <w:r w:rsidR="00CE6636" w:rsidRPr="00057271">
        <w:rPr>
          <w:sz w:val="22"/>
          <w:lang w:val="en-US"/>
        </w:rPr>
        <w:t>FS systems and their deployment,</w:t>
      </w:r>
      <w:r w:rsidRPr="00057271">
        <w:rPr>
          <w:sz w:val="22"/>
          <w:lang w:val="en-US"/>
        </w:rPr>
        <w:t xml:space="preserve"> no single</w:t>
      </w:r>
      <w:r w:rsidR="00530C6F" w:rsidRPr="00057271">
        <w:rPr>
          <w:sz w:val="22"/>
          <w:lang w:val="en-US"/>
        </w:rPr>
        <w:t xml:space="preserve"> compatibility solution can be applied e.g. separation </w:t>
      </w:r>
      <w:r w:rsidRPr="00057271">
        <w:rPr>
          <w:sz w:val="22"/>
          <w:lang w:val="en-US"/>
        </w:rPr>
        <w:t>distance, guard band or signal strength limit</w:t>
      </w:r>
      <w:r w:rsidR="00D55855" w:rsidRPr="00057271">
        <w:rPr>
          <w:sz w:val="22"/>
          <w:lang w:val="en-US"/>
        </w:rPr>
        <w:t>. If needed, c</w:t>
      </w:r>
      <w:r w:rsidRPr="00057271">
        <w:rPr>
          <w:sz w:val="22"/>
          <w:lang w:val="en-US"/>
        </w:rPr>
        <w:t>o-existence can be achieved through coordination on a case-by-case basis</w:t>
      </w:r>
      <w:r w:rsidR="00530C6F" w:rsidRPr="00057271">
        <w:rPr>
          <w:sz w:val="22"/>
          <w:lang w:val="en-US"/>
        </w:rPr>
        <w:t>, at national level</w:t>
      </w:r>
      <w:r w:rsidRPr="00057271">
        <w:rPr>
          <w:sz w:val="22"/>
          <w:lang w:val="en-US"/>
        </w:rPr>
        <w:t>.</w:t>
      </w:r>
      <w:r w:rsidR="00530C6F" w:rsidRPr="00057271">
        <w:rPr>
          <w:sz w:val="22"/>
          <w:lang w:val="en-US"/>
        </w:rPr>
        <w:t xml:space="preserve"> </w:t>
      </w:r>
    </w:p>
    <w:p w14:paraId="58A6D138" w14:textId="36C73228" w:rsidR="008B263A" w:rsidRPr="00057271" w:rsidRDefault="007D0823" w:rsidP="00876CD6">
      <w:pPr>
        <w:rPr>
          <w:sz w:val="22"/>
          <w:lang w:val="en-US"/>
        </w:rPr>
      </w:pPr>
      <w:r w:rsidRPr="00057271">
        <w:rPr>
          <w:sz w:val="22"/>
          <w:lang w:val="en-US"/>
        </w:rPr>
        <w:t xml:space="preserve">According to </w:t>
      </w:r>
      <w:r w:rsidR="008B263A" w:rsidRPr="00057271">
        <w:rPr>
          <w:sz w:val="22"/>
          <w:lang w:val="en-US"/>
        </w:rPr>
        <w:t>ECC Report 172</w:t>
      </w:r>
      <w:r w:rsidRPr="00057271">
        <w:rPr>
          <w:sz w:val="22"/>
          <w:lang w:val="en-US"/>
        </w:rPr>
        <w:t xml:space="preserve"> “</w:t>
      </w:r>
      <w:r w:rsidR="008B263A" w:rsidRPr="00057271">
        <w:rPr>
          <w:i/>
          <w:sz w:val="22"/>
          <w:lang w:val="en-US"/>
        </w:rPr>
        <w:t>Interference studies were not performed in this report as the risk of interference was, because of highly directional antennas and the probable deployment in rural areas, considered to be very low</w:t>
      </w:r>
      <w:r w:rsidR="008B263A" w:rsidRPr="00057271">
        <w:rPr>
          <w:sz w:val="22"/>
          <w:lang w:val="en-US"/>
        </w:rPr>
        <w:t>”.</w:t>
      </w:r>
    </w:p>
    <w:p w14:paraId="327B22ED" w14:textId="7A635AFD" w:rsidR="00D55855" w:rsidRPr="00453E28" w:rsidRDefault="007D0823" w:rsidP="00876CD6">
      <w:pPr>
        <w:rPr>
          <w:lang w:val="en-US"/>
        </w:rPr>
      </w:pPr>
      <w:r w:rsidRPr="00057271">
        <w:rPr>
          <w:sz w:val="22"/>
          <w:lang w:val="en-US"/>
        </w:rPr>
        <w:lastRenderedPageBreak/>
        <w:t xml:space="preserve">Based on the above, </w:t>
      </w:r>
      <w:r w:rsidR="00033979" w:rsidRPr="00057271">
        <w:rPr>
          <w:sz w:val="22"/>
          <w:lang w:val="en-US"/>
        </w:rPr>
        <w:t xml:space="preserve">it is proposed to make a specific remark in the list </w:t>
      </w:r>
      <w:r w:rsidR="00E1513C" w:rsidRPr="00057271">
        <w:rPr>
          <w:sz w:val="22"/>
          <w:lang w:val="en-US"/>
        </w:rPr>
        <w:t xml:space="preserve">on fact that </w:t>
      </w:r>
      <w:r w:rsidRPr="00057271">
        <w:rPr>
          <w:sz w:val="22"/>
          <w:lang w:val="en-US"/>
        </w:rPr>
        <w:t>no specific studies will be developed in this report for coexistence between MFCN (including 5G and AAS) and the Fixed Service.</w:t>
      </w:r>
    </w:p>
    <w:p w14:paraId="5C60FF67" w14:textId="7716E217" w:rsidR="00876CD6" w:rsidRPr="004D3730" w:rsidRDefault="005260BF" w:rsidP="0025130A">
      <w:pPr>
        <w:pStyle w:val="Heading1"/>
        <w:rPr>
          <w:rStyle w:val="BookTitle"/>
          <w:b/>
          <w:bCs/>
          <w:i w:val="0"/>
          <w:iCs w:val="0"/>
          <w:spacing w:val="0"/>
        </w:rPr>
      </w:pPr>
      <w:r w:rsidRPr="004D3730">
        <w:rPr>
          <w:rStyle w:val="BookTitle"/>
          <w:b/>
          <w:bCs/>
          <w:i w:val="0"/>
          <w:iCs w:val="0"/>
          <w:spacing w:val="0"/>
        </w:rPr>
        <w:t>Remarks on</w:t>
      </w:r>
      <w:r w:rsidR="00BD2DC7">
        <w:rPr>
          <w:rStyle w:val="BookTitle"/>
          <w:b/>
          <w:bCs/>
          <w:i w:val="0"/>
          <w:iCs w:val="0"/>
          <w:spacing w:val="0"/>
        </w:rPr>
        <w:t xml:space="preserve"> srd</w:t>
      </w:r>
      <w:r w:rsidRPr="004D3730">
        <w:rPr>
          <w:rStyle w:val="BookTitle"/>
          <w:b/>
          <w:bCs/>
          <w:i w:val="0"/>
          <w:iCs w:val="0"/>
          <w:spacing w:val="0"/>
        </w:rPr>
        <w:t xml:space="preserve"> </w:t>
      </w:r>
      <w:r w:rsidR="00BD2DC7">
        <w:rPr>
          <w:rStyle w:val="BookTitle"/>
          <w:b/>
          <w:bCs/>
          <w:i w:val="0"/>
          <w:iCs w:val="0"/>
          <w:spacing w:val="0"/>
        </w:rPr>
        <w:t xml:space="preserve">(Wifi, </w:t>
      </w:r>
      <w:r w:rsidR="00876CD6" w:rsidRPr="004D3730">
        <w:rPr>
          <w:rStyle w:val="BookTitle"/>
          <w:b/>
          <w:bCs/>
          <w:i w:val="0"/>
          <w:iCs w:val="0"/>
          <w:spacing w:val="0"/>
        </w:rPr>
        <w:t>Bluetooth</w:t>
      </w:r>
      <w:r w:rsidR="00584C3B">
        <w:rPr>
          <w:rStyle w:val="BookTitle"/>
          <w:b/>
          <w:bCs/>
          <w:i w:val="0"/>
          <w:iCs w:val="0"/>
          <w:spacing w:val="0"/>
        </w:rPr>
        <w:t>, etc</w:t>
      </w:r>
      <w:r w:rsidRPr="004D3730">
        <w:rPr>
          <w:rStyle w:val="BookTitle"/>
          <w:b/>
          <w:bCs/>
          <w:i w:val="0"/>
          <w:iCs w:val="0"/>
          <w:spacing w:val="0"/>
        </w:rPr>
        <w:t xml:space="preserve"> technology</w:t>
      </w:r>
      <w:r w:rsidR="00BD2DC7">
        <w:rPr>
          <w:rStyle w:val="BookTitle"/>
          <w:b/>
          <w:bCs/>
          <w:i w:val="0"/>
          <w:iCs w:val="0"/>
          <w:spacing w:val="0"/>
        </w:rPr>
        <w:t>)</w:t>
      </w:r>
      <w:r w:rsidR="00FE1224" w:rsidRPr="004D3730">
        <w:rPr>
          <w:rStyle w:val="BookTitle"/>
          <w:b/>
          <w:bCs/>
          <w:i w:val="0"/>
          <w:iCs w:val="0"/>
          <w:spacing w:val="0"/>
        </w:rPr>
        <w:t xml:space="preserve"> </w:t>
      </w:r>
    </w:p>
    <w:p w14:paraId="2684CFCE" w14:textId="42C3AE8A" w:rsidR="00740A92" w:rsidRDefault="00740A92" w:rsidP="002D0DE2">
      <w:pPr>
        <w:rPr>
          <w:sz w:val="22"/>
          <w:szCs w:val="20"/>
          <w:lang w:val="en-US"/>
        </w:rPr>
      </w:pPr>
      <w:r>
        <w:rPr>
          <w:sz w:val="22"/>
          <w:szCs w:val="20"/>
          <w:lang w:val="en-US"/>
        </w:rPr>
        <w:t xml:space="preserve">The following aspects should be taken into account when assessing the </w:t>
      </w:r>
      <w:r w:rsidR="00876CD6" w:rsidRPr="00453E28">
        <w:rPr>
          <w:sz w:val="22"/>
          <w:szCs w:val="20"/>
          <w:lang w:val="en-US"/>
        </w:rPr>
        <w:t>Bluetooth</w:t>
      </w:r>
      <w:r w:rsidR="00776761">
        <w:rPr>
          <w:sz w:val="22"/>
          <w:szCs w:val="20"/>
          <w:lang w:val="en-US"/>
        </w:rPr>
        <w:t>/WIFI</w:t>
      </w:r>
      <w:r w:rsidR="00876CD6" w:rsidRPr="00453E28">
        <w:rPr>
          <w:sz w:val="22"/>
          <w:szCs w:val="20"/>
          <w:lang w:val="en-US"/>
        </w:rPr>
        <w:t xml:space="preserve"> </w:t>
      </w:r>
      <w:r w:rsidR="00CD0383">
        <w:rPr>
          <w:sz w:val="22"/>
          <w:szCs w:val="20"/>
          <w:lang w:val="en-US"/>
        </w:rPr>
        <w:t>technology</w:t>
      </w:r>
      <w:r>
        <w:rPr>
          <w:sz w:val="22"/>
          <w:szCs w:val="20"/>
          <w:lang w:val="en-US"/>
        </w:rPr>
        <w:t>:</w:t>
      </w:r>
    </w:p>
    <w:p w14:paraId="19705AE8" w14:textId="404E3341" w:rsidR="00740A92" w:rsidRDefault="00CD0383" w:rsidP="00586750">
      <w:pPr>
        <w:pStyle w:val="ListParagraph"/>
        <w:numPr>
          <w:ilvl w:val="0"/>
          <w:numId w:val="14"/>
        </w:numPr>
        <w:rPr>
          <w:sz w:val="22"/>
          <w:szCs w:val="20"/>
          <w:lang w:val="en-US"/>
        </w:rPr>
      </w:pPr>
      <w:r w:rsidRPr="00CD0383">
        <w:rPr>
          <w:sz w:val="22"/>
          <w:szCs w:val="20"/>
          <w:lang w:val="en-US"/>
        </w:rPr>
        <w:t>I</w:t>
      </w:r>
      <w:r w:rsidR="00740A92">
        <w:rPr>
          <w:sz w:val="22"/>
          <w:szCs w:val="20"/>
          <w:lang w:val="en-US"/>
        </w:rPr>
        <w:t>t</w:t>
      </w:r>
      <w:r w:rsidR="00D55855" w:rsidRPr="00CD0383">
        <w:rPr>
          <w:sz w:val="22"/>
          <w:szCs w:val="20"/>
          <w:lang w:val="en-US"/>
        </w:rPr>
        <w:t xml:space="preserve"> </w:t>
      </w:r>
      <w:r w:rsidR="00DD2280" w:rsidRPr="00CD0383">
        <w:rPr>
          <w:sz w:val="22"/>
          <w:szCs w:val="20"/>
          <w:lang w:val="en-US"/>
        </w:rPr>
        <w:t xml:space="preserve">is </w:t>
      </w:r>
      <w:r w:rsidR="00740A92">
        <w:rPr>
          <w:sz w:val="22"/>
          <w:szCs w:val="20"/>
          <w:lang w:val="en-US"/>
        </w:rPr>
        <w:t xml:space="preserve">a </w:t>
      </w:r>
      <w:r>
        <w:rPr>
          <w:sz w:val="22"/>
          <w:szCs w:val="20"/>
          <w:lang w:val="en-US"/>
        </w:rPr>
        <w:t xml:space="preserve">short </w:t>
      </w:r>
      <w:r w:rsidR="00740A92">
        <w:rPr>
          <w:sz w:val="22"/>
          <w:szCs w:val="20"/>
          <w:lang w:val="en-US"/>
        </w:rPr>
        <w:t>range technology;</w:t>
      </w:r>
    </w:p>
    <w:p w14:paraId="33DAE5C6" w14:textId="42C12C83" w:rsidR="00740A92" w:rsidRDefault="00213194" w:rsidP="00586750">
      <w:pPr>
        <w:pStyle w:val="ListParagraph"/>
        <w:numPr>
          <w:ilvl w:val="0"/>
          <w:numId w:val="14"/>
        </w:numPr>
        <w:rPr>
          <w:sz w:val="22"/>
          <w:szCs w:val="20"/>
          <w:lang w:val="en-US"/>
        </w:rPr>
      </w:pPr>
      <w:r>
        <w:rPr>
          <w:sz w:val="22"/>
          <w:szCs w:val="20"/>
          <w:lang w:val="en-US"/>
        </w:rPr>
        <w:t>About Bluetooth and a</w:t>
      </w:r>
      <w:r w:rsidR="00740A92">
        <w:rPr>
          <w:sz w:val="22"/>
          <w:szCs w:val="20"/>
          <w:lang w:val="en-US"/>
        </w:rPr>
        <w:t xml:space="preserve">ccording to </w:t>
      </w:r>
      <w:r w:rsidR="00876CD6" w:rsidRPr="00CD0383">
        <w:rPr>
          <w:sz w:val="22"/>
          <w:szCs w:val="20"/>
          <w:lang w:val="en-US"/>
        </w:rPr>
        <w:t xml:space="preserve">ECC </w:t>
      </w:r>
      <w:r w:rsidR="00CD0383" w:rsidRPr="00CD0383">
        <w:rPr>
          <w:sz w:val="22"/>
          <w:szCs w:val="20"/>
          <w:lang w:val="en-US"/>
        </w:rPr>
        <w:t>Report 172 “</w:t>
      </w:r>
      <w:r w:rsidR="00CD0383" w:rsidRPr="00CD0383">
        <w:rPr>
          <w:i/>
          <w:sz w:val="22"/>
          <w:szCs w:val="20"/>
          <w:lang w:val="en-US"/>
        </w:rPr>
        <w:t>In-device  coexis</w:t>
      </w:r>
      <w:bookmarkStart w:id="3" w:name="_GoBack"/>
      <w:bookmarkEnd w:id="3"/>
      <w:r w:rsidR="00CD0383" w:rsidRPr="00CD0383">
        <w:rPr>
          <w:i/>
          <w:sz w:val="22"/>
          <w:szCs w:val="20"/>
          <w:lang w:val="en-US"/>
        </w:rPr>
        <w:t>tence properties between LTE TDD and Bluetooth are studied</w:t>
      </w:r>
      <w:r w:rsidR="00CD0383">
        <w:rPr>
          <w:sz w:val="22"/>
          <w:szCs w:val="20"/>
          <w:lang w:val="en-US"/>
        </w:rPr>
        <w:t>”</w:t>
      </w:r>
    </w:p>
    <w:p w14:paraId="0344F004" w14:textId="03C245E4" w:rsidR="00CD0383" w:rsidRDefault="00740A92" w:rsidP="00586750">
      <w:pPr>
        <w:pStyle w:val="ListParagraph"/>
        <w:numPr>
          <w:ilvl w:val="0"/>
          <w:numId w:val="14"/>
        </w:numPr>
        <w:rPr>
          <w:sz w:val="22"/>
          <w:szCs w:val="20"/>
          <w:lang w:val="en-US"/>
        </w:rPr>
      </w:pPr>
      <w:r>
        <w:rPr>
          <w:sz w:val="22"/>
          <w:szCs w:val="20"/>
          <w:lang w:val="en-US"/>
        </w:rPr>
        <w:t>T</w:t>
      </w:r>
      <w:r w:rsidR="00CD0383">
        <w:rPr>
          <w:sz w:val="22"/>
          <w:szCs w:val="20"/>
          <w:lang w:val="en-US"/>
        </w:rPr>
        <w:t xml:space="preserve">he </w:t>
      </w:r>
      <w:r>
        <w:rPr>
          <w:sz w:val="22"/>
          <w:szCs w:val="20"/>
          <w:lang w:val="en-US"/>
        </w:rPr>
        <w:t xml:space="preserve">LTE TDD </w:t>
      </w:r>
      <w:r w:rsidR="00CD0383">
        <w:rPr>
          <w:sz w:val="22"/>
          <w:szCs w:val="20"/>
          <w:lang w:val="en-US"/>
        </w:rPr>
        <w:t>UE technical characteristics describe</w:t>
      </w:r>
      <w:r w:rsidR="00CE6636">
        <w:rPr>
          <w:sz w:val="22"/>
          <w:szCs w:val="20"/>
          <w:lang w:val="en-US"/>
        </w:rPr>
        <w:t>d</w:t>
      </w:r>
      <w:r w:rsidR="00CD0383">
        <w:rPr>
          <w:sz w:val="22"/>
          <w:szCs w:val="20"/>
          <w:lang w:val="en-US"/>
        </w:rPr>
        <w:t xml:space="preserve"> in ECC Report 172 will not change </w:t>
      </w:r>
      <w:r>
        <w:rPr>
          <w:sz w:val="22"/>
          <w:szCs w:val="20"/>
          <w:lang w:val="en-US"/>
        </w:rPr>
        <w:t>significantly when considering 5G NR UEs;</w:t>
      </w:r>
    </w:p>
    <w:p w14:paraId="4BAD517D" w14:textId="729E07B3" w:rsidR="00BD2DC7" w:rsidRDefault="00BD2DC7" w:rsidP="00586750">
      <w:pPr>
        <w:pStyle w:val="ListParagraph"/>
        <w:numPr>
          <w:ilvl w:val="0"/>
          <w:numId w:val="14"/>
        </w:numPr>
        <w:rPr>
          <w:sz w:val="22"/>
          <w:szCs w:val="20"/>
          <w:lang w:val="en-US"/>
        </w:rPr>
      </w:pPr>
      <w:r>
        <w:rPr>
          <w:sz w:val="22"/>
          <w:szCs w:val="20"/>
          <w:lang w:val="en-US"/>
        </w:rPr>
        <w:t xml:space="preserve">In-device coexistence between cellular services and </w:t>
      </w:r>
      <w:proofErr w:type="spellStart"/>
      <w:r>
        <w:rPr>
          <w:sz w:val="22"/>
          <w:szCs w:val="20"/>
          <w:lang w:val="en-US"/>
        </w:rPr>
        <w:t>WiFi</w:t>
      </w:r>
      <w:proofErr w:type="spellEnd"/>
      <w:r>
        <w:rPr>
          <w:sz w:val="22"/>
          <w:szCs w:val="20"/>
          <w:lang w:val="en-US"/>
        </w:rPr>
        <w:t>, Bluetooth (SRD) is challenging in terminals as the bands are adjacent</w:t>
      </w:r>
    </w:p>
    <w:p w14:paraId="7CDC2650" w14:textId="60974321" w:rsidR="00740A92" w:rsidRDefault="00BD2DC7" w:rsidP="00586750">
      <w:pPr>
        <w:pStyle w:val="ListParagraph"/>
        <w:numPr>
          <w:ilvl w:val="0"/>
          <w:numId w:val="14"/>
        </w:numPr>
        <w:rPr>
          <w:sz w:val="22"/>
          <w:szCs w:val="20"/>
          <w:lang w:val="en-US"/>
        </w:rPr>
      </w:pPr>
      <w:proofErr w:type="spellStart"/>
      <w:r>
        <w:rPr>
          <w:sz w:val="22"/>
          <w:szCs w:val="20"/>
          <w:lang w:val="en-US"/>
        </w:rPr>
        <w:t>WiFi</w:t>
      </w:r>
      <w:proofErr w:type="spellEnd"/>
      <w:r>
        <w:rPr>
          <w:sz w:val="22"/>
          <w:szCs w:val="20"/>
          <w:lang w:val="en-US"/>
        </w:rPr>
        <w:t xml:space="preserve">, </w:t>
      </w:r>
      <w:r w:rsidR="006213A7">
        <w:rPr>
          <w:sz w:val="22"/>
          <w:szCs w:val="20"/>
          <w:lang w:val="en-US"/>
        </w:rPr>
        <w:t xml:space="preserve">Bluetooth </w:t>
      </w:r>
      <w:r w:rsidR="00740A92">
        <w:rPr>
          <w:sz w:val="22"/>
          <w:szCs w:val="20"/>
          <w:lang w:val="en-US"/>
        </w:rPr>
        <w:t xml:space="preserve">and 5G NR are already available in commercial devices supporting the 2300-2400 MHz band (3GPP band n40) and </w:t>
      </w:r>
      <w:r w:rsidR="0010433A">
        <w:rPr>
          <w:sz w:val="22"/>
          <w:szCs w:val="20"/>
          <w:lang w:val="en-US"/>
        </w:rPr>
        <w:t xml:space="preserve">their </w:t>
      </w:r>
      <w:r w:rsidR="00740A92">
        <w:rPr>
          <w:sz w:val="22"/>
          <w:szCs w:val="20"/>
          <w:lang w:val="en-US"/>
        </w:rPr>
        <w:t xml:space="preserve">coexistence </w:t>
      </w:r>
      <w:r w:rsidR="00517709">
        <w:rPr>
          <w:sz w:val="22"/>
          <w:szCs w:val="20"/>
          <w:lang w:val="en-US"/>
        </w:rPr>
        <w:t>has already been take into account</w:t>
      </w:r>
      <w:r w:rsidR="00740A92">
        <w:rPr>
          <w:sz w:val="22"/>
          <w:szCs w:val="20"/>
          <w:lang w:val="en-US"/>
        </w:rPr>
        <w:t>.</w:t>
      </w:r>
    </w:p>
    <w:p w14:paraId="25F72514" w14:textId="3D27FC01" w:rsidR="00BD2DC7" w:rsidRDefault="00BD2DC7" w:rsidP="00586750">
      <w:pPr>
        <w:pStyle w:val="ListParagraph"/>
        <w:numPr>
          <w:ilvl w:val="0"/>
          <w:numId w:val="14"/>
        </w:numPr>
        <w:rPr>
          <w:sz w:val="22"/>
          <w:szCs w:val="20"/>
          <w:lang w:val="en-US"/>
        </w:rPr>
      </w:pPr>
      <w:r>
        <w:rPr>
          <w:sz w:val="22"/>
          <w:szCs w:val="20"/>
          <w:lang w:val="en-US"/>
        </w:rPr>
        <w:t>The</w:t>
      </w:r>
      <w:r w:rsidRPr="00BD2DC7">
        <w:rPr>
          <w:sz w:val="22"/>
          <w:szCs w:val="20"/>
          <w:lang w:val="en-US"/>
        </w:rPr>
        <w:t xml:space="preserve"> </w:t>
      </w:r>
      <w:r>
        <w:rPr>
          <w:sz w:val="22"/>
          <w:szCs w:val="20"/>
          <w:lang w:val="en-US"/>
        </w:rPr>
        <w:t>a</w:t>
      </w:r>
      <w:r w:rsidRPr="00BD2DC7">
        <w:rPr>
          <w:sz w:val="22"/>
          <w:szCs w:val="20"/>
          <w:lang w:val="en-US"/>
        </w:rPr>
        <w:t>dditional baseline requirements above 2403 MHz</w:t>
      </w:r>
      <w:r>
        <w:rPr>
          <w:sz w:val="22"/>
          <w:szCs w:val="20"/>
          <w:lang w:val="en-US"/>
        </w:rPr>
        <w:t xml:space="preserve"> needs to be defined for AAS using TRP as the metrics</w:t>
      </w:r>
    </w:p>
    <w:p w14:paraId="7C0E4187" w14:textId="7A25EC44" w:rsidR="00740A92" w:rsidRPr="00057271" w:rsidRDefault="00740A92" w:rsidP="00CD0383">
      <w:pPr>
        <w:rPr>
          <w:sz w:val="22"/>
          <w:lang w:val="en-US"/>
        </w:rPr>
      </w:pPr>
      <w:r w:rsidRPr="00057271">
        <w:rPr>
          <w:sz w:val="22"/>
          <w:lang w:val="en-US"/>
        </w:rPr>
        <w:t xml:space="preserve">Based on the above, </w:t>
      </w:r>
      <w:r w:rsidR="00E1513C" w:rsidRPr="00057271">
        <w:rPr>
          <w:sz w:val="22"/>
          <w:lang w:val="en-US"/>
        </w:rPr>
        <w:t xml:space="preserve">it is proposed to </w:t>
      </w:r>
      <w:r w:rsidR="00033979" w:rsidRPr="00057271">
        <w:rPr>
          <w:sz w:val="22"/>
          <w:lang w:val="en-US"/>
        </w:rPr>
        <w:t xml:space="preserve">make a specific remark in the list </w:t>
      </w:r>
      <w:r w:rsidR="00E1513C" w:rsidRPr="00057271">
        <w:rPr>
          <w:sz w:val="22"/>
          <w:lang w:val="en-US"/>
        </w:rPr>
        <w:t xml:space="preserve">on fact that </w:t>
      </w:r>
      <w:r w:rsidRPr="00057271">
        <w:rPr>
          <w:sz w:val="22"/>
          <w:lang w:val="en-US"/>
        </w:rPr>
        <w:t xml:space="preserve">no specific studies will be developed in </w:t>
      </w:r>
      <w:r w:rsidR="00517709">
        <w:rPr>
          <w:sz w:val="22"/>
          <w:lang w:val="en-US"/>
        </w:rPr>
        <w:t>the new ECC draft Report</w:t>
      </w:r>
      <w:r w:rsidRPr="00057271">
        <w:rPr>
          <w:sz w:val="22"/>
          <w:lang w:val="en-US"/>
        </w:rPr>
        <w:t xml:space="preserve"> for </w:t>
      </w:r>
      <w:r w:rsidR="00517709">
        <w:rPr>
          <w:sz w:val="22"/>
          <w:lang w:val="en-US"/>
        </w:rPr>
        <w:t xml:space="preserve">the </w:t>
      </w:r>
      <w:r w:rsidRPr="00057271">
        <w:rPr>
          <w:sz w:val="22"/>
          <w:lang w:val="en-US"/>
        </w:rPr>
        <w:t xml:space="preserve">coexistence between MFCN and the </w:t>
      </w:r>
      <w:proofErr w:type="spellStart"/>
      <w:r w:rsidR="00BD2DC7">
        <w:rPr>
          <w:sz w:val="22"/>
          <w:lang w:val="en-US"/>
        </w:rPr>
        <w:t>WiFi</w:t>
      </w:r>
      <w:proofErr w:type="spellEnd"/>
      <w:r w:rsidR="00BD2DC7">
        <w:rPr>
          <w:sz w:val="22"/>
          <w:lang w:val="en-US"/>
        </w:rPr>
        <w:t xml:space="preserve">, </w:t>
      </w:r>
      <w:r w:rsidRPr="00057271">
        <w:rPr>
          <w:sz w:val="22"/>
          <w:lang w:val="en-US"/>
        </w:rPr>
        <w:t>Bluetooth technology.</w:t>
      </w:r>
    </w:p>
    <w:p w14:paraId="6426004D" w14:textId="1D57E4EB" w:rsidR="00DD2280" w:rsidRPr="004D3730" w:rsidRDefault="005260BF" w:rsidP="0025130A">
      <w:pPr>
        <w:pStyle w:val="Heading1"/>
        <w:rPr>
          <w:rStyle w:val="BookTitle"/>
          <w:b/>
          <w:bCs/>
          <w:i w:val="0"/>
          <w:iCs w:val="0"/>
          <w:spacing w:val="0"/>
        </w:rPr>
      </w:pPr>
      <w:r w:rsidRPr="004D3730">
        <w:rPr>
          <w:rStyle w:val="BookTitle"/>
          <w:b/>
          <w:i w:val="0"/>
          <w:iCs w:val="0"/>
          <w:spacing w:val="0"/>
        </w:rPr>
        <w:t xml:space="preserve">Remarks on the </w:t>
      </w:r>
      <w:r w:rsidR="00DD2280" w:rsidRPr="004D3730">
        <w:rPr>
          <w:rStyle w:val="BookTitle"/>
          <w:b/>
          <w:bCs/>
          <w:i w:val="0"/>
          <w:iCs w:val="0"/>
          <w:spacing w:val="0"/>
        </w:rPr>
        <w:t>Amateur radio</w:t>
      </w:r>
      <w:r w:rsidR="00FE1224" w:rsidRPr="004D3730">
        <w:rPr>
          <w:rStyle w:val="BookTitle"/>
          <w:b/>
          <w:bCs/>
          <w:i w:val="0"/>
          <w:iCs w:val="0"/>
          <w:spacing w:val="0"/>
        </w:rPr>
        <w:t xml:space="preserve"> service</w:t>
      </w:r>
    </w:p>
    <w:p w14:paraId="06C9896D" w14:textId="1284C540" w:rsidR="00740A92" w:rsidRPr="00057271" w:rsidRDefault="00740A92" w:rsidP="002D0DE2">
      <w:pPr>
        <w:rPr>
          <w:sz w:val="22"/>
          <w:lang w:val="en-US"/>
        </w:rPr>
      </w:pPr>
      <w:r w:rsidRPr="0025130A">
        <w:rPr>
          <w:sz w:val="22"/>
          <w:lang w:val="en-US"/>
        </w:rPr>
        <w:t xml:space="preserve">ECC Report 172 reaches the following conclusion with reference to the Amateur </w:t>
      </w:r>
      <w:r w:rsidRPr="00057271">
        <w:rPr>
          <w:sz w:val="22"/>
          <w:lang w:val="en-US"/>
        </w:rPr>
        <w:t>Service:</w:t>
      </w:r>
    </w:p>
    <w:p w14:paraId="62BBB44C" w14:textId="79A56196" w:rsidR="006213A7" w:rsidRPr="00057271" w:rsidRDefault="00740A92" w:rsidP="00A85DE5">
      <w:pPr>
        <w:ind w:left="567"/>
        <w:rPr>
          <w:i/>
          <w:sz w:val="22"/>
        </w:rPr>
      </w:pPr>
      <w:r w:rsidRPr="00057271">
        <w:rPr>
          <w:sz w:val="22"/>
          <w:lang w:val="en-US"/>
        </w:rPr>
        <w:t>“</w:t>
      </w:r>
      <w:r w:rsidR="006213A7" w:rsidRPr="00057271">
        <w:rPr>
          <w:i/>
          <w:sz w:val="22"/>
        </w:rPr>
        <w:t>In co-channel case where the antenna main lobes are pointing at each other, the required MCL between LTE and stations in the Amateur Service can be significant. Various mitigation techniques can be used to protect both BWS and Amateur service.</w:t>
      </w:r>
    </w:p>
    <w:p w14:paraId="5600B4EE" w14:textId="629585EE" w:rsidR="006213A7" w:rsidRPr="00057271" w:rsidRDefault="006213A7" w:rsidP="00A85DE5">
      <w:pPr>
        <w:ind w:left="567"/>
        <w:rPr>
          <w:i/>
          <w:sz w:val="22"/>
        </w:rPr>
      </w:pPr>
      <w:r w:rsidRPr="00057271">
        <w:rPr>
          <w:i/>
          <w:sz w:val="22"/>
        </w:rPr>
        <w:t>Constraints from LTE on the AS are almost the same as constraints from the AS on LTE. It should be noted that the Amateur Service is a secondary user of the band.</w:t>
      </w:r>
      <w:r w:rsidR="001D2095" w:rsidRPr="00057271">
        <w:rPr>
          <w:i/>
          <w:sz w:val="22"/>
        </w:rPr>
        <w:t>”</w:t>
      </w:r>
    </w:p>
    <w:p w14:paraId="2C375B70" w14:textId="0747B361" w:rsidR="006213A7" w:rsidRPr="00057271" w:rsidRDefault="001D2095" w:rsidP="002D0DE2">
      <w:pPr>
        <w:rPr>
          <w:sz w:val="22"/>
        </w:rPr>
      </w:pPr>
      <w:r w:rsidRPr="0025130A">
        <w:rPr>
          <w:sz w:val="22"/>
        </w:rPr>
        <w:t>S</w:t>
      </w:r>
      <w:r w:rsidR="00A85DE5" w:rsidRPr="00057271">
        <w:rPr>
          <w:sz w:val="22"/>
        </w:rPr>
        <w:t xml:space="preserve">imilar technical </w:t>
      </w:r>
      <w:r w:rsidR="00011EF4" w:rsidRPr="00057271">
        <w:rPr>
          <w:sz w:val="22"/>
        </w:rPr>
        <w:t xml:space="preserve">compatibility </w:t>
      </w:r>
      <w:r w:rsidR="00A85DE5" w:rsidRPr="00057271">
        <w:rPr>
          <w:sz w:val="22"/>
        </w:rPr>
        <w:t xml:space="preserve">solutions </w:t>
      </w:r>
      <w:r w:rsidRPr="00057271">
        <w:rPr>
          <w:sz w:val="22"/>
        </w:rPr>
        <w:t xml:space="preserve">are expected for </w:t>
      </w:r>
      <w:r w:rsidR="00A85DE5" w:rsidRPr="00057271">
        <w:rPr>
          <w:sz w:val="22"/>
        </w:rPr>
        <w:t xml:space="preserve">5G and AAS. </w:t>
      </w:r>
    </w:p>
    <w:p w14:paraId="517861E6" w14:textId="77777777" w:rsidR="00D802F5" w:rsidRPr="00057271" w:rsidRDefault="00D802F5" w:rsidP="002D0DE2">
      <w:pPr>
        <w:rPr>
          <w:sz w:val="22"/>
        </w:rPr>
      </w:pPr>
    </w:p>
    <w:p w14:paraId="393C4C72" w14:textId="20E325EC" w:rsidR="001D2095" w:rsidRPr="00057271" w:rsidRDefault="001D2095" w:rsidP="001D2095">
      <w:pPr>
        <w:rPr>
          <w:sz w:val="22"/>
          <w:lang w:val="en-US"/>
        </w:rPr>
      </w:pPr>
      <w:r w:rsidRPr="00057271">
        <w:rPr>
          <w:sz w:val="22"/>
          <w:lang w:val="en-US"/>
        </w:rPr>
        <w:t xml:space="preserve">Based on the above, </w:t>
      </w:r>
      <w:r w:rsidR="00033979" w:rsidRPr="00057271">
        <w:rPr>
          <w:sz w:val="22"/>
          <w:lang w:val="en-US"/>
        </w:rPr>
        <w:t>it is proposed to make a specific remark in the list o</w:t>
      </w:r>
      <w:r w:rsidR="00E1513C" w:rsidRPr="00057271">
        <w:rPr>
          <w:sz w:val="22"/>
          <w:lang w:val="en-US"/>
        </w:rPr>
        <w:t xml:space="preserve">n fact that </w:t>
      </w:r>
      <w:r w:rsidRPr="00057271">
        <w:rPr>
          <w:sz w:val="22"/>
          <w:lang w:val="en-US"/>
        </w:rPr>
        <w:t>no specific studies will be developed in this report for coexistence between MFCN and the Amateur service.</w:t>
      </w:r>
    </w:p>
    <w:p w14:paraId="18CD7784" w14:textId="1179F0C9" w:rsidR="005260BF" w:rsidRPr="004D3730" w:rsidRDefault="00DB4794" w:rsidP="00057271">
      <w:pPr>
        <w:pStyle w:val="Heading1"/>
        <w:rPr>
          <w:rStyle w:val="BookTitle"/>
          <w:b/>
          <w:bCs/>
          <w:i w:val="0"/>
          <w:spacing w:val="0"/>
        </w:rPr>
      </w:pPr>
      <w:r w:rsidRPr="004D3730">
        <w:rPr>
          <w:rStyle w:val="BookTitle"/>
          <w:b/>
          <w:i w:val="0"/>
          <w:iCs w:val="0"/>
          <w:spacing w:val="0"/>
        </w:rPr>
        <w:t xml:space="preserve">proposal on Incumbent </w:t>
      </w:r>
      <w:r w:rsidR="005260BF" w:rsidRPr="004D3730">
        <w:rPr>
          <w:rStyle w:val="BookTitle"/>
          <w:b/>
          <w:bCs/>
          <w:i w:val="0"/>
          <w:spacing w:val="0"/>
        </w:rPr>
        <w:t>Services and applications addressed</w:t>
      </w:r>
    </w:p>
    <w:p w14:paraId="7C4D0204" w14:textId="77777777" w:rsidR="00DB4794" w:rsidRPr="00057271" w:rsidRDefault="001D44AB" w:rsidP="002D0DE2">
      <w:pPr>
        <w:rPr>
          <w:sz w:val="22"/>
          <w:lang w:val="en-US"/>
        </w:rPr>
      </w:pPr>
      <w:r w:rsidRPr="0025130A">
        <w:rPr>
          <w:sz w:val="22"/>
          <w:lang w:val="en-US"/>
        </w:rPr>
        <w:t xml:space="preserve">Based on the </w:t>
      </w:r>
      <w:r w:rsidR="00FE1224" w:rsidRPr="0025130A">
        <w:rPr>
          <w:sz w:val="22"/>
          <w:lang w:val="en-US"/>
        </w:rPr>
        <w:t>above</w:t>
      </w:r>
      <w:r w:rsidR="00DB4794" w:rsidRPr="0025130A">
        <w:rPr>
          <w:sz w:val="22"/>
          <w:lang w:val="en-US"/>
        </w:rPr>
        <w:t>, it is proposed to</w:t>
      </w:r>
      <w:r w:rsidR="00DB4794" w:rsidRPr="00057271">
        <w:rPr>
          <w:sz w:val="22"/>
          <w:lang w:val="en-US"/>
        </w:rPr>
        <w:t>:</w:t>
      </w:r>
    </w:p>
    <w:p w14:paraId="02D8663E" w14:textId="4A672233" w:rsidR="0013157F" w:rsidRDefault="0013157F" w:rsidP="00586750">
      <w:pPr>
        <w:pStyle w:val="ListParagraph"/>
        <w:numPr>
          <w:ilvl w:val="0"/>
          <w:numId w:val="15"/>
        </w:numPr>
        <w:rPr>
          <w:sz w:val="22"/>
          <w:lang w:val="en-US"/>
        </w:rPr>
      </w:pPr>
      <w:r>
        <w:rPr>
          <w:sz w:val="22"/>
          <w:lang w:val="en-US"/>
        </w:rPr>
        <w:t xml:space="preserve">Consider the up-to-date information on in-band and adjacent services for the 2300-2400 MHz band </w:t>
      </w:r>
    </w:p>
    <w:p w14:paraId="0D358FE3" w14:textId="77777777" w:rsidR="0013157F" w:rsidRDefault="0013157F" w:rsidP="00586750">
      <w:pPr>
        <w:pStyle w:val="ListParagraph"/>
        <w:numPr>
          <w:ilvl w:val="0"/>
          <w:numId w:val="15"/>
        </w:numPr>
        <w:rPr>
          <w:sz w:val="22"/>
          <w:lang w:val="en-US"/>
        </w:rPr>
      </w:pPr>
      <w:r>
        <w:rPr>
          <w:sz w:val="22"/>
          <w:lang w:val="en-US"/>
        </w:rPr>
        <w:t xml:space="preserve">On coexistence studies that </w:t>
      </w:r>
    </w:p>
    <w:p w14:paraId="65488809" w14:textId="7197D644" w:rsidR="00455407" w:rsidRPr="0010433A" w:rsidRDefault="0013157F" w:rsidP="00384DE5">
      <w:pPr>
        <w:pStyle w:val="ListParagraph"/>
        <w:numPr>
          <w:ilvl w:val="1"/>
          <w:numId w:val="15"/>
        </w:numPr>
        <w:rPr>
          <w:sz w:val="22"/>
          <w:lang w:val="en-US"/>
        </w:rPr>
      </w:pPr>
      <w:r>
        <w:rPr>
          <w:sz w:val="22"/>
          <w:lang w:val="en-US"/>
        </w:rPr>
        <w:lastRenderedPageBreak/>
        <w:t>I</w:t>
      </w:r>
      <w:r w:rsidR="00DB4794" w:rsidRPr="0010433A">
        <w:rPr>
          <w:sz w:val="22"/>
          <w:lang w:val="en-US"/>
        </w:rPr>
        <w:t xml:space="preserve">n the list of the new ECC Report that </w:t>
      </w:r>
      <w:r w:rsidR="00B20C1A">
        <w:rPr>
          <w:sz w:val="22"/>
          <w:lang w:val="en-US"/>
        </w:rPr>
        <w:t xml:space="preserve">for </w:t>
      </w:r>
      <w:r w:rsidR="00DB4794" w:rsidRPr="0010433A">
        <w:rPr>
          <w:sz w:val="22"/>
          <w:lang w:val="en-US"/>
        </w:rPr>
        <w:t>“Fixed service” no specific studies will be developed about coexistence with MFCN</w:t>
      </w:r>
      <w:r w:rsidR="00B20C1A">
        <w:rPr>
          <w:sz w:val="22"/>
          <w:lang w:val="en-US"/>
        </w:rPr>
        <w:t>,</w:t>
      </w:r>
      <w:r w:rsidR="00DB4794" w:rsidRPr="0010433A">
        <w:rPr>
          <w:sz w:val="22"/>
          <w:lang w:val="en-US"/>
        </w:rPr>
        <w:t xml:space="preserve"> and</w:t>
      </w:r>
      <w:r w:rsidR="00B20C1A">
        <w:rPr>
          <w:sz w:val="22"/>
          <w:lang w:val="en-US"/>
        </w:rPr>
        <w:t>,</w:t>
      </w:r>
      <w:r w:rsidR="00DB4794" w:rsidRPr="0010433A">
        <w:rPr>
          <w:sz w:val="22"/>
          <w:lang w:val="en-US"/>
        </w:rPr>
        <w:t xml:space="preserve"> to add in the </w:t>
      </w:r>
      <w:r w:rsidR="0013711C">
        <w:rPr>
          <w:sz w:val="22"/>
          <w:lang w:val="en-US"/>
        </w:rPr>
        <w:t xml:space="preserve">working </w:t>
      </w:r>
      <w:r w:rsidR="00BA53FC">
        <w:rPr>
          <w:sz w:val="22"/>
          <w:lang w:val="en-US"/>
        </w:rPr>
        <w:t xml:space="preserve">draft </w:t>
      </w:r>
      <w:r w:rsidR="00DB4794" w:rsidRPr="0025130A">
        <w:rPr>
          <w:sz w:val="22"/>
          <w:lang w:val="en-US"/>
        </w:rPr>
        <w:t xml:space="preserve">Report </w:t>
      </w:r>
      <w:r w:rsidR="00DB4794" w:rsidRPr="0010433A">
        <w:rPr>
          <w:sz w:val="22"/>
          <w:lang w:val="en-US"/>
        </w:rPr>
        <w:t>the explanations above</w:t>
      </w:r>
      <w:r w:rsidR="00455407" w:rsidRPr="0010433A">
        <w:rPr>
          <w:sz w:val="22"/>
          <w:lang w:val="en-US"/>
        </w:rPr>
        <w:t xml:space="preserve">, </w:t>
      </w:r>
      <w:r w:rsidR="00B20C1A">
        <w:rPr>
          <w:sz w:val="22"/>
          <w:lang w:val="en-US"/>
        </w:rPr>
        <w:t>in</w:t>
      </w:r>
      <w:r w:rsidR="00455407" w:rsidRPr="0010433A">
        <w:rPr>
          <w:sz w:val="22"/>
          <w:lang w:val="en-US"/>
        </w:rPr>
        <w:t xml:space="preserve"> paragraph 4</w:t>
      </w:r>
    </w:p>
    <w:p w14:paraId="6940180E" w14:textId="6903E370" w:rsidR="00455407" w:rsidRPr="0010433A" w:rsidRDefault="0013157F" w:rsidP="00384DE5">
      <w:pPr>
        <w:pStyle w:val="ListParagraph"/>
        <w:numPr>
          <w:ilvl w:val="1"/>
          <w:numId w:val="15"/>
        </w:numPr>
        <w:rPr>
          <w:sz w:val="22"/>
          <w:lang w:val="en-US"/>
        </w:rPr>
      </w:pPr>
      <w:r>
        <w:rPr>
          <w:sz w:val="22"/>
          <w:lang w:val="en-US"/>
        </w:rPr>
        <w:t>I</w:t>
      </w:r>
      <w:r w:rsidR="00DB4794" w:rsidRPr="0010433A">
        <w:rPr>
          <w:sz w:val="22"/>
          <w:lang w:val="en-US"/>
        </w:rPr>
        <w:t xml:space="preserve">n the list of the new ECC Report that </w:t>
      </w:r>
      <w:r w:rsidR="00B20C1A">
        <w:rPr>
          <w:sz w:val="22"/>
          <w:lang w:val="en-US"/>
        </w:rPr>
        <w:t xml:space="preserve">for </w:t>
      </w:r>
      <w:r w:rsidR="00DB4794" w:rsidRPr="0010433A">
        <w:rPr>
          <w:sz w:val="22"/>
          <w:lang w:val="en-US"/>
        </w:rPr>
        <w:t xml:space="preserve">“Bluetooth </w:t>
      </w:r>
      <w:r w:rsidR="00BD2DC7">
        <w:rPr>
          <w:sz w:val="22"/>
          <w:lang w:val="en-US"/>
        </w:rPr>
        <w:t xml:space="preserve">and </w:t>
      </w:r>
      <w:proofErr w:type="spellStart"/>
      <w:r w:rsidR="00BD2DC7">
        <w:rPr>
          <w:sz w:val="22"/>
          <w:lang w:val="en-US"/>
        </w:rPr>
        <w:t>WiFi</w:t>
      </w:r>
      <w:proofErr w:type="spellEnd"/>
      <w:r w:rsidR="00BD2DC7">
        <w:rPr>
          <w:sz w:val="22"/>
          <w:lang w:val="en-US"/>
        </w:rPr>
        <w:t xml:space="preserve"> </w:t>
      </w:r>
      <w:r w:rsidR="00DB4794" w:rsidRPr="0010433A">
        <w:rPr>
          <w:sz w:val="22"/>
          <w:lang w:val="en-US"/>
        </w:rPr>
        <w:t>technology” no specific studies will be developed about coexistence with MFCN</w:t>
      </w:r>
      <w:r w:rsidR="00B20C1A">
        <w:rPr>
          <w:sz w:val="22"/>
          <w:lang w:val="en-US"/>
        </w:rPr>
        <w:t>,</w:t>
      </w:r>
      <w:r w:rsidR="00DB4794" w:rsidRPr="0010433A">
        <w:rPr>
          <w:sz w:val="22"/>
          <w:lang w:val="en-US"/>
        </w:rPr>
        <w:t xml:space="preserve"> and</w:t>
      </w:r>
      <w:r w:rsidR="00B20C1A">
        <w:rPr>
          <w:sz w:val="22"/>
          <w:lang w:val="en-US"/>
        </w:rPr>
        <w:t>,</w:t>
      </w:r>
      <w:r w:rsidR="00DB4794" w:rsidRPr="0010433A">
        <w:rPr>
          <w:sz w:val="22"/>
          <w:lang w:val="en-US"/>
        </w:rPr>
        <w:t xml:space="preserve"> to add in the </w:t>
      </w:r>
      <w:r w:rsidR="0013711C">
        <w:rPr>
          <w:sz w:val="22"/>
          <w:lang w:val="en-US"/>
        </w:rPr>
        <w:t xml:space="preserve">working </w:t>
      </w:r>
      <w:r w:rsidR="00BA53FC">
        <w:rPr>
          <w:sz w:val="22"/>
          <w:lang w:val="en-US"/>
        </w:rPr>
        <w:t>draft</w:t>
      </w:r>
      <w:r w:rsidR="00DB4794" w:rsidRPr="0025130A">
        <w:rPr>
          <w:sz w:val="22"/>
          <w:lang w:val="en-US"/>
        </w:rPr>
        <w:t xml:space="preserve"> Rep</w:t>
      </w:r>
      <w:r w:rsidR="00DB4794" w:rsidRPr="0010433A">
        <w:rPr>
          <w:sz w:val="22"/>
          <w:lang w:val="en-US"/>
        </w:rPr>
        <w:t>ort the explanations above</w:t>
      </w:r>
      <w:r w:rsidR="00455407" w:rsidRPr="0010433A">
        <w:rPr>
          <w:sz w:val="22"/>
          <w:lang w:val="en-US"/>
        </w:rPr>
        <w:t>, in paragraph 5</w:t>
      </w:r>
    </w:p>
    <w:p w14:paraId="160C1FDE" w14:textId="55393FE4" w:rsidR="006C1741" w:rsidRDefault="0013157F" w:rsidP="00384DE5">
      <w:pPr>
        <w:pStyle w:val="ListParagraph"/>
        <w:numPr>
          <w:ilvl w:val="1"/>
          <w:numId w:val="15"/>
        </w:numPr>
        <w:rPr>
          <w:sz w:val="22"/>
          <w:lang w:val="en-US"/>
        </w:rPr>
      </w:pPr>
      <w:r>
        <w:rPr>
          <w:sz w:val="22"/>
          <w:lang w:val="en-US"/>
        </w:rPr>
        <w:t>I</w:t>
      </w:r>
      <w:r w:rsidR="00455407" w:rsidRPr="0010433A">
        <w:rPr>
          <w:sz w:val="22"/>
          <w:lang w:val="en-US"/>
        </w:rPr>
        <w:t xml:space="preserve">n the list of the new ECC Report that </w:t>
      </w:r>
      <w:r w:rsidR="00B20C1A">
        <w:rPr>
          <w:sz w:val="22"/>
          <w:lang w:val="en-US"/>
        </w:rPr>
        <w:t xml:space="preserve">for </w:t>
      </w:r>
      <w:r w:rsidR="00455407" w:rsidRPr="0010433A">
        <w:rPr>
          <w:sz w:val="22"/>
          <w:lang w:val="en-US"/>
        </w:rPr>
        <w:t>“Radio amateur service” no specific studies will be developed about coexistence with MFCN</w:t>
      </w:r>
      <w:r w:rsidR="00B20C1A">
        <w:rPr>
          <w:sz w:val="22"/>
          <w:lang w:val="en-US"/>
        </w:rPr>
        <w:t>,</w:t>
      </w:r>
      <w:r w:rsidR="00455407" w:rsidRPr="0010433A">
        <w:rPr>
          <w:sz w:val="22"/>
          <w:lang w:val="en-US"/>
        </w:rPr>
        <w:t xml:space="preserve"> and</w:t>
      </w:r>
      <w:r w:rsidR="00B20C1A">
        <w:rPr>
          <w:sz w:val="22"/>
          <w:lang w:val="en-US"/>
        </w:rPr>
        <w:t>,</w:t>
      </w:r>
      <w:r w:rsidR="00455407" w:rsidRPr="0010433A">
        <w:rPr>
          <w:sz w:val="22"/>
          <w:lang w:val="en-US"/>
        </w:rPr>
        <w:t xml:space="preserve"> to add in the </w:t>
      </w:r>
      <w:r w:rsidR="0013711C">
        <w:rPr>
          <w:sz w:val="22"/>
          <w:lang w:val="en-US"/>
        </w:rPr>
        <w:t xml:space="preserve">working </w:t>
      </w:r>
      <w:r w:rsidR="00BA53FC">
        <w:rPr>
          <w:sz w:val="22"/>
          <w:lang w:val="en-US"/>
        </w:rPr>
        <w:t xml:space="preserve">draft </w:t>
      </w:r>
      <w:r w:rsidR="00455407" w:rsidRPr="0025130A">
        <w:rPr>
          <w:sz w:val="22"/>
          <w:lang w:val="en-US"/>
        </w:rPr>
        <w:t xml:space="preserve">Report </w:t>
      </w:r>
      <w:r w:rsidR="00455407" w:rsidRPr="0010433A">
        <w:rPr>
          <w:sz w:val="22"/>
          <w:lang w:val="en-US"/>
        </w:rPr>
        <w:t>the explanations above, in paragraph 6</w:t>
      </w:r>
    </w:p>
    <w:p w14:paraId="7EFAE184" w14:textId="313B9825" w:rsidR="006A686D" w:rsidRDefault="00DD48FC" w:rsidP="00DD48FC">
      <w:pPr>
        <w:pStyle w:val="Heading1"/>
        <w:rPr>
          <w:szCs w:val="20"/>
          <w:lang w:val="en-US"/>
        </w:rPr>
      </w:pPr>
      <w:r>
        <w:rPr>
          <w:szCs w:val="20"/>
          <w:lang w:val="en-US"/>
        </w:rPr>
        <w:t xml:space="preserve">Draft list of </w:t>
      </w:r>
      <w:r w:rsidRPr="007D7F04">
        <w:t>services and applications</w:t>
      </w:r>
    </w:p>
    <w:p w14:paraId="5413D05A" w14:textId="63372038" w:rsidR="006A686D" w:rsidRPr="007D7F04" w:rsidRDefault="006A686D" w:rsidP="006A686D">
      <w:pPr>
        <w:spacing w:before="0" w:after="0"/>
        <w:rPr>
          <w:sz w:val="22"/>
          <w:lang w:val="en-US"/>
        </w:rPr>
      </w:pPr>
      <w:r w:rsidRPr="007D7F04">
        <w:rPr>
          <w:sz w:val="22"/>
          <w:lang w:val="en-US"/>
        </w:rPr>
        <w:t xml:space="preserve">Based on the information above, a list of </w:t>
      </w:r>
      <w:r w:rsidRPr="007D7F04">
        <w:rPr>
          <w:sz w:val="22"/>
        </w:rPr>
        <w:t xml:space="preserve">services and applications </w:t>
      </w:r>
      <w:r w:rsidR="00DD48FC">
        <w:rPr>
          <w:sz w:val="22"/>
        </w:rPr>
        <w:t>is</w:t>
      </w:r>
      <w:r w:rsidRPr="007D7F04">
        <w:rPr>
          <w:sz w:val="22"/>
        </w:rPr>
        <w:t xml:space="preserve"> </w:t>
      </w:r>
      <w:r w:rsidR="00DD48FC">
        <w:rPr>
          <w:sz w:val="22"/>
        </w:rPr>
        <w:t>proposed</w:t>
      </w:r>
      <w:r w:rsidRPr="007D7F04">
        <w:rPr>
          <w:sz w:val="22"/>
        </w:rPr>
        <w:t xml:space="preserve"> as:</w:t>
      </w:r>
    </w:p>
    <w:p w14:paraId="172CE0C5" w14:textId="77777777" w:rsidR="006A686D" w:rsidRDefault="006A686D" w:rsidP="006A686D">
      <w:pPr>
        <w:pStyle w:val="Heading3"/>
        <w:tabs>
          <w:tab w:val="clear" w:pos="6867"/>
          <w:tab w:val="num" w:pos="720"/>
        </w:tabs>
        <w:ind w:left="720"/>
      </w:pPr>
      <w:r w:rsidRPr="001B558A">
        <w:t xml:space="preserve">In 2000MHz to 2290MHz band </w:t>
      </w:r>
    </w:p>
    <w:p w14:paraId="2FB79167" w14:textId="77777777" w:rsidR="006A686D" w:rsidRPr="007D7F04" w:rsidRDefault="006A686D" w:rsidP="006A686D">
      <w:pPr>
        <w:ind w:left="567"/>
        <w:rPr>
          <w:b/>
          <w:sz w:val="18"/>
        </w:rPr>
      </w:pPr>
      <w:r w:rsidRPr="007D7F04">
        <w:rPr>
          <w:sz w:val="18"/>
        </w:rPr>
        <w:t>SRS Space Research (Space to Earth)</w:t>
      </w:r>
    </w:p>
    <w:p w14:paraId="3051D9DC" w14:textId="77777777" w:rsidR="006A686D" w:rsidRPr="007D7F04" w:rsidRDefault="006A686D" w:rsidP="006A686D">
      <w:pPr>
        <w:ind w:left="567"/>
        <w:rPr>
          <w:b/>
          <w:sz w:val="18"/>
        </w:rPr>
      </w:pPr>
      <w:r w:rsidRPr="007D7F04">
        <w:rPr>
          <w:sz w:val="18"/>
        </w:rPr>
        <w:t>RAS</w:t>
      </w:r>
    </w:p>
    <w:p w14:paraId="4F1FA4AA" w14:textId="77777777" w:rsidR="006A686D" w:rsidRPr="007D7F04" w:rsidRDefault="006A686D" w:rsidP="006A686D">
      <w:pPr>
        <w:ind w:left="567"/>
        <w:rPr>
          <w:sz w:val="18"/>
        </w:rPr>
      </w:pPr>
      <w:r w:rsidRPr="007D7F04">
        <w:rPr>
          <w:sz w:val="18"/>
        </w:rPr>
        <w:t>Telemetry (MOD)</w:t>
      </w:r>
    </w:p>
    <w:p w14:paraId="0BFCDC23" w14:textId="77777777" w:rsidR="006A686D" w:rsidRPr="007D7F04" w:rsidRDefault="006A686D" w:rsidP="006A686D">
      <w:pPr>
        <w:ind w:left="567"/>
        <w:rPr>
          <w:b/>
          <w:sz w:val="18"/>
        </w:rPr>
      </w:pPr>
      <w:r w:rsidRPr="007D7F04">
        <w:rPr>
          <w:sz w:val="18"/>
        </w:rPr>
        <w:t>Aeronautical mobile service (MOD)</w:t>
      </w:r>
    </w:p>
    <w:p w14:paraId="7E95DE0A" w14:textId="3592D5D4" w:rsidR="006A686D" w:rsidRPr="007D7F04" w:rsidRDefault="006A686D" w:rsidP="006A686D">
      <w:pPr>
        <w:ind w:left="567"/>
        <w:rPr>
          <w:sz w:val="18"/>
        </w:rPr>
      </w:pPr>
      <w:r w:rsidRPr="007D7F04">
        <w:rPr>
          <w:sz w:val="18"/>
        </w:rPr>
        <w:t>FS</w:t>
      </w:r>
      <w:r w:rsidR="00DD48FC">
        <w:rPr>
          <w:sz w:val="18"/>
        </w:rPr>
        <w:t xml:space="preserve"> </w:t>
      </w:r>
      <w:r w:rsidR="00DD48FC" w:rsidRPr="00DB7073">
        <w:t>(Not need coexistence</w:t>
      </w:r>
      <w:r w:rsidR="00DD48FC">
        <w:t xml:space="preserve"> study with 5G NR and AAS</w:t>
      </w:r>
      <w:r w:rsidR="00DD48FC" w:rsidRPr="00DB7073">
        <w:t>)</w:t>
      </w:r>
    </w:p>
    <w:p w14:paraId="56740FBB" w14:textId="77777777" w:rsidR="006A686D" w:rsidRDefault="006A686D" w:rsidP="006A686D">
      <w:pPr>
        <w:pStyle w:val="Heading3"/>
        <w:tabs>
          <w:tab w:val="clear" w:pos="6867"/>
          <w:tab w:val="num" w:pos="720"/>
        </w:tabs>
        <w:ind w:left="720"/>
      </w:pPr>
      <w:r w:rsidRPr="001B558A">
        <w:t>In 2290MHz to 2300MHz band</w:t>
      </w:r>
    </w:p>
    <w:p w14:paraId="3D8C5A91" w14:textId="77777777" w:rsidR="006A686D" w:rsidRPr="007D7F04" w:rsidRDefault="006A686D" w:rsidP="006A686D">
      <w:pPr>
        <w:ind w:left="567"/>
        <w:rPr>
          <w:sz w:val="18"/>
        </w:rPr>
      </w:pPr>
      <w:r w:rsidRPr="007D7F04">
        <w:rPr>
          <w:sz w:val="18"/>
        </w:rPr>
        <w:t>SRS - Space Research (deep Space)</w:t>
      </w:r>
    </w:p>
    <w:p w14:paraId="4C7B3A27" w14:textId="77777777" w:rsidR="006A686D" w:rsidRPr="007D7F04" w:rsidRDefault="006A686D" w:rsidP="006A686D">
      <w:pPr>
        <w:ind w:left="567"/>
        <w:rPr>
          <w:sz w:val="18"/>
        </w:rPr>
      </w:pPr>
      <w:r w:rsidRPr="007D7F04">
        <w:rPr>
          <w:sz w:val="18"/>
        </w:rPr>
        <w:t>Telemetry (MOD)</w:t>
      </w:r>
    </w:p>
    <w:p w14:paraId="2E72BCF7" w14:textId="77777777" w:rsidR="006A686D" w:rsidRPr="001B558A" w:rsidRDefault="006A686D" w:rsidP="006A686D">
      <w:pPr>
        <w:pStyle w:val="Heading3"/>
        <w:tabs>
          <w:tab w:val="clear" w:pos="6867"/>
          <w:tab w:val="num" w:pos="720"/>
        </w:tabs>
        <w:ind w:left="720"/>
      </w:pPr>
      <w:r w:rsidRPr="001B558A">
        <w:t>In 2300MHz to 2400MHz band</w:t>
      </w:r>
    </w:p>
    <w:p w14:paraId="02C81E8F" w14:textId="77777777" w:rsidR="006A686D" w:rsidRPr="007D7F04" w:rsidRDefault="006A686D" w:rsidP="006A686D">
      <w:pPr>
        <w:ind w:left="567"/>
        <w:rPr>
          <w:sz w:val="18"/>
        </w:rPr>
      </w:pPr>
      <w:r w:rsidRPr="007D7F04">
        <w:rPr>
          <w:sz w:val="18"/>
        </w:rPr>
        <w:t>MFCN - BWS</w:t>
      </w:r>
    </w:p>
    <w:p w14:paraId="52490AB9" w14:textId="77777777" w:rsidR="006A686D" w:rsidRPr="007D7F04" w:rsidRDefault="006A686D" w:rsidP="006A686D">
      <w:pPr>
        <w:ind w:left="567"/>
        <w:rPr>
          <w:sz w:val="18"/>
        </w:rPr>
      </w:pPr>
      <w:r w:rsidRPr="007D7F04">
        <w:rPr>
          <w:sz w:val="18"/>
        </w:rPr>
        <w:t>RAS</w:t>
      </w:r>
    </w:p>
    <w:p w14:paraId="572D2C95" w14:textId="77777777" w:rsidR="006A686D" w:rsidRPr="007D7F04" w:rsidRDefault="006A686D" w:rsidP="006A686D">
      <w:pPr>
        <w:ind w:left="567"/>
        <w:rPr>
          <w:sz w:val="18"/>
        </w:rPr>
      </w:pPr>
      <w:r w:rsidRPr="007D7F04">
        <w:rPr>
          <w:sz w:val="18"/>
        </w:rPr>
        <w:t>PMSE - Programme Making and Special Events: SAP/SAB video links</w:t>
      </w:r>
    </w:p>
    <w:p w14:paraId="7B1424A5" w14:textId="77777777" w:rsidR="006A686D" w:rsidRPr="007D7F04" w:rsidRDefault="006A686D" w:rsidP="006A686D">
      <w:pPr>
        <w:ind w:left="567"/>
        <w:rPr>
          <w:sz w:val="18"/>
          <w:lang w:val="fr-FR"/>
        </w:rPr>
      </w:pPr>
      <w:r w:rsidRPr="007D7F04">
        <w:rPr>
          <w:sz w:val="18"/>
          <w:lang w:val="fr-FR"/>
        </w:rPr>
        <w:t>Aéronautique mobile service (</w:t>
      </w:r>
      <w:proofErr w:type="spellStart"/>
      <w:r w:rsidRPr="007D7F04">
        <w:rPr>
          <w:sz w:val="18"/>
          <w:lang w:val="fr-FR"/>
        </w:rPr>
        <w:t>e.g</w:t>
      </w:r>
      <w:proofErr w:type="spellEnd"/>
      <w:r w:rsidRPr="007D7F04">
        <w:rPr>
          <w:sz w:val="18"/>
          <w:lang w:val="fr-FR"/>
        </w:rPr>
        <w:t>. UAS)</w:t>
      </w:r>
    </w:p>
    <w:p w14:paraId="4ECEC9F2" w14:textId="77777777" w:rsidR="006A686D" w:rsidRPr="007D7F04" w:rsidRDefault="006A686D" w:rsidP="006A686D">
      <w:pPr>
        <w:ind w:left="567"/>
        <w:rPr>
          <w:sz w:val="18"/>
        </w:rPr>
      </w:pPr>
      <w:r w:rsidRPr="007D7F04">
        <w:rPr>
          <w:sz w:val="18"/>
        </w:rPr>
        <w:t>Telemetry (MOD)</w:t>
      </w:r>
    </w:p>
    <w:p w14:paraId="6E263A6E" w14:textId="0A527EA4" w:rsidR="006A686D" w:rsidRPr="007D7F04" w:rsidRDefault="006A686D" w:rsidP="006A686D">
      <w:pPr>
        <w:ind w:left="567"/>
        <w:rPr>
          <w:sz w:val="18"/>
        </w:rPr>
      </w:pPr>
      <w:r w:rsidRPr="007D7F04">
        <w:rPr>
          <w:sz w:val="18"/>
        </w:rPr>
        <w:t>Amateur Service (secondary service)</w:t>
      </w:r>
      <w:r w:rsidR="00DD48FC">
        <w:rPr>
          <w:sz w:val="18"/>
        </w:rPr>
        <w:t xml:space="preserve"> </w:t>
      </w:r>
      <w:r w:rsidR="00DD48FC" w:rsidRPr="00DB7073">
        <w:t>(Not need coexistence</w:t>
      </w:r>
      <w:r w:rsidR="00DD48FC">
        <w:t xml:space="preserve"> study with 5G NR and AAS</w:t>
      </w:r>
      <w:r w:rsidR="00DD48FC" w:rsidRPr="00DB7073">
        <w:t>)</w:t>
      </w:r>
    </w:p>
    <w:p w14:paraId="4B9C6EEB" w14:textId="77777777" w:rsidR="006A686D" w:rsidRPr="001B558A" w:rsidRDefault="006A686D" w:rsidP="006A686D">
      <w:pPr>
        <w:pStyle w:val="Heading3"/>
        <w:tabs>
          <w:tab w:val="clear" w:pos="6867"/>
          <w:tab w:val="num" w:pos="720"/>
        </w:tabs>
        <w:ind w:left="720"/>
      </w:pPr>
      <w:r w:rsidRPr="001B558A">
        <w:t>In 2400MHz to 2483.5MHz band</w:t>
      </w:r>
    </w:p>
    <w:p w14:paraId="79AA85C0" w14:textId="230F0AE4" w:rsidR="006A686D" w:rsidRPr="002A461C" w:rsidRDefault="00213194" w:rsidP="00384DE5">
      <w:pPr>
        <w:ind w:left="567"/>
        <w:rPr>
          <w:sz w:val="18"/>
        </w:rPr>
      </w:pPr>
      <w:r>
        <w:rPr>
          <w:sz w:val="18"/>
        </w:rPr>
        <w:t>SRD (</w:t>
      </w:r>
      <w:r w:rsidR="006A686D" w:rsidRPr="007D7F04">
        <w:rPr>
          <w:sz w:val="18"/>
        </w:rPr>
        <w:t xml:space="preserve">RLAN </w:t>
      </w:r>
      <w:r>
        <w:rPr>
          <w:sz w:val="18"/>
        </w:rPr>
        <w:t>–</w:t>
      </w:r>
      <w:r w:rsidR="006A686D" w:rsidRPr="007D7F04">
        <w:rPr>
          <w:sz w:val="18"/>
        </w:rPr>
        <w:t xml:space="preserve"> WIFI</w:t>
      </w:r>
      <w:r>
        <w:rPr>
          <w:sz w:val="18"/>
        </w:rPr>
        <w:t xml:space="preserve"> – </w:t>
      </w:r>
      <w:r w:rsidR="006A686D" w:rsidRPr="007D7F04">
        <w:rPr>
          <w:sz w:val="18"/>
        </w:rPr>
        <w:t>Bluetooth</w:t>
      </w:r>
      <w:r>
        <w:rPr>
          <w:sz w:val="18"/>
        </w:rPr>
        <w:t>…)</w:t>
      </w:r>
      <w:r w:rsidR="00DD48FC">
        <w:rPr>
          <w:sz w:val="18"/>
        </w:rPr>
        <w:t xml:space="preserve"> </w:t>
      </w:r>
      <w:r w:rsidR="00DD48FC" w:rsidRPr="00DB7073">
        <w:t>(Not need coexistence</w:t>
      </w:r>
      <w:r w:rsidR="00DD48FC">
        <w:t xml:space="preserve"> study with 5G NR and AAS</w:t>
      </w:r>
      <w:r w:rsidR="00DD48FC" w:rsidRPr="00DB7073">
        <w:t>)</w:t>
      </w:r>
    </w:p>
    <w:p w14:paraId="1DDA203F" w14:textId="287D0D9D" w:rsidR="006A686D" w:rsidRDefault="00DD48FC" w:rsidP="00DD48FC">
      <w:pPr>
        <w:pStyle w:val="Heading1"/>
      </w:pPr>
      <w:r>
        <w:lastRenderedPageBreak/>
        <w:t>Update of the ECC Draft Report</w:t>
      </w:r>
    </w:p>
    <w:p w14:paraId="2E445535" w14:textId="5C297E13" w:rsidR="006C1741" w:rsidRDefault="00DD48FC" w:rsidP="006C1741">
      <w:pPr>
        <w:rPr>
          <w:sz w:val="22"/>
          <w:szCs w:val="20"/>
          <w:lang w:val="en-US"/>
        </w:rPr>
      </w:pPr>
      <w:r>
        <w:rPr>
          <w:sz w:val="22"/>
          <w:szCs w:val="20"/>
          <w:lang w:val="en-US"/>
        </w:rPr>
        <w:t>Based on all information above</w:t>
      </w:r>
      <w:r w:rsidR="006C1741" w:rsidRPr="006C1741">
        <w:rPr>
          <w:sz w:val="22"/>
          <w:szCs w:val="20"/>
          <w:lang w:val="en-US"/>
        </w:rPr>
        <w:t>, it is proposed to add relevant information in and around the 2300-2400MHz band</w:t>
      </w:r>
      <w:r w:rsidR="006C1741">
        <w:rPr>
          <w:sz w:val="22"/>
          <w:szCs w:val="20"/>
          <w:lang w:val="en-US"/>
        </w:rPr>
        <w:t xml:space="preserve"> in the ECC </w:t>
      </w:r>
      <w:r w:rsidR="006C1741" w:rsidRPr="006C1741">
        <w:rPr>
          <w:sz w:val="22"/>
          <w:szCs w:val="20"/>
          <w:lang w:val="en-US"/>
        </w:rPr>
        <w:t>draft Report “Analysis of the suitability and update of the regulatory technical conditions for 5G MFCN and AAS operation in the 2300-2400 MHz band”</w:t>
      </w:r>
      <w:r w:rsidR="0012650F">
        <w:rPr>
          <w:sz w:val="22"/>
          <w:szCs w:val="20"/>
          <w:lang w:val="en-US"/>
        </w:rPr>
        <w:t xml:space="preserve">. </w:t>
      </w:r>
    </w:p>
    <w:p w14:paraId="3ED6822F" w14:textId="2D4548AA" w:rsidR="0012650F" w:rsidRDefault="0012650F" w:rsidP="006C1741">
      <w:pPr>
        <w:rPr>
          <w:sz w:val="22"/>
          <w:szCs w:val="20"/>
          <w:lang w:val="en-US"/>
        </w:rPr>
      </w:pPr>
      <w:r>
        <w:rPr>
          <w:sz w:val="22"/>
          <w:szCs w:val="20"/>
          <w:lang w:val="en-US"/>
        </w:rPr>
        <w:t>It is also proposed to update some other points:</w:t>
      </w:r>
    </w:p>
    <w:p w14:paraId="4639F1C3" w14:textId="6C66F5D3" w:rsidR="0012650F" w:rsidRDefault="0012650F" w:rsidP="0012650F">
      <w:pPr>
        <w:pStyle w:val="ListParagraph"/>
        <w:numPr>
          <w:ilvl w:val="0"/>
          <w:numId w:val="18"/>
        </w:numPr>
        <w:rPr>
          <w:sz w:val="22"/>
          <w:szCs w:val="20"/>
          <w:lang w:val="en-US"/>
        </w:rPr>
      </w:pPr>
      <w:r>
        <w:rPr>
          <w:sz w:val="22"/>
          <w:szCs w:val="20"/>
          <w:lang w:val="en-US"/>
        </w:rPr>
        <w:t>Change the 3GPP reference and to use the ETSI reference</w:t>
      </w:r>
    </w:p>
    <w:p w14:paraId="11983671" w14:textId="106033EB" w:rsidR="0012650F" w:rsidRDefault="0012650F" w:rsidP="0012650F">
      <w:pPr>
        <w:pStyle w:val="ListParagraph"/>
        <w:numPr>
          <w:ilvl w:val="0"/>
          <w:numId w:val="18"/>
        </w:numPr>
        <w:rPr>
          <w:sz w:val="22"/>
          <w:szCs w:val="20"/>
          <w:lang w:val="en-US"/>
        </w:rPr>
      </w:pPr>
      <w:r>
        <w:rPr>
          <w:sz w:val="22"/>
          <w:szCs w:val="20"/>
          <w:lang w:val="en-US"/>
        </w:rPr>
        <w:t>Move in annex the ETSI reference</w:t>
      </w:r>
    </w:p>
    <w:p w14:paraId="2FD956EF" w14:textId="6DCAA13B" w:rsidR="0012650F" w:rsidRDefault="0012650F" w:rsidP="0012650F">
      <w:pPr>
        <w:pStyle w:val="ListParagraph"/>
        <w:numPr>
          <w:ilvl w:val="0"/>
          <w:numId w:val="18"/>
        </w:numPr>
        <w:rPr>
          <w:sz w:val="22"/>
          <w:szCs w:val="20"/>
          <w:lang w:val="en-US"/>
        </w:rPr>
      </w:pPr>
      <w:r>
        <w:rPr>
          <w:sz w:val="22"/>
          <w:szCs w:val="20"/>
          <w:lang w:val="en-US"/>
        </w:rPr>
        <w:t>Align the synchronization principle on the principle of the ECC Report 172</w:t>
      </w:r>
    </w:p>
    <w:p w14:paraId="149FF467" w14:textId="01E0A071" w:rsidR="0012650F" w:rsidRDefault="0012650F" w:rsidP="0012650F">
      <w:pPr>
        <w:pStyle w:val="ListParagraph"/>
        <w:numPr>
          <w:ilvl w:val="0"/>
          <w:numId w:val="18"/>
        </w:numPr>
        <w:rPr>
          <w:sz w:val="22"/>
          <w:szCs w:val="20"/>
          <w:lang w:val="en-US"/>
        </w:rPr>
      </w:pPr>
      <w:r>
        <w:rPr>
          <w:sz w:val="22"/>
          <w:szCs w:val="20"/>
          <w:lang w:val="en-US"/>
        </w:rPr>
        <w:t>Remove the square brackets</w:t>
      </w:r>
    </w:p>
    <w:p w14:paraId="36D52ABD" w14:textId="77777777" w:rsidR="0012650F" w:rsidRPr="0012650F" w:rsidRDefault="0012650F" w:rsidP="0012650F">
      <w:pPr>
        <w:pStyle w:val="ListParagraph"/>
        <w:rPr>
          <w:sz w:val="22"/>
          <w:szCs w:val="20"/>
          <w:lang w:val="en-US"/>
        </w:rPr>
      </w:pPr>
    </w:p>
    <w:p w14:paraId="18E38243" w14:textId="13219B0E" w:rsidR="006C1741" w:rsidRDefault="006C1741" w:rsidP="006C1741">
      <w:pPr>
        <w:rPr>
          <w:sz w:val="22"/>
          <w:szCs w:val="20"/>
          <w:lang w:val="en-US"/>
        </w:rPr>
      </w:pPr>
    </w:p>
    <w:p w14:paraId="4E384E35" w14:textId="611D37CB" w:rsidR="002A461C" w:rsidRDefault="002A461C" w:rsidP="006C1741">
      <w:pPr>
        <w:rPr>
          <w:sz w:val="22"/>
          <w:szCs w:val="20"/>
          <w:lang w:val="en-US"/>
        </w:rPr>
      </w:pPr>
    </w:p>
    <w:p w14:paraId="6B09018E" w14:textId="54294491" w:rsidR="006C1741" w:rsidRDefault="006C1741" w:rsidP="006C1741">
      <w:pPr>
        <w:rPr>
          <w:sz w:val="22"/>
          <w:szCs w:val="20"/>
          <w:lang w:val="en-US"/>
        </w:rPr>
      </w:pPr>
    </w:p>
    <w:p w14:paraId="6B986DAC" w14:textId="55BC2781" w:rsidR="006C1741" w:rsidRPr="006C1741" w:rsidRDefault="006C1741" w:rsidP="006C1741">
      <w:pPr>
        <w:rPr>
          <w:sz w:val="22"/>
          <w:lang w:val="en-US"/>
        </w:rPr>
      </w:pPr>
      <w:r>
        <w:rPr>
          <w:sz w:val="22"/>
          <w:szCs w:val="20"/>
          <w:lang w:val="en-US"/>
        </w:rPr>
        <w:br w:type="page"/>
      </w:r>
    </w:p>
    <w:p w14:paraId="0BCE2278" w14:textId="77777777" w:rsidR="006C1741" w:rsidRPr="00453E28" w:rsidRDefault="006C1741">
      <w:pPr>
        <w:spacing w:before="0" w:after="0"/>
        <w:jc w:val="left"/>
        <w:rPr>
          <w:sz w:val="22"/>
          <w:szCs w:val="20"/>
          <w:lang w:val="en-US"/>
        </w:rPr>
      </w:pPr>
    </w:p>
    <w:p w14:paraId="5E956B5F" w14:textId="77777777" w:rsidR="005260BF" w:rsidRDefault="005260BF" w:rsidP="00057271">
      <w:pPr>
        <w:pStyle w:val="Heading1"/>
        <w:numPr>
          <w:ilvl w:val="0"/>
          <w:numId w:val="0"/>
        </w:numPr>
      </w:pPr>
    </w:p>
    <w:p w14:paraId="19B5C89B" w14:textId="10685245" w:rsidR="00FC1A1B" w:rsidRPr="004D3730" w:rsidRDefault="00F3012E" w:rsidP="00057271">
      <w:pPr>
        <w:pStyle w:val="Heading1"/>
        <w:numPr>
          <w:ilvl w:val="0"/>
          <w:numId w:val="0"/>
        </w:numPr>
      </w:pPr>
      <w:r w:rsidRPr="004D3730">
        <w:t>Anne</w:t>
      </w:r>
      <w:r w:rsidR="00B24ACB" w:rsidRPr="004D3730">
        <w:t>x 1: Extract from ECC Report 173</w:t>
      </w:r>
      <w:r w:rsidR="004972E7" w:rsidRPr="004D3730">
        <w:t xml:space="preserve"> (</w:t>
      </w:r>
      <w:r w:rsidR="002E492F" w:rsidRPr="004D3730">
        <w:t>27 April 2018</w:t>
      </w:r>
      <w:r w:rsidR="004972E7" w:rsidRPr="004D3730">
        <w:t>)</w:t>
      </w:r>
    </w:p>
    <w:p w14:paraId="2058D70D" w14:textId="77777777" w:rsidR="00FB31BB" w:rsidRPr="00453E28" w:rsidRDefault="00FB31BB" w:rsidP="00F3012E">
      <w:pPr>
        <w:jc w:val="center"/>
        <w:rPr>
          <w:b/>
          <w:sz w:val="22"/>
          <w:szCs w:val="20"/>
          <w:lang w:val="en-US"/>
        </w:rPr>
      </w:pPr>
    </w:p>
    <w:p w14:paraId="0B3EC1A7" w14:textId="0D28CB2E" w:rsidR="00FB31BB" w:rsidRPr="00453E28" w:rsidRDefault="00FB31BB" w:rsidP="00FB31BB">
      <w:pPr>
        <w:jc w:val="left"/>
        <w:rPr>
          <w:b/>
          <w:sz w:val="22"/>
          <w:szCs w:val="20"/>
          <w:lang w:val="en-US"/>
        </w:rPr>
      </w:pPr>
      <w:r w:rsidRPr="00453E28">
        <w:rPr>
          <w:b/>
          <w:sz w:val="22"/>
          <w:szCs w:val="20"/>
          <w:lang w:val="en-US"/>
        </w:rPr>
        <w:t>Band 13: below 2290MHz</w:t>
      </w:r>
      <w:r w:rsidR="005260BF">
        <w:rPr>
          <w:b/>
          <w:sz w:val="22"/>
          <w:szCs w:val="20"/>
          <w:lang w:val="en-US"/>
        </w:rPr>
        <w:t xml:space="preserve">: </w:t>
      </w:r>
      <w:r w:rsidRPr="00453E28">
        <w:rPr>
          <w:b/>
          <w:sz w:val="22"/>
          <w:szCs w:val="20"/>
          <w:lang w:val="en-US"/>
        </w:rPr>
        <w:t>about 128 fixed links + 1 temporary use + 1 PMSE use</w:t>
      </w:r>
    </w:p>
    <w:p w14:paraId="30836D1B" w14:textId="191B22B3" w:rsidR="00B80471" w:rsidRPr="00453E28" w:rsidRDefault="00B80471" w:rsidP="00F3012E">
      <w:pPr>
        <w:jc w:val="center"/>
        <w:rPr>
          <w:b/>
          <w:sz w:val="22"/>
          <w:szCs w:val="20"/>
          <w:lang w:val="en-US"/>
        </w:rPr>
      </w:pPr>
      <w:r w:rsidRPr="00453E28">
        <w:rPr>
          <w:noProof/>
          <w:lang w:val="en-US"/>
        </w:rPr>
        <w:drawing>
          <wp:inline distT="0" distB="0" distL="0" distR="0" wp14:anchorId="410EDE68" wp14:editId="008974C2">
            <wp:extent cx="6345428" cy="27419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02" t="19779" r="22840" b="21946"/>
                    <a:stretch/>
                  </pic:blipFill>
                  <pic:spPr bwMode="auto">
                    <a:xfrm>
                      <a:off x="0" y="0"/>
                      <a:ext cx="6398891" cy="2765081"/>
                    </a:xfrm>
                    <a:prstGeom prst="rect">
                      <a:avLst/>
                    </a:prstGeom>
                    <a:ln>
                      <a:noFill/>
                    </a:ln>
                    <a:extLst>
                      <a:ext uri="{53640926-AAD7-44D8-BBD7-CCE9431645EC}">
                        <a14:shadowObscured xmlns:a14="http://schemas.microsoft.com/office/drawing/2010/main"/>
                      </a:ext>
                    </a:extLst>
                  </pic:spPr>
                </pic:pic>
              </a:graphicData>
            </a:graphic>
          </wp:inline>
        </w:drawing>
      </w:r>
    </w:p>
    <w:p w14:paraId="25450EC1" w14:textId="77777777" w:rsidR="005260BF" w:rsidRDefault="005260BF" w:rsidP="00FB31BB">
      <w:pPr>
        <w:jc w:val="left"/>
        <w:rPr>
          <w:b/>
          <w:sz w:val="22"/>
          <w:szCs w:val="20"/>
          <w:lang w:val="en-US"/>
        </w:rPr>
      </w:pPr>
    </w:p>
    <w:p w14:paraId="798AFCEE" w14:textId="71075A55" w:rsidR="00FB31BB" w:rsidRPr="00453E28" w:rsidRDefault="00FB31BB" w:rsidP="00FB31BB">
      <w:pPr>
        <w:jc w:val="left"/>
        <w:rPr>
          <w:b/>
          <w:sz w:val="22"/>
          <w:szCs w:val="20"/>
          <w:lang w:val="en-US"/>
        </w:rPr>
      </w:pPr>
      <w:r w:rsidRPr="00453E28">
        <w:rPr>
          <w:b/>
          <w:sz w:val="22"/>
          <w:szCs w:val="20"/>
          <w:lang w:val="en-US"/>
        </w:rPr>
        <w:t>Band 15: above 2400MHz</w:t>
      </w:r>
      <w:r w:rsidR="005260BF">
        <w:rPr>
          <w:b/>
          <w:sz w:val="22"/>
          <w:szCs w:val="20"/>
          <w:lang w:val="en-US"/>
        </w:rPr>
        <w:t>: a</w:t>
      </w:r>
      <w:r w:rsidRPr="00453E28">
        <w:rPr>
          <w:b/>
          <w:sz w:val="22"/>
          <w:szCs w:val="20"/>
          <w:lang w:val="en-US"/>
        </w:rPr>
        <w:t>bout 8922 P-P + 4108 CS</w:t>
      </w:r>
    </w:p>
    <w:p w14:paraId="10FCC912" w14:textId="4721A547" w:rsidR="00F3012E" w:rsidRDefault="00CE4633" w:rsidP="002D0DE2">
      <w:pPr>
        <w:rPr>
          <w:sz w:val="22"/>
          <w:szCs w:val="20"/>
        </w:rPr>
      </w:pPr>
      <w:r>
        <w:rPr>
          <w:noProof/>
          <w:lang w:val="en-US"/>
        </w:rPr>
        <w:drawing>
          <wp:inline distT="0" distB="0" distL="0" distR="0" wp14:anchorId="70CE68A3" wp14:editId="699829D0">
            <wp:extent cx="6340670" cy="567579"/>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02" t="19777" r="6137" b="65494"/>
                    <a:stretch/>
                  </pic:blipFill>
                  <pic:spPr bwMode="auto">
                    <a:xfrm>
                      <a:off x="0" y="0"/>
                      <a:ext cx="6694696" cy="599269"/>
                    </a:xfrm>
                    <a:prstGeom prst="rect">
                      <a:avLst/>
                    </a:prstGeom>
                    <a:ln>
                      <a:noFill/>
                    </a:ln>
                    <a:extLst>
                      <a:ext uri="{53640926-AAD7-44D8-BBD7-CCE9431645EC}">
                        <a14:shadowObscured xmlns:a14="http://schemas.microsoft.com/office/drawing/2010/main"/>
                      </a:ext>
                    </a:extLst>
                  </pic:spPr>
                </pic:pic>
              </a:graphicData>
            </a:graphic>
          </wp:inline>
        </w:drawing>
      </w:r>
    </w:p>
    <w:sectPr w:rsidR="00F3012E" w:rsidSect="00B8047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3638" w14:textId="77777777" w:rsidR="00444AD0" w:rsidRDefault="00444AD0" w:rsidP="00DB17F9">
      <w:r>
        <w:separator/>
      </w:r>
    </w:p>
    <w:p w14:paraId="0C00E7A6" w14:textId="77777777" w:rsidR="00444AD0" w:rsidRDefault="00444AD0"/>
  </w:endnote>
  <w:endnote w:type="continuationSeparator" w:id="0">
    <w:p w14:paraId="7F366A0B" w14:textId="77777777" w:rsidR="00444AD0" w:rsidRDefault="00444AD0" w:rsidP="00DB17F9">
      <w:r>
        <w:continuationSeparator/>
      </w:r>
    </w:p>
    <w:p w14:paraId="658F2F8A" w14:textId="77777777" w:rsidR="00444AD0" w:rsidRDefault="00444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48632" w14:textId="77777777" w:rsidR="00444AD0" w:rsidRPr="00F51BD6" w:rsidRDefault="00444AD0" w:rsidP="00CD07E7">
      <w:pPr>
        <w:spacing w:before="120" w:after="0"/>
      </w:pPr>
      <w:r>
        <w:separator/>
      </w:r>
    </w:p>
  </w:footnote>
  <w:footnote w:type="continuationSeparator" w:id="0">
    <w:p w14:paraId="7706960D" w14:textId="77777777" w:rsidR="00444AD0" w:rsidRDefault="00444AD0" w:rsidP="00CD07E7">
      <w:pPr>
        <w:spacing w:before="120" w:after="0"/>
      </w:pPr>
      <w:r>
        <w:continuationSeparator/>
      </w:r>
    </w:p>
  </w:footnote>
  <w:footnote w:type="continuationNotice" w:id="1">
    <w:p w14:paraId="633A5CD8" w14:textId="77777777" w:rsidR="00444AD0" w:rsidRPr="00CD07E7" w:rsidRDefault="00444AD0"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3C50" w14:textId="77777777" w:rsidR="00F3012E" w:rsidRPr="00AD1BE1" w:rsidRDefault="00F3012E" w:rsidP="00AD1BE1">
    <w:pPr>
      <w:pStyle w:val="ECCpageHeader"/>
    </w:pPr>
    <w:r w:rsidRPr="00AD1BE1">
      <w:t xml:space="preserve">ECC REPORT &lt;No&gt; - Page </w:t>
    </w:r>
    <w:r w:rsidRPr="00AD1BE1">
      <w:fldChar w:fldCharType="begin"/>
    </w:r>
    <w:r w:rsidRPr="00AD1BE1">
      <w:instrText xml:space="preserve"> PAGE  \* Arabic  \* MERGEFORMAT </w:instrText>
    </w:r>
    <w:r w:rsidRPr="00AD1BE1">
      <w:fldChar w:fldCharType="separate"/>
    </w:r>
    <w:r>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3C51" w14:textId="77777777" w:rsidR="00F3012E" w:rsidRPr="00714F0F" w:rsidRDefault="00F3012E" w:rsidP="00714F0F">
    <w:pPr>
      <w:pStyle w:val="ECCpageHeader"/>
    </w:pPr>
    <w:r w:rsidRPr="00714F0F">
      <w:tab/>
    </w:r>
    <w:r w:rsidRPr="00714F0F">
      <w:t xml:space="preserve">Page </w:t>
    </w:r>
    <w:r w:rsidRPr="00714F0F">
      <w:fldChar w:fldCharType="begin"/>
    </w:r>
    <w:r w:rsidRPr="00714F0F">
      <w:instrText xml:space="preserve"> PAGE  \* Arabic  \* MERGEFORMAT </w:instrText>
    </w:r>
    <w:r w:rsidRPr="00714F0F">
      <w:fldChar w:fldCharType="separate"/>
    </w:r>
    <w:r w:rsidR="00776761">
      <w:rPr>
        <w:noProof/>
      </w:rPr>
      <w:t>10</w:t>
    </w:r>
    <w:r w:rsidRPr="00714F0F">
      <w:fldChar w:fldCharType="end"/>
    </w:r>
  </w:p>
  <w:p w14:paraId="131C3C52" w14:textId="77777777" w:rsidR="00F3012E" w:rsidRDefault="00F301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0000006"/>
    <w:multiLevelType w:val="singleLevel"/>
    <w:tmpl w:val="00000006"/>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FEB4A7C"/>
    <w:multiLevelType w:val="hybridMultilevel"/>
    <w:tmpl w:val="B96CE56A"/>
    <w:lvl w:ilvl="0" w:tplc="91C4760E">
      <w:start w:val="1"/>
      <w:numFmt w:val="bullet"/>
      <w:pStyle w:val="ECCBulletsLv1"/>
      <w:lvlText w:val=""/>
      <w:lvlJc w:val="left"/>
      <w:pPr>
        <w:ind w:left="1380" w:hanging="360"/>
      </w:pPr>
      <w:rPr>
        <w:rFonts w:ascii="Wingdings" w:hAnsi="Wingdings" w:hint="default"/>
        <w:color w:val="D2232A"/>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3" w15:restartNumberingAfterBreak="0">
    <w:nsid w:val="20A87A02"/>
    <w:multiLevelType w:val="hybridMultilevel"/>
    <w:tmpl w:val="3CD420C8"/>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cs="Arial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93F1F5D"/>
    <w:multiLevelType w:val="hybridMultilevel"/>
    <w:tmpl w:val="EA5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4158DC"/>
    <w:multiLevelType w:val="hybridMultilevel"/>
    <w:tmpl w:val="601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5B1621B9"/>
    <w:multiLevelType w:val="hybridMultilevel"/>
    <w:tmpl w:val="D004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E49BB"/>
    <w:multiLevelType w:val="multilevel"/>
    <w:tmpl w:val="3A9AA18C"/>
    <w:lvl w:ilvl="0">
      <w:start w:val="1"/>
      <w:numFmt w:val="decimal"/>
      <w:pStyle w:val="Heading1"/>
      <w:lvlText w:val="%1."/>
      <w:lvlJc w:val="left"/>
      <w:pPr>
        <w:tabs>
          <w:tab w:val="num" w:pos="999"/>
        </w:tabs>
        <w:ind w:left="999" w:hanging="432"/>
      </w:pPr>
      <w:rPr>
        <w:rFonts w:hint="default"/>
        <w:b/>
        <w:i w:val="0"/>
        <w:color w:val="D2232A"/>
        <w:sz w:val="20"/>
        <w:szCs w:val="20"/>
      </w:rPr>
    </w:lvl>
    <w:lvl w:ilvl="1">
      <w:start w:val="1"/>
      <w:numFmt w:val="decimal"/>
      <w:pStyle w:val="Heading2"/>
      <w:lvlText w:val="%1.%2"/>
      <w:lvlJc w:val="left"/>
      <w:pPr>
        <w:tabs>
          <w:tab w:val="num" w:pos="1143"/>
        </w:tabs>
        <w:ind w:left="1143" w:hanging="576"/>
      </w:pPr>
      <w:rPr>
        <w:rFonts w:ascii="Arial" w:hAnsi="Arial" w:hint="default"/>
        <w:b/>
        <w:i w:val="0"/>
        <w:sz w:val="20"/>
      </w:rPr>
    </w:lvl>
    <w:lvl w:ilvl="2">
      <w:start w:val="1"/>
      <w:numFmt w:val="bullet"/>
      <w:pStyle w:val="Heading3"/>
      <w:lvlText w:val=""/>
      <w:lvlJc w:val="left"/>
      <w:pPr>
        <w:tabs>
          <w:tab w:val="num" w:pos="6867"/>
        </w:tabs>
        <w:ind w:left="6867" w:hanging="720"/>
      </w:pPr>
      <w:rPr>
        <w:rFonts w:ascii="Symbol" w:hAnsi="Symbol" w:hint="default"/>
        <w:b/>
        <w:i w:val="0"/>
        <w:caps w:val="0"/>
        <w:sz w:val="20"/>
        <w:szCs w:val="20"/>
      </w:rPr>
    </w:lvl>
    <w:lvl w:ilvl="3">
      <w:start w:val="1"/>
      <w:numFmt w:val="decimal"/>
      <w:pStyle w:val="Heading4"/>
      <w:lvlText w:val="%1.%2.%3.%4"/>
      <w:lvlJc w:val="left"/>
      <w:pPr>
        <w:tabs>
          <w:tab w:val="num" w:pos="1431"/>
        </w:tabs>
        <w:ind w:left="1431" w:hanging="864"/>
      </w:pPr>
      <w:rPr>
        <w:rFonts w:ascii="Arial" w:hAnsi="Arial" w:hint="default"/>
        <w:b w:val="0"/>
        <w:i/>
        <w:sz w:val="20"/>
      </w:rPr>
    </w:lvl>
    <w:lvl w:ilvl="4">
      <w:start w:val="1"/>
      <w:numFmt w:val="decimal"/>
      <w:pStyle w:val="Heading5"/>
      <w:lvlText w:val="%1.%2.%3.%4.%5"/>
      <w:lvlJc w:val="left"/>
      <w:pPr>
        <w:tabs>
          <w:tab w:val="num" w:pos="1575"/>
        </w:tabs>
        <w:ind w:left="1575" w:hanging="1008"/>
      </w:pPr>
      <w:rPr>
        <w:rFonts w:hint="default"/>
        <w:sz w:val="24"/>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4" w15:restartNumberingAfterBreak="0">
    <w:nsid w:val="76E911C8"/>
    <w:multiLevelType w:val="multilevel"/>
    <w:tmpl w:val="5A7476E6"/>
    <w:lvl w:ilvl="0">
      <w:start w:val="1"/>
      <w:numFmt w:val="decimal"/>
      <w:pStyle w:val="MMTopic1"/>
      <w:suff w:val="space"/>
      <w:lvlText w:val="%1"/>
      <w:lvlJc w:val="left"/>
    </w:lvl>
    <w:lvl w:ilvl="1">
      <w:start w:val="1"/>
      <w:numFmt w:val="decimal"/>
      <w:pStyle w:val="MMTopic2"/>
      <w:suff w:val="space"/>
      <w:lvlText w:val="%1.%2"/>
      <w:lvlJc w:val="left"/>
    </w:lvl>
    <w:lvl w:ilvl="2">
      <w:start w:val="1"/>
      <w:numFmt w:val="decimal"/>
      <w:pStyle w:val="MMTopic3"/>
      <w:suff w:val="space"/>
      <w:lvlText w:val="%1.%2.%3"/>
      <w:lvlJc w:val="left"/>
    </w:lvl>
    <w:lvl w:ilvl="3">
      <w:start w:val="1"/>
      <w:numFmt w:val="decimal"/>
      <w:pStyle w:val="MMTopic4"/>
      <w:suff w:val="space"/>
      <w:lvlText w:val="%1.%2.%3.%4"/>
      <w:lvlJc w:val="left"/>
    </w:lvl>
    <w:lvl w:ilvl="4">
      <w:start w:val="1"/>
      <w:numFmt w:val="decimal"/>
      <w:pStyle w:val="MMTopic5"/>
      <w:suff w:val="space"/>
      <w:lvlText w:val="%1.%2.%3.%4.%5"/>
      <w:lvlJc w:val="left"/>
    </w:lvl>
    <w:lvl w:ilvl="5">
      <w:start w:val="1"/>
      <w:numFmt w:val="decimal"/>
      <w:pStyle w:val="MMTopic6"/>
      <w:suff w:val="space"/>
      <w:lvlText w:val="%1.%2.%3.%4.%5.%6"/>
      <w:lvlJc w:val="left"/>
    </w:lvl>
    <w:lvl w:ilvl="6">
      <w:start w:val="1"/>
      <w:numFmt w:val="decimal"/>
      <w:pStyle w:val="MMTopic7"/>
      <w:suff w:val="space"/>
      <w:lvlText w:val="%1.%2.%3.%4.%5.%6.%7"/>
      <w:lvlJc w:val="left"/>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3212E4"/>
    <w:multiLevelType w:val="multilevel"/>
    <w:tmpl w:val="546AE36E"/>
    <w:lvl w:ilvl="0">
      <w:start w:val="1"/>
      <w:numFmt w:val="decimal"/>
      <w:pStyle w:val="ECCTabletitle"/>
      <w:suff w:val="space"/>
      <w:lvlText w:val="Table %1:"/>
      <w:lvlJc w:val="left"/>
      <w:pPr>
        <w:ind w:left="1211"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FDD1F4D"/>
    <w:multiLevelType w:val="hybridMultilevel"/>
    <w:tmpl w:val="F5D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532EC"/>
    <w:multiLevelType w:val="hybridMultilevel"/>
    <w:tmpl w:val="8AE03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8"/>
  </w:num>
  <w:num w:numId="5">
    <w:abstractNumId w:val="9"/>
  </w:num>
  <w:num w:numId="6">
    <w:abstractNumId w:val="6"/>
  </w:num>
  <w:num w:numId="7">
    <w:abstractNumId w:val="15"/>
  </w:num>
  <w:num w:numId="8">
    <w:abstractNumId w:val="3"/>
  </w:num>
  <w:num w:numId="9">
    <w:abstractNumId w:val="10"/>
  </w:num>
  <w:num w:numId="10">
    <w:abstractNumId w:val="14"/>
  </w:num>
  <w:num w:numId="11">
    <w:abstractNumId w:val="1"/>
  </w:num>
  <w:num w:numId="12">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13">
    <w:abstractNumId w:val="5"/>
  </w:num>
  <w:num w:numId="14">
    <w:abstractNumId w:val="16"/>
  </w:num>
  <w:num w:numId="15">
    <w:abstractNumId w:val="17"/>
  </w:num>
  <w:num w:numId="16">
    <w:abstractNumId w:val="12"/>
  </w:num>
  <w:num w:numId="17">
    <w:abstractNumId w:val="13"/>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formatting="1" w:enforcement="0"/>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0"/>
    <w:rsid w:val="00000945"/>
    <w:rsid w:val="00005B63"/>
    <w:rsid w:val="0001112E"/>
    <w:rsid w:val="00011EF4"/>
    <w:rsid w:val="00012E3B"/>
    <w:rsid w:val="00033979"/>
    <w:rsid w:val="00041A18"/>
    <w:rsid w:val="0004622B"/>
    <w:rsid w:val="00050AC9"/>
    <w:rsid w:val="00051EE6"/>
    <w:rsid w:val="00054EA7"/>
    <w:rsid w:val="0005694B"/>
    <w:rsid w:val="00057271"/>
    <w:rsid w:val="00063E48"/>
    <w:rsid w:val="00066213"/>
    <w:rsid w:val="000667B5"/>
    <w:rsid w:val="00067793"/>
    <w:rsid w:val="00067C4A"/>
    <w:rsid w:val="00080D4D"/>
    <w:rsid w:val="00082DD7"/>
    <w:rsid w:val="000839E9"/>
    <w:rsid w:val="00084EE6"/>
    <w:rsid w:val="00095620"/>
    <w:rsid w:val="00097FAB"/>
    <w:rsid w:val="000A3940"/>
    <w:rsid w:val="000A3FA4"/>
    <w:rsid w:val="000A7EA1"/>
    <w:rsid w:val="000B1115"/>
    <w:rsid w:val="000B35FF"/>
    <w:rsid w:val="000B4BE6"/>
    <w:rsid w:val="000B6D45"/>
    <w:rsid w:val="000C028F"/>
    <w:rsid w:val="000C2FAF"/>
    <w:rsid w:val="000C3317"/>
    <w:rsid w:val="000C494A"/>
    <w:rsid w:val="000D1710"/>
    <w:rsid w:val="000D43BB"/>
    <w:rsid w:val="000D58C7"/>
    <w:rsid w:val="000D6E4F"/>
    <w:rsid w:val="000E041C"/>
    <w:rsid w:val="000E3E4D"/>
    <w:rsid w:val="000E42F5"/>
    <w:rsid w:val="000E655F"/>
    <w:rsid w:val="000F0594"/>
    <w:rsid w:val="000F0CA8"/>
    <w:rsid w:val="000F246B"/>
    <w:rsid w:val="000F24F5"/>
    <w:rsid w:val="000F2ED9"/>
    <w:rsid w:val="001006CA"/>
    <w:rsid w:val="00100F8B"/>
    <w:rsid w:val="00102172"/>
    <w:rsid w:val="0010433A"/>
    <w:rsid w:val="00105B69"/>
    <w:rsid w:val="00106AB6"/>
    <w:rsid w:val="00110652"/>
    <w:rsid w:val="00110E9C"/>
    <w:rsid w:val="00122416"/>
    <w:rsid w:val="0012650F"/>
    <w:rsid w:val="0013157F"/>
    <w:rsid w:val="0013711C"/>
    <w:rsid w:val="00137FBA"/>
    <w:rsid w:val="001404EC"/>
    <w:rsid w:val="001407B5"/>
    <w:rsid w:val="001526A2"/>
    <w:rsid w:val="00154EF4"/>
    <w:rsid w:val="00154F16"/>
    <w:rsid w:val="00156314"/>
    <w:rsid w:val="00156EE6"/>
    <w:rsid w:val="001648D2"/>
    <w:rsid w:val="001714E4"/>
    <w:rsid w:val="0017171B"/>
    <w:rsid w:val="001724F3"/>
    <w:rsid w:val="00172B28"/>
    <w:rsid w:val="001839D4"/>
    <w:rsid w:val="00183A50"/>
    <w:rsid w:val="00183FE0"/>
    <w:rsid w:val="0018553F"/>
    <w:rsid w:val="00187D99"/>
    <w:rsid w:val="00197066"/>
    <w:rsid w:val="00197476"/>
    <w:rsid w:val="001A01CA"/>
    <w:rsid w:val="001A20E0"/>
    <w:rsid w:val="001A2CE5"/>
    <w:rsid w:val="001A6DB8"/>
    <w:rsid w:val="001B0583"/>
    <w:rsid w:val="001B6A0F"/>
    <w:rsid w:val="001C03D7"/>
    <w:rsid w:val="001C30A8"/>
    <w:rsid w:val="001C5279"/>
    <w:rsid w:val="001C5930"/>
    <w:rsid w:val="001C5DCF"/>
    <w:rsid w:val="001C754A"/>
    <w:rsid w:val="001D2095"/>
    <w:rsid w:val="001D44AB"/>
    <w:rsid w:val="001E1B15"/>
    <w:rsid w:val="001F523B"/>
    <w:rsid w:val="001F613B"/>
    <w:rsid w:val="0020079A"/>
    <w:rsid w:val="00213194"/>
    <w:rsid w:val="00222F9E"/>
    <w:rsid w:val="00223F52"/>
    <w:rsid w:val="002257DB"/>
    <w:rsid w:val="00227642"/>
    <w:rsid w:val="002302A9"/>
    <w:rsid w:val="00231A0F"/>
    <w:rsid w:val="00235153"/>
    <w:rsid w:val="00235FFB"/>
    <w:rsid w:val="002432FD"/>
    <w:rsid w:val="0025130A"/>
    <w:rsid w:val="0025341A"/>
    <w:rsid w:val="00260C07"/>
    <w:rsid w:val="00262467"/>
    <w:rsid w:val="00263FFB"/>
    <w:rsid w:val="00265D3A"/>
    <w:rsid w:val="00265F50"/>
    <w:rsid w:val="002672D8"/>
    <w:rsid w:val="00270970"/>
    <w:rsid w:val="00271E25"/>
    <w:rsid w:val="00274F84"/>
    <w:rsid w:val="0027787F"/>
    <w:rsid w:val="0028060B"/>
    <w:rsid w:val="0028120C"/>
    <w:rsid w:val="00283417"/>
    <w:rsid w:val="00283CC8"/>
    <w:rsid w:val="002873CC"/>
    <w:rsid w:val="00295827"/>
    <w:rsid w:val="00295F16"/>
    <w:rsid w:val="00296C44"/>
    <w:rsid w:val="002A00A8"/>
    <w:rsid w:val="002A033F"/>
    <w:rsid w:val="002A166F"/>
    <w:rsid w:val="002A36B4"/>
    <w:rsid w:val="002A461C"/>
    <w:rsid w:val="002B3860"/>
    <w:rsid w:val="002B762D"/>
    <w:rsid w:val="002C1436"/>
    <w:rsid w:val="002C486F"/>
    <w:rsid w:val="002C6DC3"/>
    <w:rsid w:val="002D0DE2"/>
    <w:rsid w:val="002D1FA9"/>
    <w:rsid w:val="002D50A3"/>
    <w:rsid w:val="002D69E3"/>
    <w:rsid w:val="002E15EB"/>
    <w:rsid w:val="002E3C74"/>
    <w:rsid w:val="002E4226"/>
    <w:rsid w:val="002E492F"/>
    <w:rsid w:val="002E5A2C"/>
    <w:rsid w:val="002E7464"/>
    <w:rsid w:val="002F0A3C"/>
    <w:rsid w:val="002F1583"/>
    <w:rsid w:val="002F2518"/>
    <w:rsid w:val="002F34B8"/>
    <w:rsid w:val="002F70E6"/>
    <w:rsid w:val="003007C0"/>
    <w:rsid w:val="00307A79"/>
    <w:rsid w:val="00316B3F"/>
    <w:rsid w:val="003204D5"/>
    <w:rsid w:val="00320ED0"/>
    <w:rsid w:val="00322E6A"/>
    <w:rsid w:val="00324941"/>
    <w:rsid w:val="0032515C"/>
    <w:rsid w:val="0033001F"/>
    <w:rsid w:val="003314A0"/>
    <w:rsid w:val="00342682"/>
    <w:rsid w:val="00353582"/>
    <w:rsid w:val="0035414A"/>
    <w:rsid w:val="003546F7"/>
    <w:rsid w:val="00361567"/>
    <w:rsid w:val="003650E3"/>
    <w:rsid w:val="003735CA"/>
    <w:rsid w:val="00381169"/>
    <w:rsid w:val="0038287C"/>
    <w:rsid w:val="0038358E"/>
    <w:rsid w:val="003836CD"/>
    <w:rsid w:val="00383A3F"/>
    <w:rsid w:val="00384DE5"/>
    <w:rsid w:val="00387DDE"/>
    <w:rsid w:val="003908B0"/>
    <w:rsid w:val="00391A01"/>
    <w:rsid w:val="003A0EB5"/>
    <w:rsid w:val="003A1940"/>
    <w:rsid w:val="003A1D2C"/>
    <w:rsid w:val="003A5711"/>
    <w:rsid w:val="003A5A6A"/>
    <w:rsid w:val="003A68EF"/>
    <w:rsid w:val="003B0968"/>
    <w:rsid w:val="003B33C1"/>
    <w:rsid w:val="003C253F"/>
    <w:rsid w:val="003C52BA"/>
    <w:rsid w:val="003C5911"/>
    <w:rsid w:val="003C64D9"/>
    <w:rsid w:val="003D624A"/>
    <w:rsid w:val="003E2E42"/>
    <w:rsid w:val="003E337A"/>
    <w:rsid w:val="003E70E0"/>
    <w:rsid w:val="003F2BAC"/>
    <w:rsid w:val="003F5F92"/>
    <w:rsid w:val="00403CE6"/>
    <w:rsid w:val="00410269"/>
    <w:rsid w:val="004110CA"/>
    <w:rsid w:val="0041160E"/>
    <w:rsid w:val="0042761F"/>
    <w:rsid w:val="00431162"/>
    <w:rsid w:val="00441EE0"/>
    <w:rsid w:val="0044201D"/>
    <w:rsid w:val="00443482"/>
    <w:rsid w:val="00444856"/>
    <w:rsid w:val="00444AD0"/>
    <w:rsid w:val="00450308"/>
    <w:rsid w:val="00453E28"/>
    <w:rsid w:val="00454544"/>
    <w:rsid w:val="00455407"/>
    <w:rsid w:val="004558B0"/>
    <w:rsid w:val="00457AD1"/>
    <w:rsid w:val="0046427F"/>
    <w:rsid w:val="00464289"/>
    <w:rsid w:val="00465077"/>
    <w:rsid w:val="00474E1F"/>
    <w:rsid w:val="00476C97"/>
    <w:rsid w:val="00480A19"/>
    <w:rsid w:val="004811B4"/>
    <w:rsid w:val="00485665"/>
    <w:rsid w:val="00486323"/>
    <w:rsid w:val="00486F89"/>
    <w:rsid w:val="00491977"/>
    <w:rsid w:val="00493998"/>
    <w:rsid w:val="004972E7"/>
    <w:rsid w:val="004A1329"/>
    <w:rsid w:val="004A74CF"/>
    <w:rsid w:val="004B19F9"/>
    <w:rsid w:val="004B6F77"/>
    <w:rsid w:val="004C1A87"/>
    <w:rsid w:val="004C4A2E"/>
    <w:rsid w:val="004D27B7"/>
    <w:rsid w:val="004D3730"/>
    <w:rsid w:val="004E057E"/>
    <w:rsid w:val="004E44C8"/>
    <w:rsid w:val="004E53BE"/>
    <w:rsid w:val="004E7F82"/>
    <w:rsid w:val="004F2AD9"/>
    <w:rsid w:val="004F3EA9"/>
    <w:rsid w:val="00501992"/>
    <w:rsid w:val="005026AC"/>
    <w:rsid w:val="00503B3D"/>
    <w:rsid w:val="005049E7"/>
    <w:rsid w:val="00504D04"/>
    <w:rsid w:val="00510AE7"/>
    <w:rsid w:val="00512960"/>
    <w:rsid w:val="00512DFF"/>
    <w:rsid w:val="005144E5"/>
    <w:rsid w:val="00516848"/>
    <w:rsid w:val="00516B5C"/>
    <w:rsid w:val="00517709"/>
    <w:rsid w:val="00520EFD"/>
    <w:rsid w:val="00521854"/>
    <w:rsid w:val="005260BF"/>
    <w:rsid w:val="00527595"/>
    <w:rsid w:val="0053062A"/>
    <w:rsid w:val="00530C6F"/>
    <w:rsid w:val="00535050"/>
    <w:rsid w:val="0053663A"/>
    <w:rsid w:val="00536F3C"/>
    <w:rsid w:val="00540A8F"/>
    <w:rsid w:val="0054260E"/>
    <w:rsid w:val="00550D79"/>
    <w:rsid w:val="005559AC"/>
    <w:rsid w:val="00555FB3"/>
    <w:rsid w:val="00557B5A"/>
    <w:rsid w:val="005611D0"/>
    <w:rsid w:val="00563570"/>
    <w:rsid w:val="00563EAA"/>
    <w:rsid w:val="0056418D"/>
    <w:rsid w:val="00566BD4"/>
    <w:rsid w:val="00566D0C"/>
    <w:rsid w:val="00574371"/>
    <w:rsid w:val="00576411"/>
    <w:rsid w:val="00576D45"/>
    <w:rsid w:val="00577CAF"/>
    <w:rsid w:val="00580223"/>
    <w:rsid w:val="00580459"/>
    <w:rsid w:val="00584B78"/>
    <w:rsid w:val="00584C3B"/>
    <w:rsid w:val="00586750"/>
    <w:rsid w:val="005906DA"/>
    <w:rsid w:val="00594186"/>
    <w:rsid w:val="005945B7"/>
    <w:rsid w:val="005A05D1"/>
    <w:rsid w:val="005A4723"/>
    <w:rsid w:val="005A53B8"/>
    <w:rsid w:val="005A63D8"/>
    <w:rsid w:val="005B202B"/>
    <w:rsid w:val="005B2D2F"/>
    <w:rsid w:val="005C0D82"/>
    <w:rsid w:val="005C10EB"/>
    <w:rsid w:val="005C2301"/>
    <w:rsid w:val="005C5A96"/>
    <w:rsid w:val="005C74D6"/>
    <w:rsid w:val="005D0C8D"/>
    <w:rsid w:val="005D371D"/>
    <w:rsid w:val="005E7495"/>
    <w:rsid w:val="005F06FB"/>
    <w:rsid w:val="00607ED5"/>
    <w:rsid w:val="006213A7"/>
    <w:rsid w:val="00621C12"/>
    <w:rsid w:val="00623E18"/>
    <w:rsid w:val="00625C5D"/>
    <w:rsid w:val="00630D6B"/>
    <w:rsid w:val="00631A99"/>
    <w:rsid w:val="006330ED"/>
    <w:rsid w:val="00635A22"/>
    <w:rsid w:val="00642083"/>
    <w:rsid w:val="00643102"/>
    <w:rsid w:val="006441A2"/>
    <w:rsid w:val="00653968"/>
    <w:rsid w:val="0065550D"/>
    <w:rsid w:val="006570EE"/>
    <w:rsid w:val="00664295"/>
    <w:rsid w:val="00665364"/>
    <w:rsid w:val="00666F9F"/>
    <w:rsid w:val="00667B35"/>
    <w:rsid w:val="006713EB"/>
    <w:rsid w:val="00671DF4"/>
    <w:rsid w:val="00671F1F"/>
    <w:rsid w:val="00673A9B"/>
    <w:rsid w:val="006831D0"/>
    <w:rsid w:val="00684B63"/>
    <w:rsid w:val="00686B09"/>
    <w:rsid w:val="006874D7"/>
    <w:rsid w:val="006876A8"/>
    <w:rsid w:val="00687D5A"/>
    <w:rsid w:val="00696459"/>
    <w:rsid w:val="006A3B77"/>
    <w:rsid w:val="006A49E3"/>
    <w:rsid w:val="006A4D39"/>
    <w:rsid w:val="006A4D98"/>
    <w:rsid w:val="006A686D"/>
    <w:rsid w:val="006B1EFD"/>
    <w:rsid w:val="006B4A9A"/>
    <w:rsid w:val="006C1315"/>
    <w:rsid w:val="006C14E4"/>
    <w:rsid w:val="006C1741"/>
    <w:rsid w:val="006C6DA8"/>
    <w:rsid w:val="006C7F61"/>
    <w:rsid w:val="006D1E27"/>
    <w:rsid w:val="006D294F"/>
    <w:rsid w:val="006D407F"/>
    <w:rsid w:val="006E130F"/>
    <w:rsid w:val="006E1850"/>
    <w:rsid w:val="006E2071"/>
    <w:rsid w:val="006E36A7"/>
    <w:rsid w:val="006F0442"/>
    <w:rsid w:val="006F6552"/>
    <w:rsid w:val="00706484"/>
    <w:rsid w:val="00711168"/>
    <w:rsid w:val="00714F0F"/>
    <w:rsid w:val="007160BE"/>
    <w:rsid w:val="00716C91"/>
    <w:rsid w:val="00722F65"/>
    <w:rsid w:val="007257CD"/>
    <w:rsid w:val="00734A4F"/>
    <w:rsid w:val="00737759"/>
    <w:rsid w:val="00737E70"/>
    <w:rsid w:val="00740A92"/>
    <w:rsid w:val="007414C6"/>
    <w:rsid w:val="00747618"/>
    <w:rsid w:val="00754F76"/>
    <w:rsid w:val="00762BCC"/>
    <w:rsid w:val="00763BA3"/>
    <w:rsid w:val="00765B66"/>
    <w:rsid w:val="00767BB2"/>
    <w:rsid w:val="0077159C"/>
    <w:rsid w:val="00776761"/>
    <w:rsid w:val="00776D23"/>
    <w:rsid w:val="00780376"/>
    <w:rsid w:val="00780EE3"/>
    <w:rsid w:val="00785677"/>
    <w:rsid w:val="00791AAC"/>
    <w:rsid w:val="00797D4C"/>
    <w:rsid w:val="00797DEE"/>
    <w:rsid w:val="007A32A4"/>
    <w:rsid w:val="007B1B7B"/>
    <w:rsid w:val="007B3EB4"/>
    <w:rsid w:val="007B4351"/>
    <w:rsid w:val="007C0E7E"/>
    <w:rsid w:val="007C4098"/>
    <w:rsid w:val="007C41C1"/>
    <w:rsid w:val="007D0823"/>
    <w:rsid w:val="007D17C5"/>
    <w:rsid w:val="007D3B3F"/>
    <w:rsid w:val="007D52EC"/>
    <w:rsid w:val="007D77D4"/>
    <w:rsid w:val="007D7F04"/>
    <w:rsid w:val="007E07E0"/>
    <w:rsid w:val="007E1A57"/>
    <w:rsid w:val="007E247D"/>
    <w:rsid w:val="007F16AB"/>
    <w:rsid w:val="007F1CEE"/>
    <w:rsid w:val="0080196B"/>
    <w:rsid w:val="00807C77"/>
    <w:rsid w:val="00814C48"/>
    <w:rsid w:val="00820554"/>
    <w:rsid w:val="00821766"/>
    <w:rsid w:val="00821992"/>
    <w:rsid w:val="00837537"/>
    <w:rsid w:val="00842766"/>
    <w:rsid w:val="0084414F"/>
    <w:rsid w:val="0085178C"/>
    <w:rsid w:val="00854EBF"/>
    <w:rsid w:val="0086094D"/>
    <w:rsid w:val="0086731C"/>
    <w:rsid w:val="00870B11"/>
    <w:rsid w:val="00872382"/>
    <w:rsid w:val="00874A5A"/>
    <w:rsid w:val="00876CD6"/>
    <w:rsid w:val="00884E16"/>
    <w:rsid w:val="00886157"/>
    <w:rsid w:val="00886906"/>
    <w:rsid w:val="008877E9"/>
    <w:rsid w:val="00890A5F"/>
    <w:rsid w:val="008912FE"/>
    <w:rsid w:val="008A245D"/>
    <w:rsid w:val="008A54FC"/>
    <w:rsid w:val="008B1AFE"/>
    <w:rsid w:val="008B263A"/>
    <w:rsid w:val="008B70CD"/>
    <w:rsid w:val="008C0404"/>
    <w:rsid w:val="008D10BA"/>
    <w:rsid w:val="008D141C"/>
    <w:rsid w:val="008D2C13"/>
    <w:rsid w:val="008E20B9"/>
    <w:rsid w:val="008E6109"/>
    <w:rsid w:val="008E7E5D"/>
    <w:rsid w:val="008F0002"/>
    <w:rsid w:val="008F0FB8"/>
    <w:rsid w:val="008F2F3B"/>
    <w:rsid w:val="008F311F"/>
    <w:rsid w:val="008F3CEE"/>
    <w:rsid w:val="008F47AB"/>
    <w:rsid w:val="008F55ED"/>
    <w:rsid w:val="0090017E"/>
    <w:rsid w:val="00902413"/>
    <w:rsid w:val="00907301"/>
    <w:rsid w:val="00907A34"/>
    <w:rsid w:val="00910866"/>
    <w:rsid w:val="00912B72"/>
    <w:rsid w:val="00913ADF"/>
    <w:rsid w:val="0091573A"/>
    <w:rsid w:val="009170EA"/>
    <w:rsid w:val="0092076F"/>
    <w:rsid w:val="009243C2"/>
    <w:rsid w:val="00925694"/>
    <w:rsid w:val="00930439"/>
    <w:rsid w:val="00933961"/>
    <w:rsid w:val="00934E28"/>
    <w:rsid w:val="00937AEB"/>
    <w:rsid w:val="00947E48"/>
    <w:rsid w:val="0095014E"/>
    <w:rsid w:val="00951F10"/>
    <w:rsid w:val="009536BE"/>
    <w:rsid w:val="00961AB4"/>
    <w:rsid w:val="00962D85"/>
    <w:rsid w:val="00965363"/>
    <w:rsid w:val="009662E3"/>
    <w:rsid w:val="0096662D"/>
    <w:rsid w:val="00966DD9"/>
    <w:rsid w:val="009765F7"/>
    <w:rsid w:val="00986677"/>
    <w:rsid w:val="0099059F"/>
    <w:rsid w:val="00992278"/>
    <w:rsid w:val="0099421C"/>
    <w:rsid w:val="009A2F3A"/>
    <w:rsid w:val="009A524A"/>
    <w:rsid w:val="009A685D"/>
    <w:rsid w:val="009A7A45"/>
    <w:rsid w:val="009B067E"/>
    <w:rsid w:val="009B4D40"/>
    <w:rsid w:val="009C02E3"/>
    <w:rsid w:val="009C3803"/>
    <w:rsid w:val="009D0EF1"/>
    <w:rsid w:val="009D2C13"/>
    <w:rsid w:val="009D3469"/>
    <w:rsid w:val="009D3BA5"/>
    <w:rsid w:val="009D4BA1"/>
    <w:rsid w:val="009D6840"/>
    <w:rsid w:val="009D7D5A"/>
    <w:rsid w:val="009E0496"/>
    <w:rsid w:val="009E47EB"/>
    <w:rsid w:val="009E6DB9"/>
    <w:rsid w:val="009F21E8"/>
    <w:rsid w:val="009F3A37"/>
    <w:rsid w:val="009F6EA2"/>
    <w:rsid w:val="00A02090"/>
    <w:rsid w:val="00A03731"/>
    <w:rsid w:val="00A0433F"/>
    <w:rsid w:val="00A05EE6"/>
    <w:rsid w:val="00A061CE"/>
    <w:rsid w:val="00A076B5"/>
    <w:rsid w:val="00A1678F"/>
    <w:rsid w:val="00A17F69"/>
    <w:rsid w:val="00A23870"/>
    <w:rsid w:val="00A2696C"/>
    <w:rsid w:val="00A26B45"/>
    <w:rsid w:val="00A274DB"/>
    <w:rsid w:val="00A277F1"/>
    <w:rsid w:val="00A27DB8"/>
    <w:rsid w:val="00A4178C"/>
    <w:rsid w:val="00A41E1E"/>
    <w:rsid w:val="00A6411D"/>
    <w:rsid w:val="00A673EB"/>
    <w:rsid w:val="00A73298"/>
    <w:rsid w:val="00A751C0"/>
    <w:rsid w:val="00A82116"/>
    <w:rsid w:val="00A85DE5"/>
    <w:rsid w:val="00A86FB3"/>
    <w:rsid w:val="00A87BF6"/>
    <w:rsid w:val="00A95ACB"/>
    <w:rsid w:val="00A97110"/>
    <w:rsid w:val="00A97942"/>
    <w:rsid w:val="00AA079B"/>
    <w:rsid w:val="00AA086A"/>
    <w:rsid w:val="00AA2E1D"/>
    <w:rsid w:val="00AA4FE9"/>
    <w:rsid w:val="00AC0EA5"/>
    <w:rsid w:val="00AC2301"/>
    <w:rsid w:val="00AC2686"/>
    <w:rsid w:val="00AC60C2"/>
    <w:rsid w:val="00AD0C96"/>
    <w:rsid w:val="00AD1BE1"/>
    <w:rsid w:val="00AD3107"/>
    <w:rsid w:val="00AD7257"/>
    <w:rsid w:val="00AE5FAA"/>
    <w:rsid w:val="00AF0889"/>
    <w:rsid w:val="00AF2C48"/>
    <w:rsid w:val="00AF2D0C"/>
    <w:rsid w:val="00AF4C0E"/>
    <w:rsid w:val="00B060DA"/>
    <w:rsid w:val="00B14E5E"/>
    <w:rsid w:val="00B1584A"/>
    <w:rsid w:val="00B20C1A"/>
    <w:rsid w:val="00B21A56"/>
    <w:rsid w:val="00B24ACB"/>
    <w:rsid w:val="00B25910"/>
    <w:rsid w:val="00B26973"/>
    <w:rsid w:val="00B30D3B"/>
    <w:rsid w:val="00B3284C"/>
    <w:rsid w:val="00B41274"/>
    <w:rsid w:val="00B432D4"/>
    <w:rsid w:val="00B4537D"/>
    <w:rsid w:val="00B52158"/>
    <w:rsid w:val="00B5315C"/>
    <w:rsid w:val="00B576D7"/>
    <w:rsid w:val="00B60904"/>
    <w:rsid w:val="00B714E4"/>
    <w:rsid w:val="00B80471"/>
    <w:rsid w:val="00B80892"/>
    <w:rsid w:val="00B82556"/>
    <w:rsid w:val="00B82735"/>
    <w:rsid w:val="00B8434A"/>
    <w:rsid w:val="00B92306"/>
    <w:rsid w:val="00B92861"/>
    <w:rsid w:val="00B94732"/>
    <w:rsid w:val="00BA4F00"/>
    <w:rsid w:val="00BA53FC"/>
    <w:rsid w:val="00BA7A69"/>
    <w:rsid w:val="00BB15E2"/>
    <w:rsid w:val="00BB177B"/>
    <w:rsid w:val="00BC237E"/>
    <w:rsid w:val="00BC39C4"/>
    <w:rsid w:val="00BC4BD7"/>
    <w:rsid w:val="00BC5A60"/>
    <w:rsid w:val="00BD28DF"/>
    <w:rsid w:val="00BD2DC7"/>
    <w:rsid w:val="00BD3356"/>
    <w:rsid w:val="00BD6876"/>
    <w:rsid w:val="00BE2864"/>
    <w:rsid w:val="00BF088F"/>
    <w:rsid w:val="00BF1A52"/>
    <w:rsid w:val="00BF34D5"/>
    <w:rsid w:val="00BF58A5"/>
    <w:rsid w:val="00C00565"/>
    <w:rsid w:val="00C076BF"/>
    <w:rsid w:val="00C13EF8"/>
    <w:rsid w:val="00C212B5"/>
    <w:rsid w:val="00C25F81"/>
    <w:rsid w:val="00C27465"/>
    <w:rsid w:val="00C27F02"/>
    <w:rsid w:val="00C32C20"/>
    <w:rsid w:val="00C376E6"/>
    <w:rsid w:val="00C44908"/>
    <w:rsid w:val="00C50152"/>
    <w:rsid w:val="00C504F4"/>
    <w:rsid w:val="00C512DE"/>
    <w:rsid w:val="00C57E85"/>
    <w:rsid w:val="00C65BB4"/>
    <w:rsid w:val="00C8071C"/>
    <w:rsid w:val="00C816CB"/>
    <w:rsid w:val="00C81FA5"/>
    <w:rsid w:val="00C82389"/>
    <w:rsid w:val="00C82461"/>
    <w:rsid w:val="00C84A8A"/>
    <w:rsid w:val="00C84F0E"/>
    <w:rsid w:val="00C91A8D"/>
    <w:rsid w:val="00C91E3B"/>
    <w:rsid w:val="00C977BD"/>
    <w:rsid w:val="00CA07CC"/>
    <w:rsid w:val="00CA25B5"/>
    <w:rsid w:val="00CA3D59"/>
    <w:rsid w:val="00CA4FCE"/>
    <w:rsid w:val="00CA5F8F"/>
    <w:rsid w:val="00CC0AD2"/>
    <w:rsid w:val="00CC2997"/>
    <w:rsid w:val="00CC5A6F"/>
    <w:rsid w:val="00CC655E"/>
    <w:rsid w:val="00CC758F"/>
    <w:rsid w:val="00CD0383"/>
    <w:rsid w:val="00CD07E7"/>
    <w:rsid w:val="00CD586B"/>
    <w:rsid w:val="00CE271A"/>
    <w:rsid w:val="00CE2E4D"/>
    <w:rsid w:val="00CE4633"/>
    <w:rsid w:val="00CE5220"/>
    <w:rsid w:val="00CE6636"/>
    <w:rsid w:val="00CE6FF5"/>
    <w:rsid w:val="00CF2462"/>
    <w:rsid w:val="00CF5073"/>
    <w:rsid w:val="00CF5245"/>
    <w:rsid w:val="00CF773E"/>
    <w:rsid w:val="00D06683"/>
    <w:rsid w:val="00D07B1A"/>
    <w:rsid w:val="00D1101B"/>
    <w:rsid w:val="00D1167E"/>
    <w:rsid w:val="00D14E33"/>
    <w:rsid w:val="00D14EC5"/>
    <w:rsid w:val="00D234E7"/>
    <w:rsid w:val="00D241A3"/>
    <w:rsid w:val="00D30E46"/>
    <w:rsid w:val="00D320D0"/>
    <w:rsid w:val="00D3663D"/>
    <w:rsid w:val="00D4349F"/>
    <w:rsid w:val="00D47EF6"/>
    <w:rsid w:val="00D50AC8"/>
    <w:rsid w:val="00D51498"/>
    <w:rsid w:val="00D55855"/>
    <w:rsid w:val="00D56568"/>
    <w:rsid w:val="00D60A44"/>
    <w:rsid w:val="00D71998"/>
    <w:rsid w:val="00D72389"/>
    <w:rsid w:val="00D7390F"/>
    <w:rsid w:val="00D74F04"/>
    <w:rsid w:val="00D766B4"/>
    <w:rsid w:val="00D802F5"/>
    <w:rsid w:val="00D82D82"/>
    <w:rsid w:val="00D85BA2"/>
    <w:rsid w:val="00D86F7F"/>
    <w:rsid w:val="00D90913"/>
    <w:rsid w:val="00D92BEC"/>
    <w:rsid w:val="00D96284"/>
    <w:rsid w:val="00DA04B1"/>
    <w:rsid w:val="00DA18F2"/>
    <w:rsid w:val="00DA370C"/>
    <w:rsid w:val="00DB17F9"/>
    <w:rsid w:val="00DB4794"/>
    <w:rsid w:val="00DB511D"/>
    <w:rsid w:val="00DB5A8B"/>
    <w:rsid w:val="00DC4D96"/>
    <w:rsid w:val="00DC7374"/>
    <w:rsid w:val="00DD2280"/>
    <w:rsid w:val="00DD296F"/>
    <w:rsid w:val="00DD4555"/>
    <w:rsid w:val="00DD48FC"/>
    <w:rsid w:val="00DD5136"/>
    <w:rsid w:val="00DD651D"/>
    <w:rsid w:val="00DD6973"/>
    <w:rsid w:val="00DE0686"/>
    <w:rsid w:val="00DF2C67"/>
    <w:rsid w:val="00DF31B3"/>
    <w:rsid w:val="00DF3701"/>
    <w:rsid w:val="00DF3AE2"/>
    <w:rsid w:val="00DF4A51"/>
    <w:rsid w:val="00DF7D21"/>
    <w:rsid w:val="00E0157E"/>
    <w:rsid w:val="00E03771"/>
    <w:rsid w:val="00E059C5"/>
    <w:rsid w:val="00E06D8D"/>
    <w:rsid w:val="00E115F8"/>
    <w:rsid w:val="00E11D7E"/>
    <w:rsid w:val="00E14334"/>
    <w:rsid w:val="00E1513C"/>
    <w:rsid w:val="00E15AAF"/>
    <w:rsid w:val="00E2303A"/>
    <w:rsid w:val="00E269EF"/>
    <w:rsid w:val="00E343BD"/>
    <w:rsid w:val="00E348D9"/>
    <w:rsid w:val="00E36601"/>
    <w:rsid w:val="00E40264"/>
    <w:rsid w:val="00E41B27"/>
    <w:rsid w:val="00E45A56"/>
    <w:rsid w:val="00E46600"/>
    <w:rsid w:val="00E514D1"/>
    <w:rsid w:val="00E577D1"/>
    <w:rsid w:val="00E60351"/>
    <w:rsid w:val="00E6518D"/>
    <w:rsid w:val="00E668CE"/>
    <w:rsid w:val="00E66914"/>
    <w:rsid w:val="00E71AE7"/>
    <w:rsid w:val="00E752E6"/>
    <w:rsid w:val="00E75BD9"/>
    <w:rsid w:val="00E75E58"/>
    <w:rsid w:val="00E83015"/>
    <w:rsid w:val="00E8407B"/>
    <w:rsid w:val="00E8624F"/>
    <w:rsid w:val="00E93C69"/>
    <w:rsid w:val="00E96842"/>
    <w:rsid w:val="00EA2ED5"/>
    <w:rsid w:val="00EA5CF3"/>
    <w:rsid w:val="00EA6088"/>
    <w:rsid w:val="00EA6865"/>
    <w:rsid w:val="00EA6D58"/>
    <w:rsid w:val="00EB369B"/>
    <w:rsid w:val="00EB7CB6"/>
    <w:rsid w:val="00EC1A2C"/>
    <w:rsid w:val="00EC6023"/>
    <w:rsid w:val="00EC6277"/>
    <w:rsid w:val="00EC7AD0"/>
    <w:rsid w:val="00ED2054"/>
    <w:rsid w:val="00ED2C10"/>
    <w:rsid w:val="00ED55F7"/>
    <w:rsid w:val="00ED7C19"/>
    <w:rsid w:val="00F058AD"/>
    <w:rsid w:val="00F11542"/>
    <w:rsid w:val="00F15895"/>
    <w:rsid w:val="00F212EB"/>
    <w:rsid w:val="00F21EDB"/>
    <w:rsid w:val="00F23D13"/>
    <w:rsid w:val="00F3012E"/>
    <w:rsid w:val="00F308F4"/>
    <w:rsid w:val="00F32DEC"/>
    <w:rsid w:val="00F33208"/>
    <w:rsid w:val="00F4180E"/>
    <w:rsid w:val="00F43E24"/>
    <w:rsid w:val="00F44DB7"/>
    <w:rsid w:val="00F45561"/>
    <w:rsid w:val="00F465D3"/>
    <w:rsid w:val="00F47B15"/>
    <w:rsid w:val="00F51BD6"/>
    <w:rsid w:val="00F54894"/>
    <w:rsid w:val="00F56F06"/>
    <w:rsid w:val="00F56F62"/>
    <w:rsid w:val="00F62443"/>
    <w:rsid w:val="00F62D48"/>
    <w:rsid w:val="00F661E8"/>
    <w:rsid w:val="00F7322A"/>
    <w:rsid w:val="00F73815"/>
    <w:rsid w:val="00F75F57"/>
    <w:rsid w:val="00F7770D"/>
    <w:rsid w:val="00F905E7"/>
    <w:rsid w:val="00F91FDD"/>
    <w:rsid w:val="00F93115"/>
    <w:rsid w:val="00FA03E3"/>
    <w:rsid w:val="00FA4E32"/>
    <w:rsid w:val="00FA5792"/>
    <w:rsid w:val="00FA6B79"/>
    <w:rsid w:val="00FB04BE"/>
    <w:rsid w:val="00FB110A"/>
    <w:rsid w:val="00FB200D"/>
    <w:rsid w:val="00FB2A9B"/>
    <w:rsid w:val="00FB31BB"/>
    <w:rsid w:val="00FB3571"/>
    <w:rsid w:val="00FB3612"/>
    <w:rsid w:val="00FB4F1D"/>
    <w:rsid w:val="00FB549E"/>
    <w:rsid w:val="00FC1A1B"/>
    <w:rsid w:val="00FD28BC"/>
    <w:rsid w:val="00FE1224"/>
    <w:rsid w:val="00FE2DC4"/>
    <w:rsid w:val="00FE4FAA"/>
    <w:rsid w:val="00FE7EEC"/>
    <w:rsid w:val="00FF0CF6"/>
    <w:rsid w:val="00FF0E5A"/>
    <w:rsid w:val="00FF35F5"/>
    <w:rsid w:val="00FF402F"/>
    <w:rsid w:val="00FF4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b6c58,#887e6e,#b0a696"/>
    </o:shapedefaults>
    <o:shapelayout v:ext="edit">
      <o:idmap v:ext="edit" data="1"/>
    </o:shapelayout>
  </w:shapeDefaults>
  <w:decimalSymbol w:val="."/>
  <w:listSeparator w:val=","/>
  <w14:docId w14:val="131C3B98"/>
  <w15:docId w15:val="{CF671E13-3AEF-4D06-B04F-4C118893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qFormat="1"/>
    <w:lsdException w:name="heading 6"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footnote text" w:locked="0"/>
    <w:lsdException w:name="caption" w:locked="0" w:qFormat="1"/>
    <w:lsdException w:name="footnote reference" w:locked="0"/>
    <w:lsdException w:name="Title" w:qFormat="1"/>
    <w:lsdException w:name="Default Paragraph Font" w:locked="0"/>
    <w:lsdException w:name="Subtitle" w:qFormat="1"/>
    <w:lsdException w:name="Hyperlink" w:locked="0"/>
    <w:lsdException w:name="Strong" w:qFormat="1"/>
    <w:lsdException w:name="Emphasis" w:locked="0"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locked="0"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Normal">
    <w:name w:val="Normal"/>
    <w:aliases w:val="ECC Base"/>
    <w:qFormat/>
    <w:rsid w:val="00714F0F"/>
    <w:pPr>
      <w:spacing w:before="240" w:after="60"/>
      <w:jc w:val="both"/>
    </w:pPr>
    <w:rPr>
      <w:rFonts w:eastAsia="Calibri"/>
      <w:szCs w:val="22"/>
      <w:lang w:val="en-GB"/>
    </w:rPr>
  </w:style>
  <w:style w:type="paragraph" w:styleId="Heading1">
    <w:name w:val="heading 1"/>
    <w:aliases w:val="ECC Heading 1,H1,h1,h11,h12,h13,h14,h15,h16,h17,h111,h121,h131,h141,h151,h161,h18,h112,h122,h132,h142,h152,h162,h19,h113,h123,h133,h143,h153,h163,1,l1,II+,I,Section Head,Chapter Heading,h:1,h:1app,app heading 1,Head 1 (Chapter heading),Titre"/>
    <w:next w:val="Normal"/>
    <w:link w:val="Heading1Char"/>
    <w:qFormat/>
    <w:rsid w:val="00A751C0"/>
    <w:pPr>
      <w:keepNext/>
      <w:numPr>
        <w:numId w:val="17"/>
      </w:numPr>
      <w:spacing w:before="600" w:after="60"/>
      <w:jc w:val="both"/>
      <w:outlineLvl w:val="0"/>
    </w:pPr>
    <w:rPr>
      <w:rFonts w:cs="Arial"/>
      <w:b/>
      <w:bCs/>
      <w:caps/>
      <w:color w:val="D2232A"/>
      <w:kern w:val="32"/>
      <w:szCs w:val="32"/>
      <w:lang w:val="da-DK"/>
    </w:rPr>
  </w:style>
  <w:style w:type="paragraph" w:styleId="Heading2">
    <w:name w:val="heading 2"/>
    <w:aliases w:val="ECC Heading 2,Head2A,2,H2,h2,UNDERRUBRIK 1-2,2nd level,†berschrift 2,DO NOT USE_h2,h21,heading8,Heading Two,R2,h 2,l2"/>
    <w:next w:val="Normal"/>
    <w:link w:val="Heading2Char"/>
    <w:qFormat/>
    <w:rsid w:val="00F51BD6"/>
    <w:pPr>
      <w:keepNext/>
      <w:numPr>
        <w:ilvl w:val="1"/>
        <w:numId w:val="17"/>
      </w:numPr>
      <w:spacing w:before="480" w:after="60"/>
      <w:jc w:val="both"/>
      <w:outlineLvl w:val="1"/>
    </w:pPr>
    <w:rPr>
      <w:rFonts w:cs="Arial"/>
      <w:b/>
      <w:bCs/>
      <w:iCs/>
      <w:caps/>
      <w:szCs w:val="28"/>
      <w:lang w:val="da-DK"/>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next w:val="Normal"/>
    <w:link w:val="Heading3Char"/>
    <w:qFormat/>
    <w:rsid w:val="00E2303A"/>
    <w:pPr>
      <w:keepNext/>
      <w:numPr>
        <w:ilvl w:val="2"/>
        <w:numId w:val="17"/>
      </w:numPr>
      <w:spacing w:before="360" w:after="60"/>
      <w:jc w:val="both"/>
      <w:outlineLvl w:val="2"/>
    </w:pPr>
    <w:rPr>
      <w:rFonts w:cs="Arial"/>
      <w:b/>
      <w:bCs/>
      <w:szCs w:val="26"/>
      <w:lang w:val="da-DK"/>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next w:val="Normal"/>
    <w:link w:val="Heading4Char"/>
    <w:qFormat/>
    <w:rsid w:val="00F51BD6"/>
    <w:pPr>
      <w:numPr>
        <w:ilvl w:val="3"/>
        <w:numId w:val="17"/>
      </w:numPr>
      <w:spacing w:before="360" w:after="60"/>
      <w:jc w:val="both"/>
      <w:outlineLvl w:val="3"/>
    </w:pPr>
    <w:rPr>
      <w:rFonts w:cs="Arial"/>
      <w:bCs/>
      <w:i/>
      <w:color w:val="D2232A"/>
      <w:szCs w:val="26"/>
      <w:lang w:val="da-DK"/>
    </w:rPr>
  </w:style>
  <w:style w:type="paragraph" w:styleId="Heading5">
    <w:name w:val="heading 5"/>
    <w:basedOn w:val="Normal"/>
    <w:next w:val="Normal"/>
    <w:qFormat/>
    <w:locked/>
    <w:rsid w:val="009E47EB"/>
    <w:pPr>
      <w:numPr>
        <w:ilvl w:val="4"/>
        <w:numId w:val="17"/>
      </w:numPr>
      <w:outlineLvl w:val="4"/>
    </w:pPr>
    <w:rPr>
      <w:b/>
      <w:bCs/>
      <w:i/>
      <w:iCs/>
      <w:sz w:val="26"/>
      <w:szCs w:val="26"/>
    </w:rPr>
  </w:style>
  <w:style w:type="paragraph" w:styleId="Heading6">
    <w:name w:val="heading 6"/>
    <w:basedOn w:val="Normal"/>
    <w:next w:val="Normal"/>
    <w:qFormat/>
    <w:locked/>
    <w:rsid w:val="009E47EB"/>
    <w:pPr>
      <w:numPr>
        <w:ilvl w:val="5"/>
        <w:numId w:val="17"/>
      </w:numPr>
      <w:outlineLvl w:val="5"/>
    </w:pPr>
    <w:rPr>
      <w:b/>
      <w:bCs/>
      <w:sz w:val="22"/>
    </w:rPr>
  </w:style>
  <w:style w:type="paragraph" w:styleId="Heading7">
    <w:name w:val="heading 7"/>
    <w:basedOn w:val="Normal"/>
    <w:next w:val="Normal"/>
    <w:qFormat/>
    <w:locked/>
    <w:rsid w:val="009E47EB"/>
    <w:pPr>
      <w:numPr>
        <w:ilvl w:val="6"/>
        <w:numId w:val="17"/>
      </w:numPr>
      <w:outlineLvl w:val="6"/>
    </w:pPr>
    <w:rPr>
      <w:sz w:val="24"/>
    </w:rPr>
  </w:style>
  <w:style w:type="paragraph" w:styleId="Heading8">
    <w:name w:val="heading 8"/>
    <w:basedOn w:val="Normal"/>
    <w:next w:val="Normal"/>
    <w:qFormat/>
    <w:locked/>
    <w:rsid w:val="009E47EB"/>
    <w:pPr>
      <w:numPr>
        <w:ilvl w:val="7"/>
        <w:numId w:val="17"/>
      </w:numPr>
      <w:outlineLvl w:val="7"/>
    </w:pPr>
    <w:rPr>
      <w:i/>
      <w:iCs/>
      <w:sz w:val="24"/>
    </w:rPr>
  </w:style>
  <w:style w:type="paragraph" w:styleId="Heading9">
    <w:name w:val="heading 9"/>
    <w:basedOn w:val="Normal"/>
    <w:next w:val="Normal"/>
    <w:qFormat/>
    <w:locked/>
    <w:rsid w:val="009E47EB"/>
    <w:pPr>
      <w:numPr>
        <w:ilvl w:val="8"/>
        <w:numId w:val="17"/>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714F0F"/>
    <w:pPr>
      <w:numPr>
        <w:numId w:val="2"/>
      </w:numPr>
      <w:tabs>
        <w:tab w:val="left" w:pos="340"/>
      </w:tabs>
      <w:spacing w:before="60" w:after="0" w:line="288" w:lineRule="auto"/>
      <w:ind w:left="340" w:hanging="340"/>
      <w:contextualSpacing/>
    </w:pPr>
  </w:style>
  <w:style w:type="paragraph" w:styleId="Header">
    <w:name w:val="header"/>
    <w:basedOn w:val="Normal"/>
    <w:locked/>
    <w:rsid w:val="00C95C7C"/>
    <w:pPr>
      <w:tabs>
        <w:tab w:val="center" w:pos="4320"/>
        <w:tab w:val="right" w:pos="8640"/>
      </w:tabs>
    </w:pPr>
    <w:rPr>
      <w:b/>
      <w:sz w:val="16"/>
    </w:rPr>
  </w:style>
  <w:style w:type="paragraph" w:customStyle="1" w:styleId="ECCBox">
    <w:name w:val="ECC Box"/>
    <w:link w:val="ECCBoxZchn"/>
    <w:rsid w:val="0042761F"/>
    <w:pPr>
      <w:keepLines/>
      <w:pBdr>
        <w:top w:val="single" w:sz="12" w:space="4" w:color="auto"/>
        <w:left w:val="single" w:sz="12" w:space="4" w:color="auto"/>
        <w:bottom w:val="single" w:sz="12" w:space="4" w:color="auto"/>
        <w:right w:val="single" w:sz="12" w:space="4" w:color="auto"/>
      </w:pBdr>
      <w:spacing w:before="60" w:after="60"/>
      <w:jc w:val="both"/>
    </w:pPr>
    <w:rPr>
      <w:lang w:val="da-DK" w:eastAsia="de-DE"/>
    </w:rPr>
  </w:style>
  <w:style w:type="paragraph" w:customStyle="1" w:styleId="ECCAnnexheading1">
    <w:name w:val="ECC Annex heading1"/>
    <w:next w:val="Normal"/>
    <w:rsid w:val="00E2303A"/>
    <w:pPr>
      <w:keepNext/>
      <w:pageBreakBefore/>
      <w:numPr>
        <w:numId w:val="1"/>
      </w:numPr>
      <w:spacing w:before="240" w:after="60"/>
      <w:jc w:val="both"/>
    </w:pPr>
    <w:rPr>
      <w:b/>
      <w:caps/>
      <w:color w:val="D2232A"/>
      <w:lang w:val="da-DK"/>
    </w:rPr>
  </w:style>
  <w:style w:type="paragraph" w:styleId="TOC1">
    <w:name w:val="toc 1"/>
    <w:aliases w:val="ECC Index 1"/>
    <w:basedOn w:val="Normal"/>
    <w:link w:val="TOC1Char"/>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fn,f"/>
    <w:basedOn w:val="Normal"/>
    <w:link w:val="FootnoteTextChar"/>
    <w:rsid w:val="001526A2"/>
    <w:pPr>
      <w:widowControl w:val="0"/>
      <w:tabs>
        <w:tab w:val="left" w:pos="284"/>
      </w:tabs>
      <w:spacing w:after="0"/>
      <w:ind w:left="284" w:hanging="284"/>
    </w:pPr>
    <w:rPr>
      <w:sz w:val="16"/>
      <w:szCs w:val="16"/>
      <w:lang w:val="da-DK"/>
    </w:rPr>
  </w:style>
  <w:style w:type="paragraph" w:styleId="TOC2">
    <w:name w:val="toc 2"/>
    <w:aliases w:val="ECC Index 2"/>
    <w:basedOn w:val="Normal"/>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rsid w:val="0038287C"/>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fn Char,f Char"/>
    <w:link w:val="FootnoteText"/>
    <w:rsid w:val="001526A2"/>
    <w:rPr>
      <w:rFonts w:eastAsia="Calibri"/>
      <w:sz w:val="16"/>
      <w:szCs w:val="16"/>
    </w:rPr>
  </w:style>
  <w:style w:type="character" w:styleId="FootnoteReference">
    <w:name w:val="footnote reference"/>
    <w:aliases w:val="ECC Footnote number,Footnote symbol,Appel note de bas de p,Appel note de bas de p + (Asian) Batang,Black,Footnote Reference/,(NECG) Footnote Reference"/>
    <w:rsid w:val="00DB17F9"/>
    <w:rPr>
      <w:rFonts w:ascii="Arial" w:hAnsi="Arial"/>
      <w:sz w:val="20"/>
      <w:vertAlign w:val="superscript"/>
    </w:rPr>
  </w:style>
  <w:style w:type="paragraph" w:styleId="Caption">
    <w:name w:val="caption"/>
    <w:aliases w:val="ECC Caption,Ca,cap,cap Char,Caption Char1 Char,cap Char Char1,Caption Char Char1 Char,cap Char2 Char,RptCaption,cap1,cap2,cap11,Figure Lable"/>
    <w:next w:val="Normal"/>
    <w:link w:val="CaptionChar"/>
    <w:qFormat/>
    <w:rsid w:val="0038287C"/>
    <w:pPr>
      <w:keepLines/>
      <w:tabs>
        <w:tab w:val="left" w:pos="0"/>
        <w:tab w:val="center" w:pos="4820"/>
        <w:tab w:val="right" w:pos="9639"/>
      </w:tabs>
      <w:spacing w:before="240" w:after="240"/>
      <w:contextualSpacing/>
      <w:jc w:val="center"/>
    </w:pPr>
    <w:rPr>
      <w:b/>
      <w:bCs/>
      <w:color w:val="D2232A"/>
      <w:lang w:val="da-DK"/>
    </w:rPr>
  </w:style>
  <w:style w:type="paragraph" w:customStyle="1" w:styleId="ECCTablenote">
    <w:name w:val="ECC Table note"/>
    <w:rsid w:val="00714F0F"/>
    <w:pPr>
      <w:spacing w:after="60"/>
      <w:ind w:left="284" w:hanging="284"/>
      <w:jc w:val="both"/>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uiPriority w:val="99"/>
    <w:rsid w:val="00E2303A"/>
    <w:pPr>
      <w:numPr>
        <w:ilvl w:val="1"/>
        <w:numId w:val="1"/>
      </w:numPr>
      <w:overflowPunct w:val="0"/>
      <w:autoSpaceDE w:val="0"/>
      <w:autoSpaceDN w:val="0"/>
      <w:adjustRightInd w:val="0"/>
      <w:spacing w:before="480" w:after="240"/>
      <w:jc w:val="both"/>
      <w:textAlignment w:val="baseline"/>
    </w:pPr>
    <w:rPr>
      <w:b/>
      <w:caps/>
      <w:lang w:val="da-DK"/>
    </w:rPr>
  </w:style>
  <w:style w:type="paragraph" w:customStyle="1" w:styleId="ECCAnnexheading3">
    <w:name w:val="ECC Annex heading3"/>
    <w:next w:val="Normal"/>
    <w:uiPriority w:val="99"/>
    <w:rsid w:val="0001112E"/>
    <w:pPr>
      <w:numPr>
        <w:ilvl w:val="2"/>
        <w:numId w:val="1"/>
      </w:numPr>
      <w:overflowPunct w:val="0"/>
      <w:autoSpaceDE w:val="0"/>
      <w:autoSpaceDN w:val="0"/>
      <w:adjustRightInd w:val="0"/>
      <w:spacing w:before="360" w:after="60"/>
      <w:jc w:val="both"/>
      <w:textAlignment w:val="baseline"/>
    </w:pPr>
    <w:rPr>
      <w:b/>
      <w:lang w:val="da-DK"/>
    </w:rPr>
  </w:style>
  <w:style w:type="paragraph" w:customStyle="1" w:styleId="ECCAnnexheading4">
    <w:name w:val="ECC Annex heading4"/>
    <w:next w:val="Normal"/>
    <w:uiPriority w:val="99"/>
    <w:rsid w:val="00E2303A"/>
    <w:pPr>
      <w:numPr>
        <w:ilvl w:val="3"/>
        <w:numId w:val="1"/>
      </w:numPr>
      <w:overflowPunct w:val="0"/>
      <w:autoSpaceDE w:val="0"/>
      <w:autoSpaceDN w:val="0"/>
      <w:adjustRightInd w:val="0"/>
      <w:spacing w:before="360" w:after="60"/>
      <w:jc w:val="both"/>
      <w:textAlignment w:val="baseline"/>
    </w:pPr>
    <w:rPr>
      <w:i/>
      <w:color w:val="D2232A"/>
      <w:lang w:val="da-DK"/>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before="240"/>
      <w:jc w:val="both"/>
    </w:pPr>
    <w:rPr>
      <w:lang w:val="da-DK"/>
    </w:r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locked/>
    <w:rsid w:val="009E47EB"/>
    <w:rPr>
      <w:rFonts w:ascii="Lucida Grande" w:hAnsi="Lucida Grande" w:cs="Lucida Grande"/>
      <w:sz w:val="18"/>
      <w:szCs w:val="18"/>
    </w:rPr>
  </w:style>
  <w:style w:type="character" w:customStyle="1" w:styleId="BalloonTextChar">
    <w:name w:val="Balloon Text Char"/>
    <w:link w:val="BalloonText"/>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6"/>
      </w:numPr>
      <w:shd w:val="solid" w:color="FFFF00" w:fill="auto"/>
      <w:spacing w:before="120" w:after="60"/>
      <w:jc w:val="both"/>
    </w:pPr>
    <w:rPr>
      <w:rFonts w:eastAsia="Calibri"/>
      <w:szCs w:val="22"/>
      <w:lang w:val="da-DK" w:eastAsia="de-DE"/>
    </w:rPr>
  </w:style>
  <w:style w:type="paragraph" w:customStyle="1" w:styleId="ECCpageHeader">
    <w:name w:val="ECC page Header"/>
    <w:rsid w:val="00E36601"/>
    <w:pPr>
      <w:tabs>
        <w:tab w:val="left" w:pos="0"/>
        <w:tab w:val="center" w:pos="4820"/>
        <w:tab w:val="right" w:pos="9639"/>
      </w:tabs>
      <w:jc w:val="both"/>
    </w:pPr>
    <w:rPr>
      <w:b/>
      <w:sz w:val="16"/>
      <w:lang w:val="da-DK"/>
    </w:rPr>
  </w:style>
  <w:style w:type="paragraph" w:customStyle="1" w:styleId="ECCFiguregraphcentered">
    <w:name w:val="ECC Figure/graph centered"/>
    <w:next w:val="Normal"/>
    <w:rsid w:val="00283417"/>
    <w:pPr>
      <w:spacing w:before="240" w:after="240"/>
      <w:jc w:val="center"/>
    </w:pPr>
    <w:rPr>
      <w:noProof/>
      <w:lang w:val="de-DE" w:eastAsia="de-DE"/>
    </w:rPr>
  </w:style>
  <w:style w:type="paragraph" w:customStyle="1" w:styleId="ECCLetterHead">
    <w:name w:val="ECC Letter Head"/>
    <w:basedOn w:val="Normal"/>
    <w:link w:val="ECCLetterHeadZchn"/>
    <w:rsid w:val="0038287C"/>
    <w:pPr>
      <w:tabs>
        <w:tab w:val="right" w:pos="4750"/>
      </w:tabs>
      <w:spacing w:before="120"/>
    </w:pPr>
    <w:rPr>
      <w:b/>
      <w:sz w:val="22"/>
      <w:szCs w:val="20"/>
    </w:rPr>
  </w:style>
  <w:style w:type="character" w:customStyle="1" w:styleId="ECCHLyellow">
    <w:name w:val="ECC HL yellow"/>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rsid w:val="0038287C"/>
    <w:pPr>
      <w:spacing w:after="120"/>
      <w:jc w:val="center"/>
    </w:pPr>
    <w:rPr>
      <w:color w:val="FFFFFF"/>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locked/>
    <w:rsid w:val="007D52EC"/>
    <w:pPr>
      <w:spacing w:before="0" w:after="0"/>
      <w:ind w:left="4252"/>
    </w:pPr>
  </w:style>
  <w:style w:type="paragraph" w:customStyle="1" w:styleId="ECCTableHeaderredfont">
    <w:name w:val="ECC Table Header red font"/>
    <w:rsid w:val="0038287C"/>
    <w:pPr>
      <w:spacing w:before="120" w:after="60"/>
      <w:jc w:val="both"/>
    </w:pPr>
    <w:rPr>
      <w:bCs/>
      <w:color w:val="D2232A"/>
      <w:lang w:val="en-GB"/>
    </w:rPr>
  </w:style>
  <w:style w:type="character" w:customStyle="1" w:styleId="SignatureChar">
    <w:name w:val="Signature Char"/>
    <w:basedOn w:val="DefaultParagraphFont"/>
    <w:link w:val="Signature"/>
    <w:rsid w:val="007D52EC"/>
  </w:style>
  <w:style w:type="paragraph" w:customStyle="1" w:styleId="ECCpageFooter">
    <w:name w:val="ECC page Footer"/>
    <w:rsid w:val="00E36601"/>
    <w:pPr>
      <w:tabs>
        <w:tab w:val="left" w:pos="0"/>
        <w:tab w:val="center" w:pos="4820"/>
        <w:tab w:val="right" w:pos="9639"/>
      </w:tabs>
      <w:jc w:val="both"/>
    </w:pPr>
    <w:rPr>
      <w:b/>
      <w:sz w:val="16"/>
      <w:szCs w:val="22"/>
      <w:lang w:val="de-DE" w:eastAsia="de-DE"/>
    </w:rPr>
  </w:style>
  <w:style w:type="character" w:customStyle="1" w:styleId="ECCBoxZchn">
    <w:name w:val="ECC Box Zchn"/>
    <w:link w:val="ECCBox"/>
    <w:rsid w:val="0042761F"/>
    <w:rPr>
      <w:szCs w:val="22"/>
      <w:lang w:val="en-GB" w:eastAsia="de-DE"/>
    </w:rPr>
  </w:style>
  <w:style w:type="character" w:customStyle="1" w:styleId="ECCHLbold">
    <w:name w:val="ECC HL bold"/>
    <w:uiPriority w:val="1"/>
    <w:qFormat/>
    <w:rsid w:val="0038287C"/>
    <w:rPr>
      <w:b/>
      <w:bCs/>
    </w:rPr>
  </w:style>
  <w:style w:type="character" w:styleId="Emphasis">
    <w:name w:val="Emphasis"/>
    <w:aliases w:val="ECC HL italics"/>
    <w:qFormat/>
    <w:rsid w:val="00DB17F9"/>
    <w:rPr>
      <w:i/>
    </w:rPr>
  </w:style>
  <w:style w:type="character" w:customStyle="1" w:styleId="TOC1Char">
    <w:name w:val="TOC 1 Char"/>
    <w:aliases w:val="ECC Index 1 Char"/>
    <w:link w:val="TOC1"/>
    <w:rsid w:val="00D3663D"/>
    <w:rPr>
      <w:rFonts w:eastAsia="Calibri"/>
      <w:b/>
      <w:noProof/>
    </w:rPr>
  </w:style>
  <w:style w:type="paragraph" w:styleId="TOCHeading">
    <w:name w:val="TOC Heading"/>
    <w:basedOn w:val="Heading1"/>
    <w:next w:val="Normal"/>
    <w:qFormat/>
    <w:locked/>
    <w:rsid w:val="003A5711"/>
    <w:pPr>
      <w:keepLines/>
      <w:numPr>
        <w:numId w:val="0"/>
      </w:numPr>
      <w:spacing w:before="480" w:after="0"/>
      <w:outlineLvl w:val="9"/>
    </w:pPr>
    <w:rPr>
      <w:rFonts w:ascii="Calibri" w:eastAsia="MS Gothic" w:hAnsi="Calibri" w:cs="Times New Roman"/>
      <w:caps w:val="0"/>
      <w:color w:val="365F91"/>
      <w:kern w:val="0"/>
      <w:sz w:val="28"/>
      <w:szCs w:val="28"/>
      <w:lang w:val="en-GB"/>
    </w:rPr>
  </w:style>
  <w:style w:type="character" w:customStyle="1" w:styleId="ECCHLcyan">
    <w:name w:val="ECC HL cyan"/>
    <w:rsid w:val="0038287C"/>
    <w:rPr>
      <w:iCs w:val="0"/>
      <w:bdr w:val="none" w:sz="0" w:space="0" w:color="auto"/>
      <w:shd w:val="solid" w:color="00FFFF" w:fill="auto"/>
      <w:lang w:val="en-GB"/>
    </w:rPr>
  </w:style>
  <w:style w:type="character" w:customStyle="1" w:styleId="ECCHLorange">
    <w:name w:val="ECC HL orange"/>
    <w:rsid w:val="0038287C"/>
    <w:rPr>
      <w:bdr w:val="none" w:sz="0" w:space="0" w:color="auto"/>
      <w:shd w:val="solid" w:color="FFC000" w:fill="auto"/>
    </w:rPr>
  </w:style>
  <w:style w:type="character" w:customStyle="1" w:styleId="ECCHLblue">
    <w:name w:val="ECC HL blue"/>
    <w:rsid w:val="0038287C"/>
    <w:rPr>
      <w:rFonts w:eastAsia="Calibri"/>
      <w:color w:val="FFFF00"/>
      <w:szCs w:val="22"/>
      <w:bdr w:val="none" w:sz="0" w:space="0" w:color="auto"/>
      <w:shd w:val="solid" w:color="4F81BD" w:fill="auto"/>
      <w:lang w:val="en-GB"/>
    </w:rPr>
  </w:style>
  <w:style w:type="character" w:customStyle="1" w:styleId="ECCHLpetrol">
    <w:name w:val="ECC HL petrol"/>
    <w:rsid w:val="0038287C"/>
    <w:rPr>
      <w:iCs w:val="0"/>
      <w:color w:val="FFFFFF"/>
      <w:bdr w:val="none" w:sz="0" w:space="0" w:color="auto"/>
      <w:shd w:val="solid" w:color="008080" w:fill="auto"/>
    </w:rPr>
  </w:style>
  <w:style w:type="paragraph" w:styleId="ListParagraph">
    <w:name w:val="List Paragraph"/>
    <w:basedOn w:val="Normal"/>
    <w:qFormat/>
    <w:locked/>
    <w:rsid w:val="005C5A96"/>
    <w:pPr>
      <w:ind w:left="720"/>
      <w:contextualSpacing/>
    </w:pPr>
  </w:style>
  <w:style w:type="character" w:customStyle="1" w:styleId="ECCHLsubscript">
    <w:name w:val="ECC HL subscript"/>
    <w:rsid w:val="0038287C"/>
    <w:rPr>
      <w:vertAlign w:val="subscript"/>
    </w:rPr>
  </w:style>
  <w:style w:type="character" w:customStyle="1" w:styleId="ECCHLsuperscript">
    <w:name w:val="ECC HL superscript"/>
    <w:rsid w:val="0038287C"/>
    <w:rPr>
      <w:vertAlign w:val="superscript"/>
    </w:rPr>
  </w:style>
  <w:style w:type="character" w:customStyle="1" w:styleId="ECCLetterHeadZchn">
    <w:name w:val="ECC Letter Head Zchn"/>
    <w:link w:val="ECCLetterHead"/>
    <w:rsid w:val="00263FFB"/>
    <w:rPr>
      <w:rFonts w:eastAsia="Calibri"/>
      <w:b/>
      <w:sz w:val="22"/>
      <w:lang w:val="en-GB"/>
    </w:rPr>
  </w:style>
  <w:style w:type="character" w:customStyle="1" w:styleId="ECCHLmagenta">
    <w:name w:val="ECC HL magenta"/>
    <w:rsid w:val="0038287C"/>
    <w:rPr>
      <w:color w:val="auto"/>
      <w:bdr w:val="none" w:sz="0" w:space="0" w:color="auto"/>
      <w:shd w:val="solid" w:color="FF3399" w:fill="auto"/>
      <w:lang w:val="en-GB"/>
    </w:rPr>
  </w:style>
  <w:style w:type="character" w:customStyle="1" w:styleId="ECCHLbrown">
    <w:name w:val="ECC HL brown"/>
    <w:rsid w:val="0038287C"/>
    <w:rPr>
      <w:color w:val="D9D9D9"/>
      <w:bdr w:val="none" w:sz="0" w:space="0" w:color="auto"/>
      <w:shd w:val="solid" w:color="B95807" w:fill="auto"/>
    </w:rPr>
  </w:style>
  <w:style w:type="character" w:styleId="Hyperlink">
    <w:name w:val="Hyperlink"/>
    <w:aliases w:val="ECC Hyperlink"/>
    <w:rsid w:val="00DB17F9"/>
    <w:rPr>
      <w:color w:val="0000FF"/>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uiPriority w:val="1"/>
    <w:qFormat/>
    <w:rsid w:val="0038287C"/>
    <w:rPr>
      <w:rFonts w:ascii="Arial" w:hAnsi="Arial"/>
      <w:noProof w:val="0"/>
      <w:sz w:val="20"/>
      <w:bdr w:val="none" w:sz="0" w:space="0" w:color="auto"/>
      <w:lang w:val="en-GB"/>
    </w:rPr>
  </w:style>
  <w:style w:type="character" w:customStyle="1" w:styleId="ECCHLunderlined">
    <w:name w:val="ECC HL underlined"/>
    <w:rsid w:val="0038287C"/>
    <w:rPr>
      <w:u w:val="single"/>
    </w:rPr>
  </w:style>
  <w:style w:type="table" w:styleId="ColorfulGrid">
    <w:name w:val="Colorful Grid"/>
    <w:basedOn w:val="TableNormal"/>
    <w:locked/>
    <w:rsid w:val="00F23D1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Simple1">
    <w:name w:val="Table Simple 1"/>
    <w:basedOn w:val="TableNormal"/>
    <w:locked/>
    <w:rsid w:val="00DB17F9"/>
    <w:pPr>
      <w:shd w:val="clear" w:color="FFFFFF"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locked/>
    <w:rsid w:val="00F23D1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CCTable-whiteheader">
    <w:name w:val="ECC Table - white header"/>
    <w:basedOn w:val="ECCTable-clean"/>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vAlign w:val="center"/>
      </w:tcPr>
    </w:tblStylePr>
  </w:style>
  <w:style w:type="table" w:customStyle="1" w:styleId="ECCTable-clean">
    <w:name w:val="ECC Table - clean"/>
    <w:rsid w:val="0038287C"/>
    <w:pPr>
      <w:spacing w:before="60" w:after="60"/>
      <w:jc w:val="both"/>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style>
  <w:style w:type="character" w:customStyle="1" w:styleId="ECCHLgrey">
    <w:name w:val="ECC HL grey"/>
    <w:rsid w:val="0038287C"/>
    <w:rPr>
      <w:bdr w:val="none" w:sz="0" w:space="0" w:color="auto"/>
      <w:shd w:val="solid" w:color="BFBFBF" w:fill="auto"/>
    </w:rPr>
  </w:style>
  <w:style w:type="table" w:styleId="TableGrid">
    <w:name w:val="Table Grid"/>
    <w:basedOn w:val="TableNormal"/>
    <w:locked/>
    <w:rsid w:val="00D0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38287C"/>
    <w:rPr>
      <w:b/>
      <w:bCs/>
    </w:rPr>
  </w:style>
  <w:style w:type="paragraph" w:customStyle="1" w:styleId="ECCBreak">
    <w:name w:val="ECC Break"/>
    <w:link w:val="ECCBreakZchn"/>
    <w:rsid w:val="0042761F"/>
    <w:pPr>
      <w:spacing w:before="360" w:after="60"/>
    </w:pPr>
    <w:rPr>
      <w:b/>
      <w:bCs/>
      <w:iCs/>
      <w:caps/>
      <w:szCs w:val="28"/>
      <w:lang w:val="da-DK"/>
    </w:rPr>
  </w:style>
  <w:style w:type="character" w:customStyle="1" w:styleId="ECCBreakZchn">
    <w:name w:val="ECC Break Zchn"/>
    <w:link w:val="ECCBreak"/>
    <w:rsid w:val="0042761F"/>
    <w:rPr>
      <w:b/>
      <w:bCs/>
      <w:iCs/>
      <w:caps/>
      <w:szCs w:val="28"/>
    </w:rPr>
  </w:style>
  <w:style w:type="character" w:styleId="CommentReference">
    <w:name w:val="annotation reference"/>
    <w:locked/>
    <w:rsid w:val="00C376E6"/>
    <w:rPr>
      <w:sz w:val="16"/>
      <w:szCs w:val="16"/>
    </w:rPr>
  </w:style>
  <w:style w:type="paragraph" w:styleId="CommentText">
    <w:name w:val="annotation text"/>
    <w:basedOn w:val="Normal"/>
    <w:link w:val="CommentTextChar"/>
    <w:locked/>
    <w:rsid w:val="00C376E6"/>
    <w:rPr>
      <w:szCs w:val="20"/>
    </w:rPr>
  </w:style>
  <w:style w:type="character" w:customStyle="1" w:styleId="CommentTextChar">
    <w:name w:val="Comment Text Char"/>
    <w:link w:val="CommentText"/>
    <w:rsid w:val="00C376E6"/>
    <w:rPr>
      <w:rFonts w:eastAsia="Calibri"/>
      <w:lang w:val="en-GB"/>
    </w:rPr>
  </w:style>
  <w:style w:type="paragraph" w:styleId="CommentSubject">
    <w:name w:val="annotation subject"/>
    <w:basedOn w:val="CommentText"/>
    <w:next w:val="CommentText"/>
    <w:link w:val="CommentSubjectChar"/>
    <w:locked/>
    <w:rsid w:val="00C376E6"/>
    <w:rPr>
      <w:b/>
      <w:bCs/>
    </w:rPr>
  </w:style>
  <w:style w:type="character" w:customStyle="1" w:styleId="CommentSubjectChar">
    <w:name w:val="Comment Subject Char"/>
    <w:link w:val="CommentSubject"/>
    <w:rsid w:val="00C376E6"/>
    <w:rPr>
      <w:rFonts w:eastAsia="Calibri"/>
      <w:b/>
      <w:bCs/>
      <w:lang w:val="en-GB"/>
    </w:rPr>
  </w:style>
  <w:style w:type="paragraph" w:customStyle="1" w:styleId="ECCTabletitle">
    <w:name w:val="ECC Table title"/>
    <w:basedOn w:val="Normal"/>
    <w:autoRedefine/>
    <w:rsid w:val="00E41B27"/>
    <w:pPr>
      <w:numPr>
        <w:numId w:val="7"/>
      </w:numPr>
      <w:spacing w:before="360" w:after="240"/>
      <w:ind w:left="644"/>
      <w:jc w:val="center"/>
    </w:pPr>
    <w:rPr>
      <w:rFonts w:eastAsia="Times New Roman"/>
      <w:b/>
      <w:color w:val="D2232A"/>
      <w:szCs w:val="24"/>
    </w:rPr>
  </w:style>
  <w:style w:type="character" w:customStyle="1" w:styleId="ECCParagraphChar">
    <w:name w:val="ECC Paragraph Char"/>
    <w:uiPriority w:val="99"/>
    <w:locked/>
    <w:rsid w:val="00E41B27"/>
    <w:rPr>
      <w:rFonts w:ascii="Arial" w:hAnsi="Arial"/>
      <w:szCs w:val="24"/>
      <w:lang w:val="en-GB" w:eastAsia="en-US"/>
    </w:rPr>
  </w:style>
  <w:style w:type="paragraph" w:customStyle="1" w:styleId="ECCParBulleted">
    <w:name w:val="ECC Par Bulleted"/>
    <w:rsid w:val="00C82389"/>
    <w:pPr>
      <w:numPr>
        <w:numId w:val="8"/>
      </w:numPr>
      <w:jc w:val="both"/>
    </w:pPr>
    <w:rPr>
      <w:szCs w:val="24"/>
      <w:lang w:val="da-DK"/>
    </w:rPr>
  </w:style>
  <w:style w:type="paragraph" w:styleId="Footer">
    <w:name w:val="footer"/>
    <w:basedOn w:val="Normal"/>
    <w:link w:val="FooterChar"/>
    <w:locked/>
    <w:rsid w:val="00C82389"/>
    <w:pPr>
      <w:tabs>
        <w:tab w:val="center" w:pos="4320"/>
        <w:tab w:val="right" w:pos="8640"/>
      </w:tabs>
      <w:spacing w:before="0" w:after="0"/>
      <w:jc w:val="left"/>
    </w:pPr>
    <w:rPr>
      <w:rFonts w:eastAsia="Times New Roman"/>
      <w:szCs w:val="24"/>
      <w:lang w:val="en-US"/>
    </w:rPr>
  </w:style>
  <w:style w:type="character" w:customStyle="1" w:styleId="FooterChar">
    <w:name w:val="Footer Char"/>
    <w:link w:val="Footer"/>
    <w:rsid w:val="00C82389"/>
    <w:rPr>
      <w:szCs w:val="24"/>
      <w:lang w:val="en-US"/>
    </w:rPr>
  </w:style>
  <w:style w:type="paragraph" w:customStyle="1" w:styleId="ECCAnnex-heading1">
    <w:name w:val="ECC Annex - heading1"/>
    <w:basedOn w:val="Heading1"/>
    <w:uiPriority w:val="99"/>
    <w:rsid w:val="00C82389"/>
    <w:pPr>
      <w:numPr>
        <w:numId w:val="0"/>
      </w:numPr>
      <w:spacing w:after="240"/>
      <w:jc w:val="left"/>
    </w:pPr>
    <w:rPr>
      <w:rFonts w:cs="Times New Roman"/>
      <w:b w:val="0"/>
    </w:rPr>
  </w:style>
  <w:style w:type="paragraph" w:customStyle="1" w:styleId="ECCFiguretitle">
    <w:name w:val="ECC Figure title"/>
    <w:rsid w:val="00C82389"/>
    <w:pPr>
      <w:numPr>
        <w:numId w:val="9"/>
      </w:numPr>
      <w:spacing w:before="240" w:after="480"/>
      <w:jc w:val="center"/>
    </w:pPr>
    <w:rPr>
      <w:b/>
      <w:color w:val="D2232A"/>
      <w:szCs w:val="24"/>
      <w:lang w:val="da-DK"/>
    </w:rPr>
  </w:style>
  <w:style w:type="paragraph" w:customStyle="1" w:styleId="Text">
    <w:name w:val="Text"/>
    <w:basedOn w:val="Normal"/>
    <w:rsid w:val="00C82389"/>
    <w:pPr>
      <w:widowControl w:val="0"/>
      <w:autoSpaceDE w:val="0"/>
      <w:autoSpaceDN w:val="0"/>
      <w:spacing w:before="0" w:after="0" w:line="252" w:lineRule="auto"/>
      <w:ind w:firstLine="202"/>
    </w:pPr>
    <w:rPr>
      <w:rFonts w:eastAsia="Times New Roman"/>
      <w:szCs w:val="20"/>
      <w:lang w:val="en-US"/>
    </w:rPr>
  </w:style>
  <w:style w:type="paragraph" w:customStyle="1" w:styleId="reference">
    <w:name w:val="reference"/>
    <w:basedOn w:val="Normal"/>
    <w:rsid w:val="00C82389"/>
    <w:pPr>
      <w:tabs>
        <w:tab w:val="num" w:pos="681"/>
      </w:tabs>
      <w:spacing w:before="0" w:after="0"/>
      <w:ind w:left="681" w:hanging="397"/>
      <w:jc w:val="left"/>
    </w:pPr>
    <w:rPr>
      <w:rFonts w:eastAsia="Times New Roman"/>
      <w:szCs w:val="24"/>
      <w:lang w:val="en-US" w:eastAsia="ja-JP"/>
    </w:rPr>
  </w:style>
  <w:style w:type="paragraph" w:customStyle="1" w:styleId="Lastupdated">
    <w:name w:val="Last updated"/>
    <w:basedOn w:val="Normal"/>
    <w:rsid w:val="00C82389"/>
    <w:pPr>
      <w:spacing w:before="120" w:after="120"/>
      <w:ind w:left="3402"/>
      <w:jc w:val="left"/>
    </w:pPr>
    <w:rPr>
      <w:rFonts w:eastAsia="Times New Roman"/>
      <w:bCs/>
      <w:sz w:val="18"/>
      <w:szCs w:val="24"/>
      <w:lang w:val="en-US"/>
    </w:rPr>
  </w:style>
  <w:style w:type="paragraph" w:customStyle="1" w:styleId="Reporttitledescription">
    <w:name w:val="Report title/description"/>
    <w:basedOn w:val="Normal"/>
    <w:rsid w:val="00C82389"/>
    <w:pPr>
      <w:spacing w:before="600" w:after="0" w:line="288" w:lineRule="auto"/>
      <w:ind w:left="3402"/>
      <w:jc w:val="left"/>
    </w:pPr>
    <w:rPr>
      <w:rFonts w:eastAsia="Times New Roman"/>
      <w:sz w:val="24"/>
      <w:szCs w:val="24"/>
      <w:lang w:val="en-US"/>
    </w:rPr>
  </w:style>
  <w:style w:type="character" w:customStyle="1" w:styleId="Heading1Char">
    <w:name w:val="Heading 1 Char"/>
    <w:aliases w:val="ECC Heading 1 Char,H1 Char,h1 Char,h11 Char,h12 Char,h13 Char,h14 Char,h15 Char,h16 Char,h17 Char,h111 Char,h121 Char,h131 Char,h141 Char,h151 Char,h161 Char,h18 Char,h112 Char,h122 Char,h132 Char,h142 Char,h152 Char,h162 Char,h19 Char"/>
    <w:link w:val="Heading1"/>
    <w:rsid w:val="00C82389"/>
    <w:rPr>
      <w:rFonts w:cs="Arial"/>
      <w:b/>
      <w:bCs/>
      <w:caps/>
      <w:color w:val="D2232A"/>
      <w:kern w:val="32"/>
      <w:szCs w:val="32"/>
      <w:lang w:val="da-DK"/>
    </w:rPr>
  </w:style>
  <w:style w:type="paragraph" w:styleId="BodyText">
    <w:name w:val="Body Text"/>
    <w:basedOn w:val="Normal"/>
    <w:link w:val="BodyTextChar1"/>
    <w:locked/>
    <w:rsid w:val="00C82389"/>
    <w:pPr>
      <w:spacing w:before="0" w:after="120"/>
      <w:jc w:val="left"/>
    </w:pPr>
    <w:rPr>
      <w:rFonts w:ascii="Times New Roman" w:eastAsia="Times New Roman" w:hAnsi="Times New Roman"/>
      <w:szCs w:val="20"/>
    </w:rPr>
  </w:style>
  <w:style w:type="character" w:customStyle="1" w:styleId="BodyTextChar">
    <w:name w:val="Body Text Char"/>
    <w:rsid w:val="00C82389"/>
    <w:rPr>
      <w:rFonts w:eastAsia="Calibri"/>
      <w:szCs w:val="22"/>
      <w:lang w:val="en-GB"/>
    </w:rPr>
  </w:style>
  <w:style w:type="character" w:customStyle="1" w:styleId="BodyTextChar1">
    <w:name w:val="Body Text Char1"/>
    <w:link w:val="BodyText"/>
    <w:locked/>
    <w:rsid w:val="00C82389"/>
    <w:rPr>
      <w:rFonts w:ascii="Times New Roman" w:hAnsi="Times New Roman"/>
      <w:lang w:val="en-GB"/>
    </w:rPr>
  </w:style>
  <w:style w:type="character" w:customStyle="1" w:styleId="CommentTextChar1">
    <w:name w:val="Comment Text Char1"/>
    <w:locked/>
    <w:rsid w:val="00C82389"/>
    <w:rPr>
      <w:rFonts w:ascii="Calibri" w:hAnsi="Calibri" w:cs="Calibri"/>
      <w:lang w:val="sv-SE" w:eastAsia="en-US"/>
    </w:rPr>
  </w:style>
  <w:style w:type="character" w:customStyle="1" w:styleId="CaptionChar">
    <w:name w:val="Caption Char"/>
    <w:aliases w:val="ECC Caption Char,Ca Char,cap Char1,cap Char Char,Caption Char1 Char Char,cap Char Char1 Char,Caption Char Char1 Char Char,cap Char2 Char Char,RptCaption Char,cap1 Char,cap2 Char,cap11 Char,Figure Lable Char"/>
    <w:link w:val="Caption"/>
    <w:locked/>
    <w:rsid w:val="00C82389"/>
    <w:rPr>
      <w:b/>
      <w:bCs/>
      <w:color w:val="D2232A"/>
    </w:rPr>
  </w:style>
  <w:style w:type="paragraph" w:customStyle="1" w:styleId="ListParagraph1">
    <w:name w:val="List Paragraph1"/>
    <w:basedOn w:val="Normal"/>
    <w:rsid w:val="00C82389"/>
    <w:pPr>
      <w:spacing w:before="0" w:after="200" w:line="276" w:lineRule="auto"/>
      <w:ind w:left="720"/>
      <w:jc w:val="left"/>
    </w:pPr>
    <w:rPr>
      <w:rFonts w:ascii="Calibri" w:eastAsia="Times New Roman" w:hAnsi="Calibri" w:cs="Calibri"/>
      <w:sz w:val="22"/>
      <w:lang w:val="sv-S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C82389"/>
    <w:rPr>
      <w:rFonts w:cs="Arial"/>
      <w:b/>
      <w:bCs/>
      <w:iCs/>
      <w:caps/>
      <w:szCs w:val="28"/>
      <w:lang w:val="da-DK"/>
    </w:rPr>
  </w:style>
  <w:style w:type="paragraph" w:customStyle="1" w:styleId="TableText">
    <w:name w:val="TableText"/>
    <w:basedOn w:val="BodyTextIndent"/>
    <w:rsid w:val="00C82389"/>
    <w:pPr>
      <w:keepNext/>
      <w:keepLines/>
      <w:overflowPunct w:val="0"/>
      <w:autoSpaceDE w:val="0"/>
      <w:autoSpaceDN w:val="0"/>
      <w:adjustRightInd w:val="0"/>
      <w:spacing w:after="180"/>
      <w:ind w:left="0"/>
      <w:jc w:val="center"/>
      <w:textAlignment w:val="baseline"/>
    </w:pPr>
    <w:rPr>
      <w:rFonts w:ascii="Times New Roman" w:hAnsi="Times New Roman"/>
      <w:kern w:val="2"/>
      <w:szCs w:val="20"/>
      <w:lang w:val="en-GB"/>
    </w:rPr>
  </w:style>
  <w:style w:type="paragraph" w:styleId="BodyTextIndent">
    <w:name w:val="Body Text Indent"/>
    <w:basedOn w:val="Normal"/>
    <w:link w:val="BodyTextIndentChar"/>
    <w:locked/>
    <w:rsid w:val="00C82389"/>
    <w:pPr>
      <w:spacing w:before="0" w:after="120"/>
      <w:ind w:left="283"/>
      <w:jc w:val="left"/>
    </w:pPr>
    <w:rPr>
      <w:rFonts w:eastAsia="Times New Roman"/>
      <w:szCs w:val="24"/>
      <w:lang w:val="en-US"/>
    </w:rPr>
  </w:style>
  <w:style w:type="character" w:customStyle="1" w:styleId="BodyTextIndentChar">
    <w:name w:val="Body Text Indent Char"/>
    <w:link w:val="BodyTextIndent"/>
    <w:rsid w:val="00C82389"/>
    <w:rPr>
      <w:szCs w:val="24"/>
      <w:lang w:val="en-US"/>
    </w:rPr>
  </w:style>
  <w:style w:type="character" w:styleId="PageNumber">
    <w:name w:val="page number"/>
    <w:locked/>
    <w:rsid w:val="00C82389"/>
  </w:style>
  <w:style w:type="paragraph" w:customStyle="1" w:styleId="MMTopic1">
    <w:name w:val="MM Topic 1"/>
    <w:basedOn w:val="Heading1"/>
    <w:uiPriority w:val="99"/>
    <w:rsid w:val="00C82389"/>
    <w:pPr>
      <w:keepLines/>
      <w:numPr>
        <w:numId w:val="10"/>
      </w:numPr>
      <w:spacing w:before="480" w:after="0" w:line="276" w:lineRule="auto"/>
      <w:ind w:left="0" w:firstLine="0"/>
      <w:jc w:val="left"/>
    </w:pPr>
    <w:rPr>
      <w:rFonts w:ascii="Cambria" w:hAnsi="Cambria" w:cs="Cambria"/>
      <w:caps w:val="0"/>
      <w:color w:val="365F91"/>
      <w:kern w:val="0"/>
      <w:sz w:val="28"/>
      <w:szCs w:val="28"/>
      <w:lang w:val="sv-SE"/>
    </w:rPr>
  </w:style>
  <w:style w:type="paragraph" w:customStyle="1" w:styleId="MMTopic2">
    <w:name w:val="MM Topic 2"/>
    <w:basedOn w:val="Heading2"/>
    <w:uiPriority w:val="99"/>
    <w:rsid w:val="00C82389"/>
    <w:pPr>
      <w:keepLines/>
      <w:numPr>
        <w:numId w:val="10"/>
      </w:numPr>
      <w:spacing w:before="200" w:after="0" w:line="276" w:lineRule="auto"/>
      <w:ind w:left="0" w:firstLine="0"/>
      <w:jc w:val="left"/>
    </w:pPr>
    <w:rPr>
      <w:rFonts w:ascii="Cambria" w:hAnsi="Cambria" w:cs="Cambria"/>
      <w:iCs w:val="0"/>
      <w:caps w:val="0"/>
      <w:color w:val="4F81BD"/>
      <w:sz w:val="26"/>
      <w:szCs w:val="26"/>
      <w:lang w:val="sv-SE"/>
    </w:rPr>
  </w:style>
  <w:style w:type="paragraph" w:customStyle="1" w:styleId="MMTopic3">
    <w:name w:val="MM Topic 3"/>
    <w:basedOn w:val="Heading3"/>
    <w:uiPriority w:val="99"/>
    <w:rsid w:val="00C82389"/>
    <w:pPr>
      <w:keepLines/>
      <w:numPr>
        <w:numId w:val="10"/>
      </w:numPr>
      <w:spacing w:before="200" w:after="0" w:line="276" w:lineRule="auto"/>
      <w:ind w:left="0" w:firstLine="0"/>
      <w:jc w:val="left"/>
    </w:pPr>
    <w:rPr>
      <w:rFonts w:ascii="Cambria" w:hAnsi="Cambria" w:cs="Cambria"/>
      <w:i/>
      <w:iCs/>
      <w:color w:val="4F81BD"/>
      <w:sz w:val="22"/>
      <w:szCs w:val="22"/>
      <w:lang w:val="sv-SE"/>
    </w:rPr>
  </w:style>
  <w:style w:type="paragraph" w:customStyle="1" w:styleId="MMTopic4">
    <w:name w:val="MM Topic 4"/>
    <w:basedOn w:val="Heading4"/>
    <w:uiPriority w:val="99"/>
    <w:rsid w:val="00C82389"/>
    <w:pPr>
      <w:keepNext/>
      <w:keepLines/>
      <w:numPr>
        <w:numId w:val="10"/>
      </w:numPr>
      <w:spacing w:before="200" w:after="0" w:line="276" w:lineRule="auto"/>
      <w:ind w:left="0" w:firstLine="0"/>
      <w:jc w:val="left"/>
    </w:pPr>
    <w:rPr>
      <w:rFonts w:ascii="Cambria" w:hAnsi="Cambria" w:cs="Cambria"/>
      <w:b/>
      <w:iCs/>
      <w:color w:val="4F81BD"/>
      <w:sz w:val="22"/>
      <w:szCs w:val="22"/>
      <w:lang w:val="sv-SE"/>
    </w:rPr>
  </w:style>
  <w:style w:type="paragraph" w:customStyle="1" w:styleId="MMTopic5">
    <w:name w:val="MM Topic 5"/>
    <w:basedOn w:val="Heading5"/>
    <w:uiPriority w:val="99"/>
    <w:rsid w:val="00C82389"/>
    <w:pPr>
      <w:keepNext/>
      <w:keepLines/>
      <w:numPr>
        <w:numId w:val="10"/>
      </w:numPr>
      <w:spacing w:before="200" w:after="0" w:line="276" w:lineRule="auto"/>
      <w:ind w:left="0" w:firstLine="0"/>
      <w:jc w:val="left"/>
    </w:pPr>
    <w:rPr>
      <w:rFonts w:ascii="Cambria" w:eastAsia="Times New Roman" w:hAnsi="Cambria" w:cs="Cambria"/>
      <w:b w:val="0"/>
      <w:bCs w:val="0"/>
      <w:i w:val="0"/>
      <w:iCs w:val="0"/>
      <w:color w:val="243F60"/>
      <w:sz w:val="22"/>
      <w:szCs w:val="22"/>
      <w:lang w:val="sv-SE"/>
    </w:rPr>
  </w:style>
  <w:style w:type="paragraph" w:customStyle="1" w:styleId="MMTopic6">
    <w:name w:val="MM Topic 6"/>
    <w:basedOn w:val="Heading6"/>
    <w:uiPriority w:val="99"/>
    <w:rsid w:val="00C82389"/>
    <w:pPr>
      <w:keepNext/>
      <w:keepLines/>
      <w:numPr>
        <w:numId w:val="10"/>
      </w:numPr>
      <w:spacing w:before="200" w:after="0" w:line="276" w:lineRule="auto"/>
      <w:ind w:left="0" w:firstLine="0"/>
      <w:jc w:val="left"/>
    </w:pPr>
    <w:rPr>
      <w:rFonts w:ascii="Cambria" w:eastAsia="Times New Roman" w:hAnsi="Cambria" w:cs="Cambria"/>
      <w:b w:val="0"/>
      <w:bCs w:val="0"/>
      <w:i/>
      <w:iCs/>
      <w:color w:val="243F60"/>
      <w:lang w:val="sv-SE"/>
    </w:rPr>
  </w:style>
  <w:style w:type="paragraph" w:customStyle="1" w:styleId="MMTopic7">
    <w:name w:val="MM Topic 7"/>
    <w:basedOn w:val="Heading7"/>
    <w:uiPriority w:val="99"/>
    <w:rsid w:val="00C82389"/>
    <w:pPr>
      <w:keepNext/>
      <w:keepLines/>
      <w:numPr>
        <w:numId w:val="10"/>
      </w:numPr>
      <w:spacing w:before="200" w:after="0" w:line="276" w:lineRule="auto"/>
      <w:ind w:left="0" w:firstLine="0"/>
      <w:jc w:val="left"/>
    </w:pPr>
    <w:rPr>
      <w:rFonts w:ascii="Cambria" w:eastAsia="Times New Roman" w:hAnsi="Cambria" w:cs="Cambria"/>
      <w:i/>
      <w:iCs/>
      <w:color w:val="404040"/>
      <w:sz w:val="22"/>
      <w:lang w:val="sv-SE"/>
    </w:rPr>
  </w:style>
  <w:style w:type="paragraph" w:customStyle="1" w:styleId="Liststycke1">
    <w:name w:val="Liststycke1"/>
    <w:basedOn w:val="Normal"/>
    <w:rsid w:val="00C82389"/>
    <w:pPr>
      <w:spacing w:before="0" w:after="200" w:line="276" w:lineRule="auto"/>
      <w:ind w:left="720"/>
      <w:jc w:val="left"/>
    </w:pPr>
    <w:rPr>
      <w:rFonts w:ascii="Calibri" w:eastAsia="Times New Roman" w:hAnsi="Calibri" w:cs="Calibri"/>
      <w:sz w:val="22"/>
      <w:lang w:val="sv-SE"/>
    </w:rPr>
  </w:style>
  <w:style w:type="paragraph" w:styleId="TOC5">
    <w:name w:val="toc 5"/>
    <w:basedOn w:val="Normal"/>
    <w:next w:val="Normal"/>
    <w:autoRedefine/>
    <w:locked/>
    <w:rsid w:val="00C82389"/>
    <w:pPr>
      <w:spacing w:before="0" w:after="100" w:line="276" w:lineRule="auto"/>
      <w:ind w:left="880"/>
      <w:jc w:val="left"/>
    </w:pPr>
    <w:rPr>
      <w:rFonts w:ascii="Calibri" w:eastAsia="Times New Roman" w:hAnsi="Calibri"/>
      <w:sz w:val="22"/>
      <w:lang w:val="da-DK" w:eastAsia="da-DK"/>
    </w:rPr>
  </w:style>
  <w:style w:type="paragraph" w:styleId="TOC6">
    <w:name w:val="toc 6"/>
    <w:basedOn w:val="Normal"/>
    <w:next w:val="Normal"/>
    <w:autoRedefine/>
    <w:locked/>
    <w:rsid w:val="00C82389"/>
    <w:pPr>
      <w:spacing w:before="0" w:after="100" w:line="276" w:lineRule="auto"/>
      <w:ind w:left="1100"/>
      <w:jc w:val="left"/>
    </w:pPr>
    <w:rPr>
      <w:rFonts w:ascii="Calibri" w:eastAsia="Times New Roman" w:hAnsi="Calibri"/>
      <w:sz w:val="22"/>
      <w:lang w:val="da-DK" w:eastAsia="da-DK"/>
    </w:rPr>
  </w:style>
  <w:style w:type="paragraph" w:styleId="TOC7">
    <w:name w:val="toc 7"/>
    <w:basedOn w:val="Normal"/>
    <w:next w:val="Normal"/>
    <w:autoRedefine/>
    <w:locked/>
    <w:rsid w:val="00C82389"/>
    <w:pPr>
      <w:spacing w:before="0" w:after="100" w:line="276" w:lineRule="auto"/>
      <w:ind w:left="1320"/>
      <w:jc w:val="left"/>
    </w:pPr>
    <w:rPr>
      <w:rFonts w:ascii="Calibri" w:eastAsia="Times New Roman" w:hAnsi="Calibri"/>
      <w:sz w:val="22"/>
      <w:lang w:val="da-DK" w:eastAsia="da-DK"/>
    </w:rPr>
  </w:style>
  <w:style w:type="paragraph" w:styleId="TOC8">
    <w:name w:val="toc 8"/>
    <w:basedOn w:val="Normal"/>
    <w:next w:val="Normal"/>
    <w:autoRedefine/>
    <w:locked/>
    <w:rsid w:val="00C82389"/>
    <w:pPr>
      <w:spacing w:before="0" w:after="100" w:line="276" w:lineRule="auto"/>
      <w:ind w:left="1540"/>
      <w:jc w:val="left"/>
    </w:pPr>
    <w:rPr>
      <w:rFonts w:ascii="Calibri" w:eastAsia="Times New Roman" w:hAnsi="Calibri"/>
      <w:sz w:val="22"/>
      <w:lang w:val="da-DK" w:eastAsia="da-DK"/>
    </w:rPr>
  </w:style>
  <w:style w:type="paragraph" w:styleId="TOC9">
    <w:name w:val="toc 9"/>
    <w:basedOn w:val="Normal"/>
    <w:next w:val="Normal"/>
    <w:autoRedefine/>
    <w:locked/>
    <w:rsid w:val="00C82389"/>
    <w:pPr>
      <w:spacing w:before="0" w:after="100" w:line="276" w:lineRule="auto"/>
      <w:ind w:left="1760"/>
      <w:jc w:val="left"/>
    </w:pPr>
    <w:rPr>
      <w:rFonts w:ascii="Calibri" w:eastAsia="Times New Roman" w:hAnsi="Calibri"/>
      <w:sz w:val="22"/>
      <w:lang w:val="da-DK" w:eastAsia="da-DK"/>
    </w:rPr>
  </w:style>
  <w:style w:type="paragraph" w:styleId="ListContinue3">
    <w:name w:val="List Continue 3"/>
    <w:basedOn w:val="Normal"/>
    <w:locked/>
    <w:rsid w:val="00C82389"/>
    <w:pPr>
      <w:spacing w:before="0" w:after="120"/>
      <w:ind w:left="849"/>
      <w:jc w:val="left"/>
    </w:pPr>
    <w:rPr>
      <w:rFonts w:ascii="Times New Roman" w:eastAsia="Times New Roman" w:hAnsi="Times New Roman"/>
      <w:szCs w:val="20"/>
      <w:lang w:val="en-US"/>
    </w:rPr>
  </w:style>
  <w:style w:type="paragraph" w:styleId="ListContinue">
    <w:name w:val="List Continue"/>
    <w:basedOn w:val="Normal"/>
    <w:locked/>
    <w:rsid w:val="00C82389"/>
    <w:pPr>
      <w:spacing w:before="0" w:after="120"/>
      <w:ind w:left="283"/>
      <w:contextualSpacing/>
      <w:jc w:val="left"/>
    </w:pPr>
    <w:rPr>
      <w:rFonts w:eastAsia="Times New Roman"/>
      <w:szCs w:val="24"/>
      <w:lang w:val="en-US"/>
    </w:rPr>
  </w:style>
  <w:style w:type="character" w:customStyle="1" w:styleId="Heading3Char">
    <w:name w:val="Heading 3 Char"/>
    <w:aliases w:val="ECC Heading 3 Char,Underrubrik2 Char,H3 Char,Memo Heading 3 Char,h3 Char,no break Char,Heading 3 Char1 Char Char,Heading 3 Char Char Char Char,Heading 3 Char1 Char Char Char Char,Heading 3 Char Char Char Char Char Char,0H Char,3 Char"/>
    <w:link w:val="Heading3"/>
    <w:rsid w:val="00C82389"/>
    <w:rPr>
      <w:rFonts w:cs="Arial"/>
      <w:b/>
      <w:bCs/>
      <w:szCs w:val="26"/>
      <w:lang w:val="da-DK"/>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link w:val="Heading4"/>
    <w:rsid w:val="00C82389"/>
    <w:rPr>
      <w:rFonts w:cs="Arial"/>
      <w:bCs/>
      <w:i/>
      <w:color w:val="D2232A"/>
      <w:szCs w:val="26"/>
      <w:lang w:val="da-DK"/>
    </w:rPr>
  </w:style>
  <w:style w:type="character" w:customStyle="1" w:styleId="st">
    <w:name w:val="st"/>
    <w:rsid w:val="00C82389"/>
  </w:style>
  <w:style w:type="paragraph" w:styleId="ListBullet">
    <w:name w:val="List Bullet"/>
    <w:basedOn w:val="Normal"/>
    <w:locked/>
    <w:rsid w:val="0035414A"/>
    <w:pPr>
      <w:numPr>
        <w:numId w:val="11"/>
      </w:numPr>
      <w:suppressAutoHyphens/>
      <w:spacing w:before="0" w:after="240"/>
    </w:pPr>
    <w:rPr>
      <w:rFonts w:ascii="Times New Roman" w:eastAsia="Times New Roman" w:hAnsi="Times New Roman"/>
      <w:sz w:val="24"/>
      <w:szCs w:val="24"/>
      <w:lang w:eastAsia="ar-SA"/>
    </w:rPr>
  </w:style>
  <w:style w:type="paragraph" w:customStyle="1" w:styleId="NumberedList">
    <w:name w:val="Numbered List"/>
    <w:rsid w:val="0035414A"/>
    <w:pPr>
      <w:spacing w:after="240"/>
      <w:jc w:val="both"/>
    </w:pPr>
    <w:rPr>
      <w:szCs w:val="24"/>
      <w:lang w:val="da-DK"/>
    </w:rPr>
  </w:style>
  <w:style w:type="paragraph" w:customStyle="1" w:styleId="Default">
    <w:name w:val="Default"/>
    <w:rsid w:val="0033001F"/>
    <w:pPr>
      <w:autoSpaceDE w:val="0"/>
      <w:autoSpaceDN w:val="0"/>
      <w:adjustRightInd w:val="0"/>
    </w:pPr>
    <w:rPr>
      <w:rFonts w:ascii="Calibri" w:hAnsi="Calibri" w:cs="Calibri"/>
      <w:color w:val="000000"/>
      <w:sz w:val="24"/>
      <w:szCs w:val="24"/>
    </w:rPr>
  </w:style>
  <w:style w:type="paragraph" w:styleId="Revision">
    <w:name w:val="Revision"/>
    <w:hidden/>
    <w:rsid w:val="00050AC9"/>
    <w:rPr>
      <w:rFonts w:eastAsia="Calibri"/>
      <w:szCs w:val="22"/>
      <w:lang w:val="en-GB"/>
    </w:rPr>
  </w:style>
  <w:style w:type="paragraph" w:customStyle="1" w:styleId="TAH">
    <w:name w:val="TAH"/>
    <w:basedOn w:val="TAC"/>
    <w:link w:val="TAHCar"/>
    <w:uiPriority w:val="99"/>
    <w:qFormat/>
    <w:rsid w:val="00B52158"/>
    <w:rPr>
      <w:b/>
    </w:rPr>
  </w:style>
  <w:style w:type="paragraph" w:customStyle="1" w:styleId="TAC">
    <w:name w:val="TAC"/>
    <w:basedOn w:val="Normal"/>
    <w:link w:val="TACChar"/>
    <w:uiPriority w:val="99"/>
    <w:qFormat/>
    <w:rsid w:val="00B52158"/>
    <w:pPr>
      <w:keepNext/>
      <w:keepLines/>
      <w:spacing w:before="0" w:after="0"/>
      <w:jc w:val="center"/>
    </w:pPr>
    <w:rPr>
      <w:rFonts w:eastAsiaTheme="minorEastAsia"/>
      <w:sz w:val="18"/>
      <w:szCs w:val="20"/>
    </w:rPr>
  </w:style>
  <w:style w:type="character" w:customStyle="1" w:styleId="TACChar">
    <w:name w:val="TAC Char"/>
    <w:link w:val="TAC"/>
    <w:uiPriority w:val="99"/>
    <w:qFormat/>
    <w:rsid w:val="00B52158"/>
    <w:rPr>
      <w:rFonts w:eastAsiaTheme="minorEastAsia"/>
      <w:sz w:val="18"/>
      <w:lang w:val="en-GB"/>
    </w:rPr>
  </w:style>
  <w:style w:type="character" w:customStyle="1" w:styleId="TAHCar">
    <w:name w:val="TAH Car"/>
    <w:link w:val="TAH"/>
    <w:uiPriority w:val="99"/>
    <w:qFormat/>
    <w:rsid w:val="00B52158"/>
    <w:rPr>
      <w:rFonts w:eastAsiaTheme="minorEastAsia"/>
      <w:b/>
      <w:sz w:val="18"/>
      <w:lang w:val="en-GB"/>
    </w:rPr>
  </w:style>
  <w:style w:type="paragraph" w:customStyle="1" w:styleId="TH">
    <w:name w:val="TH"/>
    <w:basedOn w:val="Normal"/>
    <w:link w:val="THChar"/>
    <w:qFormat/>
    <w:rsid w:val="00B52158"/>
    <w:pPr>
      <w:keepNext/>
      <w:keepLines/>
      <w:spacing w:before="60" w:after="180"/>
      <w:jc w:val="center"/>
    </w:pPr>
    <w:rPr>
      <w:rFonts w:eastAsiaTheme="minorEastAsia"/>
      <w:b/>
      <w:szCs w:val="20"/>
    </w:rPr>
  </w:style>
  <w:style w:type="character" w:customStyle="1" w:styleId="THChar">
    <w:name w:val="TH Char"/>
    <w:link w:val="TH"/>
    <w:qFormat/>
    <w:rsid w:val="00B52158"/>
    <w:rPr>
      <w:rFonts w:eastAsiaTheme="minorEastAsia"/>
      <w:b/>
      <w:lang w:val="en-GB"/>
    </w:rPr>
  </w:style>
  <w:style w:type="paragraph" w:customStyle="1" w:styleId="TAN">
    <w:name w:val="TAN"/>
    <w:basedOn w:val="Normal"/>
    <w:link w:val="TANChar"/>
    <w:uiPriority w:val="99"/>
    <w:qFormat/>
    <w:rsid w:val="00B52158"/>
    <w:pPr>
      <w:keepNext/>
      <w:keepLines/>
      <w:spacing w:before="0" w:after="0"/>
      <w:ind w:left="851" w:hanging="851"/>
      <w:jc w:val="left"/>
    </w:pPr>
    <w:rPr>
      <w:rFonts w:eastAsiaTheme="minorEastAsia"/>
      <w:sz w:val="18"/>
      <w:szCs w:val="20"/>
    </w:rPr>
  </w:style>
  <w:style w:type="character" w:customStyle="1" w:styleId="TANChar">
    <w:name w:val="TAN Char"/>
    <w:link w:val="TAN"/>
    <w:uiPriority w:val="99"/>
    <w:qFormat/>
    <w:rsid w:val="00B52158"/>
    <w:rPr>
      <w:rFonts w:eastAsiaTheme="minorEastAsia"/>
      <w:sz w:val="18"/>
      <w:lang w:val="en-GB"/>
    </w:rPr>
  </w:style>
  <w:style w:type="paragraph" w:customStyle="1" w:styleId="B1">
    <w:name w:val="B1+"/>
    <w:basedOn w:val="Normal"/>
    <w:rsid w:val="00B52158"/>
    <w:pPr>
      <w:numPr>
        <w:numId w:val="12"/>
      </w:numPr>
      <w:overflowPunct w:val="0"/>
      <w:autoSpaceDE w:val="0"/>
      <w:autoSpaceDN w:val="0"/>
      <w:adjustRightInd w:val="0"/>
      <w:spacing w:before="0" w:after="180"/>
      <w:jc w:val="left"/>
      <w:textAlignment w:val="baseline"/>
    </w:pPr>
    <w:rPr>
      <w:rFonts w:ascii="Times New Roman" w:eastAsia="Malgun Gothic" w:hAnsi="Times New Roman"/>
      <w:szCs w:val="20"/>
    </w:rPr>
  </w:style>
  <w:style w:type="character" w:styleId="FollowedHyperlink">
    <w:name w:val="FollowedHyperlink"/>
    <w:basedOn w:val="DefaultParagraphFont"/>
    <w:locked/>
    <w:rsid w:val="00A26B45"/>
    <w:rPr>
      <w:color w:val="954F72" w:themeColor="followedHyperlink"/>
      <w:u w:val="single"/>
    </w:rPr>
  </w:style>
  <w:style w:type="character" w:styleId="BookTitle">
    <w:name w:val="Book Title"/>
    <w:basedOn w:val="DefaultParagraphFont"/>
    <w:qFormat/>
    <w:locked/>
    <w:rsid w:val="00455407"/>
    <w:rPr>
      <w:b/>
      <w:bCs/>
      <w:i/>
      <w:iCs/>
      <w:spacing w:val="5"/>
    </w:rPr>
  </w:style>
  <w:style w:type="paragraph" w:customStyle="1" w:styleId="coverpageReporttitledescription">
    <w:name w:val="cover page 'Report title/description'"/>
    <w:rsid w:val="006C1741"/>
    <w:pPr>
      <w:keepLines/>
      <w:spacing w:before="1800" w:after="60" w:line="288" w:lineRule="auto"/>
      <w:ind w:left="3402"/>
      <w:contextualSpacing/>
      <w:jc w:val="both"/>
      <w:textboxTightWrap w:val="firstLineOnly"/>
    </w:pPr>
    <w:rPr>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7605">
      <w:bodyDiv w:val="1"/>
      <w:marLeft w:val="0"/>
      <w:marRight w:val="0"/>
      <w:marTop w:val="0"/>
      <w:marBottom w:val="0"/>
      <w:divBdr>
        <w:top w:val="none" w:sz="0" w:space="0" w:color="auto"/>
        <w:left w:val="none" w:sz="0" w:space="0" w:color="auto"/>
        <w:bottom w:val="none" w:sz="0" w:space="0" w:color="auto"/>
        <w:right w:val="none" w:sz="0" w:space="0" w:color="auto"/>
      </w:divBdr>
    </w:div>
    <w:div w:id="258878259">
      <w:bodyDiv w:val="1"/>
      <w:marLeft w:val="0"/>
      <w:marRight w:val="0"/>
      <w:marTop w:val="0"/>
      <w:marBottom w:val="0"/>
      <w:divBdr>
        <w:top w:val="none" w:sz="0" w:space="0" w:color="auto"/>
        <w:left w:val="none" w:sz="0" w:space="0" w:color="auto"/>
        <w:bottom w:val="none" w:sz="0" w:space="0" w:color="auto"/>
        <w:right w:val="none" w:sz="0" w:space="0" w:color="auto"/>
      </w:divBdr>
    </w:div>
    <w:div w:id="334698009">
      <w:bodyDiv w:val="1"/>
      <w:marLeft w:val="0"/>
      <w:marRight w:val="0"/>
      <w:marTop w:val="0"/>
      <w:marBottom w:val="0"/>
      <w:divBdr>
        <w:top w:val="none" w:sz="0" w:space="0" w:color="auto"/>
        <w:left w:val="none" w:sz="0" w:space="0" w:color="auto"/>
        <w:bottom w:val="none" w:sz="0" w:space="0" w:color="auto"/>
        <w:right w:val="none" w:sz="0" w:space="0" w:color="auto"/>
      </w:divBdr>
    </w:div>
    <w:div w:id="651759923">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17592606">
      <w:bodyDiv w:val="1"/>
      <w:marLeft w:val="0"/>
      <w:marRight w:val="0"/>
      <w:marTop w:val="0"/>
      <w:marBottom w:val="0"/>
      <w:divBdr>
        <w:top w:val="none" w:sz="0" w:space="0" w:color="auto"/>
        <w:left w:val="none" w:sz="0" w:space="0" w:color="auto"/>
        <w:bottom w:val="none" w:sz="0" w:space="0" w:color="auto"/>
        <w:right w:val="none" w:sz="0" w:space="0" w:color="auto"/>
      </w:divBdr>
    </w:div>
    <w:div w:id="1109548253">
      <w:bodyDiv w:val="1"/>
      <w:marLeft w:val="0"/>
      <w:marRight w:val="0"/>
      <w:marTop w:val="0"/>
      <w:marBottom w:val="0"/>
      <w:divBdr>
        <w:top w:val="none" w:sz="0" w:space="0" w:color="auto"/>
        <w:left w:val="none" w:sz="0" w:space="0" w:color="auto"/>
        <w:bottom w:val="none" w:sz="0" w:space="0" w:color="auto"/>
        <w:right w:val="none" w:sz="0" w:space="0" w:color="auto"/>
      </w:divBdr>
    </w:div>
    <w:div w:id="1225411638">
      <w:bodyDiv w:val="1"/>
      <w:marLeft w:val="0"/>
      <w:marRight w:val="0"/>
      <w:marTop w:val="0"/>
      <w:marBottom w:val="0"/>
      <w:divBdr>
        <w:top w:val="none" w:sz="0" w:space="0" w:color="auto"/>
        <w:left w:val="none" w:sz="0" w:space="0" w:color="auto"/>
        <w:bottom w:val="none" w:sz="0" w:space="0" w:color="auto"/>
        <w:right w:val="none" w:sz="0" w:space="0" w:color="auto"/>
      </w:divBdr>
      <w:divsChild>
        <w:div w:id="1358578244">
          <w:marLeft w:val="792"/>
          <w:marRight w:val="0"/>
          <w:marTop w:val="86"/>
          <w:marBottom w:val="0"/>
          <w:divBdr>
            <w:top w:val="none" w:sz="0" w:space="0" w:color="auto"/>
            <w:left w:val="none" w:sz="0" w:space="0" w:color="auto"/>
            <w:bottom w:val="none" w:sz="0" w:space="0" w:color="auto"/>
            <w:right w:val="none" w:sz="0" w:space="0" w:color="auto"/>
          </w:divBdr>
        </w:div>
      </w:divsChild>
    </w:div>
    <w:div w:id="1239172864">
      <w:bodyDiv w:val="1"/>
      <w:marLeft w:val="0"/>
      <w:marRight w:val="0"/>
      <w:marTop w:val="0"/>
      <w:marBottom w:val="0"/>
      <w:divBdr>
        <w:top w:val="none" w:sz="0" w:space="0" w:color="auto"/>
        <w:left w:val="none" w:sz="0" w:space="0" w:color="auto"/>
        <w:bottom w:val="none" w:sz="0" w:space="0" w:color="auto"/>
        <w:right w:val="none" w:sz="0" w:space="0" w:color="auto"/>
      </w:divBdr>
    </w:div>
    <w:div w:id="1409304199">
      <w:bodyDiv w:val="1"/>
      <w:marLeft w:val="0"/>
      <w:marRight w:val="0"/>
      <w:marTop w:val="0"/>
      <w:marBottom w:val="0"/>
      <w:divBdr>
        <w:top w:val="none" w:sz="0" w:space="0" w:color="auto"/>
        <w:left w:val="none" w:sz="0" w:space="0" w:color="auto"/>
        <w:bottom w:val="none" w:sz="0" w:space="0" w:color="auto"/>
        <w:right w:val="none" w:sz="0" w:space="0" w:color="auto"/>
      </w:divBdr>
    </w:div>
    <w:div w:id="1471436442">
      <w:bodyDiv w:val="1"/>
      <w:marLeft w:val="0"/>
      <w:marRight w:val="0"/>
      <w:marTop w:val="0"/>
      <w:marBottom w:val="0"/>
      <w:divBdr>
        <w:top w:val="none" w:sz="0" w:space="0" w:color="auto"/>
        <w:left w:val="none" w:sz="0" w:space="0" w:color="auto"/>
        <w:bottom w:val="none" w:sz="0" w:space="0" w:color="auto"/>
        <w:right w:val="none" w:sz="0" w:space="0" w:color="auto"/>
      </w:divBdr>
    </w:div>
    <w:div w:id="1539972058">
      <w:bodyDiv w:val="1"/>
      <w:marLeft w:val="0"/>
      <w:marRight w:val="0"/>
      <w:marTop w:val="0"/>
      <w:marBottom w:val="0"/>
      <w:divBdr>
        <w:top w:val="none" w:sz="0" w:space="0" w:color="auto"/>
        <w:left w:val="none" w:sz="0" w:space="0" w:color="auto"/>
        <w:bottom w:val="none" w:sz="0" w:space="0" w:color="auto"/>
        <w:right w:val="none" w:sz="0" w:space="0" w:color="auto"/>
      </w:divBdr>
      <w:divsChild>
        <w:div w:id="269700617">
          <w:marLeft w:val="792"/>
          <w:marRight w:val="0"/>
          <w:marTop w:val="0"/>
          <w:marBottom w:val="0"/>
          <w:divBdr>
            <w:top w:val="none" w:sz="0" w:space="0" w:color="auto"/>
            <w:left w:val="none" w:sz="0" w:space="0" w:color="auto"/>
            <w:bottom w:val="none" w:sz="0" w:space="0" w:color="auto"/>
            <w:right w:val="none" w:sz="0" w:space="0" w:color="auto"/>
          </w:divBdr>
        </w:div>
      </w:divsChild>
    </w:div>
    <w:div w:id="1563911173">
      <w:bodyDiv w:val="1"/>
      <w:marLeft w:val="0"/>
      <w:marRight w:val="0"/>
      <w:marTop w:val="0"/>
      <w:marBottom w:val="0"/>
      <w:divBdr>
        <w:top w:val="none" w:sz="0" w:space="0" w:color="auto"/>
        <w:left w:val="none" w:sz="0" w:space="0" w:color="auto"/>
        <w:bottom w:val="none" w:sz="0" w:space="0" w:color="auto"/>
        <w:right w:val="none" w:sz="0" w:space="0" w:color="auto"/>
      </w:divBdr>
    </w:div>
    <w:div w:id="1581795390">
      <w:bodyDiv w:val="1"/>
      <w:marLeft w:val="0"/>
      <w:marRight w:val="0"/>
      <w:marTop w:val="0"/>
      <w:marBottom w:val="0"/>
      <w:divBdr>
        <w:top w:val="none" w:sz="0" w:space="0" w:color="auto"/>
        <w:left w:val="none" w:sz="0" w:space="0" w:color="auto"/>
        <w:bottom w:val="none" w:sz="0" w:space="0" w:color="auto"/>
        <w:right w:val="none" w:sz="0" w:space="0" w:color="auto"/>
      </w:divBdr>
    </w:div>
    <w:div w:id="1670448567">
      <w:bodyDiv w:val="1"/>
      <w:marLeft w:val="0"/>
      <w:marRight w:val="0"/>
      <w:marTop w:val="0"/>
      <w:marBottom w:val="0"/>
      <w:divBdr>
        <w:top w:val="none" w:sz="0" w:space="0" w:color="auto"/>
        <w:left w:val="none" w:sz="0" w:space="0" w:color="auto"/>
        <w:bottom w:val="none" w:sz="0" w:space="0" w:color="auto"/>
        <w:right w:val="none" w:sz="0" w:space="0" w:color="auto"/>
      </w:divBdr>
      <w:divsChild>
        <w:div w:id="1935281995">
          <w:marLeft w:val="1166"/>
          <w:marRight w:val="0"/>
          <w:marTop w:val="120"/>
          <w:marBottom w:val="0"/>
          <w:divBdr>
            <w:top w:val="none" w:sz="0" w:space="0" w:color="auto"/>
            <w:left w:val="none" w:sz="0" w:space="0" w:color="auto"/>
            <w:bottom w:val="none" w:sz="0" w:space="0" w:color="auto"/>
            <w:right w:val="none" w:sz="0" w:space="0" w:color="auto"/>
          </w:divBdr>
        </w:div>
        <w:div w:id="864945375">
          <w:marLeft w:val="1166"/>
          <w:marRight w:val="0"/>
          <w:marTop w:val="120"/>
          <w:marBottom w:val="0"/>
          <w:divBdr>
            <w:top w:val="none" w:sz="0" w:space="0" w:color="auto"/>
            <w:left w:val="none" w:sz="0" w:space="0" w:color="auto"/>
            <w:bottom w:val="none" w:sz="0" w:space="0" w:color="auto"/>
            <w:right w:val="none" w:sz="0" w:space="0" w:color="auto"/>
          </w:divBdr>
        </w:div>
      </w:divsChild>
    </w:div>
    <w:div w:id="1895970247">
      <w:bodyDiv w:val="1"/>
      <w:marLeft w:val="0"/>
      <w:marRight w:val="0"/>
      <w:marTop w:val="0"/>
      <w:marBottom w:val="0"/>
      <w:divBdr>
        <w:top w:val="none" w:sz="0" w:space="0" w:color="auto"/>
        <w:left w:val="none" w:sz="0" w:space="0" w:color="auto"/>
        <w:bottom w:val="none" w:sz="0" w:space="0" w:color="auto"/>
        <w:right w:val="none" w:sz="0" w:space="0" w:color="auto"/>
      </w:divBdr>
    </w:div>
    <w:div w:id="19024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eccwp.cept.org/WI_Detail.aspx?wiid=734"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651C-C19B-47BC-AAA8-27AD42CB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2</TotalTime>
  <Pages>10</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XXX(YY)XX - Source - Content</vt:lpstr>
    </vt:vector>
  </TitlesOfParts>
  <Manager>ECC</Manager>
  <Company>ECO</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subject/>
  <dc:creator>ECC</dc:creator>
  <cp:keywords/>
  <dc:description>This template is used as guidance to draft generic contributions to ECC groups</dc:description>
  <cp:lastModifiedBy>H-E</cp:lastModifiedBy>
  <cp:revision>3</cp:revision>
  <cp:lastPrinted>2016-10-04T08:55:00Z</cp:lastPrinted>
  <dcterms:created xsi:type="dcterms:W3CDTF">2020-11-09T12:13:00Z</dcterms:created>
  <dcterms:modified xsi:type="dcterms:W3CDTF">2020-11-09T12:53:00Z</dcterms:modified>
  <cp:category>protected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0x010100C5F30C9B16E14C8EACE5F2CC7B7AC7F400D60CB131E2D5534B85B8DCE3FBEFC859</vt:lpwstr>
  </property>
  <property fmtid="{D5CDD505-2E9C-101B-9397-08002B2CF9AE}" pid="3" name="_dlc_DocIdItemGuid">
    <vt:lpwstr>ad1b23a7-a71b-4b28-ad2c-7f7bdcd6f14b</vt:lpwstr>
  </property>
  <property fmtid="{D5CDD505-2E9C-101B-9397-08002B2CF9AE}" pid="4" name="TaxKeyword">
    <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1598252637</vt:lpwstr>
  </property>
  <property fmtid="{D5CDD505-2E9C-101B-9397-08002B2CF9AE}" pid="17" name="_2015_ms_pID_725343">
    <vt:lpwstr>(2)eov3zjIeqJ5h6pJqhwKG30nnYVnd6yNkXsV5/nNS12XjRpQNc+JasalZf24G7MPnhHG2lJ/s
9p0zmif2mQP2bn6Gxw3f1Y8t7bWKwFDgUIuVsUrUY9zvYpAQyQqb/SCHZsDkGzt0pOW6Ss51
zUFmLnB/HEHSA+EaCnn+Eu5wEvfNprMFrnYWvcezJCue9eo1wIak6lDbdD7MwFMgP8hcF0O6
qYxo6Rx3Mlk5yaVBgb</vt:lpwstr>
  </property>
  <property fmtid="{D5CDD505-2E9C-101B-9397-08002B2CF9AE}" pid="18" name="_2015_ms_pID_7253431">
    <vt:lpwstr>rw7cO0Bc0MV7jRi+Fg/MXP5eNgPGQK+gkN7qYD4j5lgXlI54TOUcEn
/VbRiO8FpDXAuJURUm4Yve7RzVAjdA9FdJfX2fTsjLq6Y7fMSBv2+ZpjMhxaQmC2/p28Nn5+
E6w4/wLmtVD4Irv9VGS94iIF3TEJLW/tl/zTzHH3vv9VtlF3DD8TKHzee3i7MTomtMRSJ8dq
O7oW7CzCIY8z1gTt</vt:lpwstr>
  </property>
</Properties>
</file>