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419"/>
        <w:gridCol w:w="3378"/>
      </w:tblGrid>
      <w:tr w:rsidR="00503613" w:rsidRPr="00E670DA" w:rsidTr="00640369">
        <w:trPr>
          <w:cantSplit/>
        </w:trPr>
        <w:tc>
          <w:tcPr>
            <w:tcW w:w="6262" w:type="dxa"/>
            <w:gridSpan w:val="2"/>
          </w:tcPr>
          <w:p w:rsidR="00503613" w:rsidRPr="00E670DA" w:rsidRDefault="00503613" w:rsidP="008D7C0E">
            <w:pPr>
              <w:ind w:right="282"/>
              <w:rPr>
                <w:b/>
                <w:lang w:val="en-GB" w:eastAsia="de-DE"/>
              </w:rPr>
            </w:pPr>
            <w:r w:rsidRPr="00E670DA">
              <w:rPr>
                <w:b/>
                <w:lang w:val="en-GB"/>
              </w:rPr>
              <w:br w:type="page"/>
            </w:r>
            <w:r w:rsidR="00DD7CA7" w:rsidRPr="00E670DA">
              <w:rPr>
                <w:b/>
                <w:bCs/>
                <w:noProof/>
                <w:lang w:val="en-GB" w:eastAsia="en-GB" w:bidi="he-IL"/>
              </w:rPr>
              <w:drawing>
                <wp:inline distT="0" distB="0" distL="0" distR="0" wp14:anchorId="64092053" wp14:editId="4D2A01E5">
                  <wp:extent cx="1621790" cy="836930"/>
                  <wp:effectExtent l="0" t="0" r="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73305B" w:rsidRPr="00E670DA" w:rsidRDefault="0073305B" w:rsidP="00C91869">
            <w:pPr>
              <w:ind w:right="110"/>
              <w:jc w:val="right"/>
              <w:rPr>
                <w:b/>
                <w:lang w:val="en-GB" w:eastAsia="de-DE"/>
              </w:rPr>
            </w:pPr>
          </w:p>
        </w:tc>
      </w:tr>
      <w:tr w:rsidR="00503613" w:rsidRPr="00E670DA" w:rsidTr="00640369">
        <w:trPr>
          <w:trHeight w:val="567"/>
        </w:trPr>
        <w:tc>
          <w:tcPr>
            <w:tcW w:w="6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5971E5" w:rsidP="00367A78">
            <w:pPr>
              <w:pStyle w:val="berschrift4"/>
              <w:ind w:right="-321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 w:rsidRPr="00E670DA">
              <w:rPr>
                <w:rFonts w:ascii="Times New Roman" w:hAnsi="Times New Roman"/>
                <w:color w:val="808080"/>
                <w:sz w:val="28"/>
                <w:szCs w:val="28"/>
              </w:rPr>
              <w:t>SEAMCAT Technical Group (STG)</w:t>
            </w:r>
          </w:p>
          <w:p w:rsidR="00CA58EA" w:rsidRPr="00E670DA" w:rsidRDefault="00CA58EA" w:rsidP="00CA58EA">
            <w:pPr>
              <w:rPr>
                <w:lang w:val="en-GB" w:eastAsia="de-DE"/>
              </w:rPr>
            </w:pPr>
          </w:p>
          <w:p w:rsidR="00CA58EA" w:rsidRPr="00E670DA" w:rsidRDefault="00CA58EA" w:rsidP="00CA58EA">
            <w:pPr>
              <w:rPr>
                <w:lang w:val="en-GB" w:eastAsia="de-DE"/>
              </w:rPr>
            </w:pPr>
            <w:r w:rsidRPr="00E670DA">
              <w:rPr>
                <w:lang w:val="en-GB" w:eastAsia="de-DE"/>
              </w:rPr>
              <w:t xml:space="preserve">Send to : </w:t>
            </w:r>
            <w:hyperlink r:id="rId9" w:history="1">
              <w:r w:rsidRPr="00E670DA">
                <w:rPr>
                  <w:rStyle w:val="Hyperlink"/>
                  <w:lang w:val="en-GB" w:eastAsia="de-DE"/>
                </w:rPr>
                <w:t>seamcat@eco.cept.org</w:t>
              </w:r>
            </w:hyperlink>
            <w:r w:rsidRPr="00E670DA">
              <w:rPr>
                <w:lang w:val="en-GB" w:eastAsia="de-DE"/>
              </w:rPr>
              <w:t xml:space="preserve"> </w:t>
            </w:r>
          </w:p>
        </w:tc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E670DA" w:rsidRDefault="006928FB" w:rsidP="006928FB">
            <w:pPr>
              <w:rPr>
                <w:lang w:val="en-GB" w:eastAsia="de-DE"/>
              </w:rPr>
            </w:pPr>
          </w:p>
        </w:tc>
      </w:tr>
      <w:tr w:rsidR="00503613" w:rsidRPr="00E670DA" w:rsidTr="00640369">
        <w:tc>
          <w:tcPr>
            <w:tcW w:w="62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503613" w:rsidP="00367A78">
            <w:pPr>
              <w:pStyle w:val="berschrift4"/>
              <w:ind w:right="-3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503613" w:rsidP="00367A78">
            <w:pPr>
              <w:pStyle w:val="berschrift4"/>
              <w:ind w:right="-32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03613" w:rsidRPr="00E670DA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6928FB" w:rsidP="0073305B">
            <w:pPr>
              <w:pStyle w:val="berschrift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E670DA">
              <w:rPr>
                <w:rFonts w:ascii="Times New Roman" w:hAnsi="Times New Roman"/>
                <w:szCs w:val="24"/>
              </w:rPr>
              <w:t>Date issued:</w:t>
            </w:r>
            <w:r w:rsidR="0073305B" w:rsidRPr="00E670D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0A3FA0" w:rsidP="00113EF0">
            <w:pPr>
              <w:rPr>
                <w:lang w:val="en-GB"/>
              </w:rPr>
            </w:pPr>
            <w:r>
              <w:rPr>
                <w:lang w:val="en-GB"/>
              </w:rPr>
              <w:t>25.06.2019</w:t>
            </w:r>
          </w:p>
        </w:tc>
      </w:tr>
      <w:tr w:rsidR="00503613" w:rsidRPr="00E670DA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6928FB" w:rsidP="0037484F">
            <w:pPr>
              <w:pStyle w:val="berschrift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E670DA">
              <w:rPr>
                <w:rFonts w:ascii="Times New Roman" w:hAnsi="Times New Roman"/>
                <w:szCs w:val="24"/>
              </w:rPr>
              <w:t>Source: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E670DA" w:rsidRDefault="000F672C" w:rsidP="007A6CDA">
            <w:pPr>
              <w:rPr>
                <w:lang w:val="en-GB"/>
              </w:rPr>
            </w:pPr>
            <w:r w:rsidRPr="00E670DA">
              <w:rPr>
                <w:lang w:val="en-GB"/>
              </w:rPr>
              <w:t>Karl Koch</w:t>
            </w:r>
          </w:p>
        </w:tc>
      </w:tr>
      <w:tr w:rsidR="009F4555" w:rsidRPr="00E670DA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E670DA" w:rsidRDefault="009F4555" w:rsidP="0037484F">
            <w:pPr>
              <w:pStyle w:val="berschrift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E670DA">
              <w:rPr>
                <w:rFonts w:ascii="Times New Roman" w:hAnsi="Times New Roman"/>
                <w:szCs w:val="24"/>
              </w:rPr>
              <w:t>Subject: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E670DA" w:rsidRDefault="00AD1FE2" w:rsidP="007A6CDA">
            <w:pPr>
              <w:rPr>
                <w:lang w:val="en-GB"/>
              </w:rPr>
            </w:pPr>
            <w:r w:rsidRPr="00E670DA">
              <w:rPr>
                <w:lang w:val="en-GB"/>
              </w:rPr>
              <w:t>action point single sector</w:t>
            </w:r>
          </w:p>
        </w:tc>
      </w:tr>
    </w:tbl>
    <w:p w:rsidR="00077F50" w:rsidRPr="00E670DA" w:rsidRDefault="00077F50">
      <w:pPr>
        <w:ind w:right="-426"/>
        <w:rPr>
          <w:b/>
          <w:bCs/>
          <w:lang w:val="en-GB"/>
        </w:rPr>
      </w:pPr>
    </w:p>
    <w:p w:rsidR="00A9446E" w:rsidRPr="00E670DA" w:rsidRDefault="00A9446E">
      <w:pPr>
        <w:ind w:right="-426"/>
        <w:rPr>
          <w:b/>
          <w:bCs/>
          <w:lang w:val="en-GB"/>
        </w:rPr>
      </w:pPr>
    </w:p>
    <w:tbl>
      <w:tblPr>
        <w:tblStyle w:val="Tabellenraster"/>
        <w:tblW w:w="0" w:type="auto"/>
        <w:tblLook w:val="0000" w:firstRow="0" w:lastRow="0" w:firstColumn="0" w:lastColumn="0" w:noHBand="0" w:noVBand="0"/>
      </w:tblPr>
      <w:tblGrid>
        <w:gridCol w:w="9350"/>
      </w:tblGrid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640369" w:rsidP="00ED425D">
            <w:pPr>
              <w:ind w:right="-426"/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t>Type of report</w:t>
            </w:r>
            <w:r w:rsidRPr="00E670DA">
              <w:rPr>
                <w:lang w:val="en-GB"/>
              </w:rPr>
              <w:t xml:space="preserve"> </w:t>
            </w:r>
            <w:r w:rsidR="006E1B59" w:rsidRPr="00E670DA">
              <w:rPr>
                <w:lang w:val="en-GB"/>
              </w:rPr>
              <w:t>(Bug, Enhancement or New Feature)</w:t>
            </w:r>
          </w:p>
        </w:tc>
      </w:tr>
      <w:tr w:rsidR="00640369" w:rsidRPr="00E670DA" w:rsidTr="008F4A63">
        <w:tc>
          <w:tcPr>
            <w:tcW w:w="9350" w:type="dxa"/>
          </w:tcPr>
          <w:p w:rsidR="00640369" w:rsidRPr="00E670DA" w:rsidRDefault="00874C0C">
            <w:pPr>
              <w:ind w:right="-426"/>
              <w:rPr>
                <w:lang w:val="en-GB"/>
              </w:rPr>
            </w:pPr>
            <w:r w:rsidRPr="00E670DA">
              <w:rPr>
                <w:lang w:val="en-GB"/>
              </w:rPr>
              <w:t>action point for STG</w:t>
            </w:r>
          </w:p>
        </w:tc>
      </w:tr>
      <w:tr w:rsidR="006E1B5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E1B59" w:rsidRPr="00E670DA" w:rsidRDefault="006E1B59" w:rsidP="00ED425D">
            <w:pPr>
              <w:ind w:right="-426"/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t>Issue ID</w:t>
            </w:r>
          </w:p>
        </w:tc>
      </w:tr>
      <w:tr w:rsidR="006E1B59" w:rsidRPr="00E670DA" w:rsidTr="008F4A63">
        <w:tc>
          <w:tcPr>
            <w:tcW w:w="9350" w:type="dxa"/>
            <w:shd w:val="clear" w:color="auto" w:fill="auto"/>
          </w:tcPr>
          <w:p w:rsidR="006E1B59" w:rsidRPr="00E670DA" w:rsidRDefault="006E1B59" w:rsidP="00ED425D">
            <w:pPr>
              <w:ind w:right="-426"/>
              <w:rPr>
                <w:lang w:val="en-GB"/>
              </w:rPr>
            </w:pPr>
          </w:p>
        </w:tc>
      </w:tr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757790" w:rsidP="00ED425D">
            <w:pPr>
              <w:ind w:right="-426"/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t>SEAMCAT ve</w:t>
            </w:r>
            <w:r w:rsidR="00640369" w:rsidRPr="00E670DA">
              <w:rPr>
                <w:b/>
                <w:bCs/>
                <w:lang w:val="en-GB"/>
              </w:rPr>
              <w:t xml:space="preserve">rsion </w:t>
            </w:r>
          </w:p>
        </w:tc>
      </w:tr>
      <w:tr w:rsidR="00640369" w:rsidRPr="00E670DA" w:rsidTr="008F4A63">
        <w:tc>
          <w:tcPr>
            <w:tcW w:w="9350" w:type="dxa"/>
          </w:tcPr>
          <w:p w:rsidR="00640369" w:rsidRPr="00E670DA" w:rsidRDefault="00BE26E2" w:rsidP="00640369">
            <w:pPr>
              <w:ind w:right="-426"/>
              <w:rPr>
                <w:lang w:val="en-GB"/>
              </w:rPr>
            </w:pPr>
            <w:r w:rsidRPr="00E670DA">
              <w:rPr>
                <w:lang w:val="en-GB"/>
              </w:rPr>
              <w:t>5.3</w:t>
            </w:r>
            <w:r w:rsidR="00113EF0" w:rsidRPr="00E670DA">
              <w:rPr>
                <w:lang w:val="en-GB"/>
              </w:rPr>
              <w:t xml:space="preserve">.0 </w:t>
            </w:r>
          </w:p>
        </w:tc>
      </w:tr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640369" w:rsidP="000205E3">
            <w:pPr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t xml:space="preserve">SEAMCAT </w:t>
            </w:r>
            <w:r w:rsidR="004A6333" w:rsidRPr="00E670DA">
              <w:rPr>
                <w:b/>
                <w:bCs/>
                <w:lang w:val="en-GB"/>
              </w:rPr>
              <w:t>c</w:t>
            </w:r>
            <w:r w:rsidRPr="00E670DA">
              <w:rPr>
                <w:b/>
                <w:bCs/>
                <w:lang w:val="en-GB"/>
              </w:rPr>
              <w:t>omponent</w:t>
            </w:r>
            <w:r w:rsidRPr="00E670DA">
              <w:rPr>
                <w:lang w:val="en-GB"/>
              </w:rPr>
              <w:t xml:space="preserve"> </w:t>
            </w:r>
            <w:r w:rsidR="004A6333" w:rsidRPr="00E670DA">
              <w:rPr>
                <w:b/>
                <w:bCs/>
                <w:lang w:val="en-GB"/>
              </w:rPr>
              <w:t>i</w:t>
            </w:r>
            <w:r w:rsidRPr="00E670DA">
              <w:rPr>
                <w:b/>
                <w:bCs/>
                <w:lang w:val="en-GB"/>
              </w:rPr>
              <w:t>nvolved</w:t>
            </w:r>
          </w:p>
        </w:tc>
      </w:tr>
      <w:tr w:rsidR="00640369" w:rsidRPr="00E670DA" w:rsidTr="008F4A63">
        <w:tc>
          <w:tcPr>
            <w:tcW w:w="9350" w:type="dxa"/>
          </w:tcPr>
          <w:p w:rsidR="00040B69" w:rsidRPr="00E670DA" w:rsidRDefault="002706B4" w:rsidP="00A9446E">
            <w:pPr>
              <w:rPr>
                <w:lang w:val="en-GB"/>
              </w:rPr>
            </w:pPr>
            <w:r w:rsidRPr="00E670DA">
              <w:rPr>
                <w:lang w:val="en-GB"/>
              </w:rPr>
              <w:t>Cellular systems</w:t>
            </w:r>
          </w:p>
        </w:tc>
      </w:tr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640369">
            <w:pPr>
              <w:ind w:right="-426"/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t>Background information, reference documents and related tickets</w:t>
            </w:r>
          </w:p>
        </w:tc>
      </w:tr>
      <w:tr w:rsidR="00640369" w:rsidRPr="00E670DA" w:rsidTr="008F4A63">
        <w:tc>
          <w:tcPr>
            <w:tcW w:w="9350" w:type="dxa"/>
          </w:tcPr>
          <w:p w:rsidR="00943398" w:rsidRPr="00E670DA" w:rsidRDefault="00B72397" w:rsidP="009A22A7">
            <w:pPr>
              <w:ind w:right="-426"/>
              <w:rPr>
                <w:bCs/>
                <w:lang w:val="en-GB"/>
              </w:rPr>
            </w:pPr>
            <w:hyperlink r:id="rId10" w:history="1">
              <w:r w:rsidR="00943398" w:rsidRPr="00E670DA">
                <w:rPr>
                  <w:rStyle w:val="Hyperlink"/>
                  <w:bCs/>
                  <w:lang w:val="en-GB"/>
                </w:rPr>
                <w:t>ST-469</w:t>
              </w:r>
            </w:hyperlink>
            <w:r w:rsidR="000D6361">
              <w:rPr>
                <w:rStyle w:val="Hyperlink"/>
                <w:bCs/>
                <w:lang w:val="en-GB"/>
              </w:rPr>
              <w:br/>
            </w:r>
          </w:p>
          <w:p w:rsidR="006E1B59" w:rsidRPr="00C97BB7" w:rsidRDefault="00943398" w:rsidP="009A22A7">
            <w:pPr>
              <w:ind w:right="-426"/>
              <w:rPr>
                <w:bCs/>
                <w:i/>
                <w:lang w:val="en-GB"/>
              </w:rPr>
            </w:pPr>
            <w:r w:rsidRPr="00C97BB7">
              <w:rPr>
                <w:bCs/>
                <w:i/>
                <w:lang w:val="en-GB"/>
              </w:rPr>
              <w:t>STG(18)062_Definition of cell.docx [STG 59]</w:t>
            </w:r>
          </w:p>
          <w:p w:rsidR="004747B2" w:rsidRPr="00E670DA" w:rsidRDefault="004747B2" w:rsidP="00E670DA">
            <w:pPr>
              <w:ind w:left="708"/>
              <w:rPr>
                <w:bCs/>
                <w:lang w:val="en-GB"/>
              </w:rPr>
            </w:pPr>
            <w:r w:rsidRPr="00E670DA">
              <w:rPr>
                <w:bCs/>
                <w:lang w:val="en-GB"/>
              </w:rPr>
              <w:t xml:space="preserve">This contribution asserts </w:t>
            </w:r>
            <w:r w:rsidR="00E670DA" w:rsidRPr="00E670DA">
              <w:rPr>
                <w:bCs/>
                <w:lang w:val="en-GB"/>
              </w:rPr>
              <w:br/>
              <w:t>&gt;&gt;</w:t>
            </w:r>
            <w:r w:rsidRPr="00E670DA">
              <w:rPr>
                <w:i/>
                <w:lang w:val="en-GB"/>
              </w:rPr>
              <w:t xml:space="preserve">No any text says “A cell = A Trisector site”,  One sector is represented by an </w:t>
            </w:r>
            <w:proofErr w:type="spellStart"/>
            <w:r w:rsidRPr="00E670DA">
              <w:rPr>
                <w:i/>
                <w:lang w:val="en-GB"/>
              </w:rPr>
              <w:t>hexagone</w:t>
            </w:r>
            <w:proofErr w:type="spellEnd"/>
            <w:r w:rsidRPr="00E670DA">
              <w:rPr>
                <w:i/>
                <w:lang w:val="en-GB"/>
              </w:rPr>
              <w:t xml:space="preserve">, the cell radius is R, cell range is 2R, so, it clearly means “One cell = One sector” represented by an </w:t>
            </w:r>
            <w:proofErr w:type="spellStart"/>
            <w:r w:rsidRPr="00E670DA">
              <w:rPr>
                <w:i/>
                <w:lang w:val="en-GB"/>
              </w:rPr>
              <w:t>exagon</w:t>
            </w:r>
            <w:proofErr w:type="spellEnd"/>
            <w:r w:rsidRPr="00E670DA">
              <w:rPr>
                <w:i/>
                <w:lang w:val="en-GB"/>
              </w:rPr>
              <w:t>.</w:t>
            </w:r>
            <w:r w:rsidR="00E670DA" w:rsidRPr="00E670DA">
              <w:rPr>
                <w:lang w:val="en-GB"/>
              </w:rPr>
              <w:t xml:space="preserve">&lt;&lt;  referencing  </w:t>
            </w:r>
            <w:r w:rsidR="00E670DA">
              <w:rPr>
                <w:lang w:val="en-GB"/>
              </w:rPr>
              <w:t>Recommendation ITU-R M.2101-0 and Report ITU-R M.2292.</w:t>
            </w:r>
            <w:r w:rsidR="00E670DA">
              <w:rPr>
                <w:lang w:val="en-GB"/>
              </w:rPr>
              <w:br/>
              <w:t xml:space="preserve">In fact, both references use </w:t>
            </w:r>
            <w:r w:rsidR="00B00735">
              <w:rPr>
                <w:lang w:val="en-GB"/>
              </w:rPr>
              <w:t>confusingly</w:t>
            </w:r>
            <w:r w:rsidR="00E670DA">
              <w:rPr>
                <w:lang w:val="en-GB"/>
              </w:rPr>
              <w:t xml:space="preserve"> the term ‘cell’ also for the sector</w:t>
            </w:r>
            <w:r w:rsidR="00B00735">
              <w:rPr>
                <w:lang w:val="en-GB"/>
              </w:rPr>
              <w:t xml:space="preserve">. </w:t>
            </w:r>
            <w:r w:rsidR="00B00735">
              <w:rPr>
                <w:lang w:val="en-GB"/>
              </w:rPr>
              <w:br/>
              <w:t>In this context, PT1 [</w:t>
            </w:r>
            <w:r w:rsidR="00B00735" w:rsidRPr="00B00735">
              <w:rPr>
                <w:lang w:val="en-GB"/>
              </w:rPr>
              <w:t>STG(17)075_LS from ECC PT1 to STG.docx</w:t>
            </w:r>
            <w:r w:rsidR="00B00735">
              <w:rPr>
                <w:lang w:val="en-GB"/>
              </w:rPr>
              <w:t xml:space="preserve">, STG 56] </w:t>
            </w:r>
            <w:r w:rsidR="00D32384">
              <w:rPr>
                <w:lang w:val="en-GB"/>
              </w:rPr>
              <w:t xml:space="preserve">supports </w:t>
            </w:r>
            <w:r w:rsidR="00B00735">
              <w:rPr>
                <w:lang w:val="en-GB"/>
              </w:rPr>
              <w:t xml:space="preserve">STG’s definitions </w:t>
            </w:r>
            <w:r w:rsidR="00B00735" w:rsidRPr="00B00735">
              <w:rPr>
                <w:bCs/>
                <w:lang w:val="en-GB"/>
              </w:rPr>
              <w:t>in relation with sector, cell</w:t>
            </w:r>
            <w:r w:rsidR="00D32384">
              <w:rPr>
                <w:bCs/>
                <w:lang w:val="en-GB"/>
              </w:rPr>
              <w:t xml:space="preserve"> and</w:t>
            </w:r>
            <w:r w:rsidR="00B00735" w:rsidRPr="00B00735">
              <w:rPr>
                <w:bCs/>
                <w:lang w:val="en-GB"/>
              </w:rPr>
              <w:t xml:space="preserve"> cell radius</w:t>
            </w:r>
            <w:r w:rsidR="00B00735">
              <w:rPr>
                <w:bCs/>
                <w:lang w:val="en-GB"/>
              </w:rPr>
              <w:t xml:space="preserve">, which are reflected in the </w:t>
            </w:r>
            <w:r w:rsidR="00E670DA">
              <w:rPr>
                <w:lang w:val="en-GB"/>
              </w:rPr>
              <w:t xml:space="preserve"> </w:t>
            </w:r>
            <w:hyperlink r:id="rId11" w:history="1">
              <w:r w:rsidR="00B00735" w:rsidRPr="00B00735">
                <w:rPr>
                  <w:rStyle w:val="Hyperlink"/>
                  <w:bCs/>
                  <w:lang w:val="en-GB"/>
                </w:rPr>
                <w:t>Handbook section 7.5.1</w:t>
              </w:r>
            </w:hyperlink>
            <w:r w:rsidR="00E670DA">
              <w:rPr>
                <w:lang w:val="en-GB"/>
              </w:rPr>
              <w:br/>
            </w:r>
          </w:p>
          <w:p w:rsidR="00943398" w:rsidRPr="00C97BB7" w:rsidRDefault="004747B2" w:rsidP="009A22A7">
            <w:pPr>
              <w:ind w:right="-426"/>
              <w:rPr>
                <w:bCs/>
                <w:i/>
                <w:lang w:val="en-GB"/>
              </w:rPr>
            </w:pPr>
            <w:r w:rsidRPr="00C97BB7">
              <w:rPr>
                <w:bCs/>
                <w:i/>
                <w:lang w:val="en-GB"/>
              </w:rPr>
              <w:t>STG(19)036_Single Tx interferer for 3-sector case.docx [STG 64]</w:t>
            </w:r>
          </w:p>
          <w:p w:rsidR="00E93A32" w:rsidRPr="00E670DA" w:rsidRDefault="00E93A32" w:rsidP="00C71178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This contribution requests the option of simulating only one TX (BS) of a tri-sector cell</w:t>
            </w:r>
            <w:r w:rsidR="00C71178">
              <w:rPr>
                <w:lang w:val="en-GB"/>
              </w:rPr>
              <w:t xml:space="preserve"> as interferer</w:t>
            </w:r>
            <w:r w:rsidR="00D32384">
              <w:rPr>
                <w:lang w:val="en-GB"/>
              </w:rPr>
              <w:br/>
            </w:r>
          </w:p>
          <w:p w:rsidR="004747B2" w:rsidRPr="00C97BB7" w:rsidRDefault="004747B2" w:rsidP="009A22A7">
            <w:pPr>
              <w:ind w:right="-426"/>
              <w:rPr>
                <w:bCs/>
                <w:i/>
                <w:lang w:val="en-GB"/>
              </w:rPr>
            </w:pPr>
            <w:r w:rsidRPr="00C97BB7">
              <w:rPr>
                <w:bCs/>
                <w:i/>
                <w:lang w:val="en-GB"/>
              </w:rPr>
              <w:t>STG(19)046_OFDMA Reference Cell distance.docx [STG 64]</w:t>
            </w:r>
          </w:p>
          <w:p w:rsidR="00AB152E" w:rsidRDefault="00D32384" w:rsidP="00D32384">
            <w:pPr>
              <w:ind w:left="708" w:right="-426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This contribution reports the error that the relative positioning does not take account of the reference cell (even it addresses the sector as cell).</w:t>
            </w:r>
          </w:p>
          <w:p w:rsidR="00D32384" w:rsidRDefault="00D32384" w:rsidP="00D32384">
            <w:pPr>
              <w:ind w:left="708" w:right="-426"/>
              <w:rPr>
                <w:bCs/>
                <w:lang w:val="en-GB"/>
              </w:rPr>
            </w:pPr>
          </w:p>
          <w:p w:rsidR="00D32384" w:rsidRPr="00C97BB7" w:rsidRDefault="00D32384" w:rsidP="00D32384">
            <w:pPr>
              <w:ind w:right="-426"/>
              <w:rPr>
                <w:bCs/>
                <w:u w:val="single"/>
                <w:lang w:val="en-GB"/>
              </w:rPr>
            </w:pPr>
            <w:r w:rsidRPr="00C97BB7">
              <w:rPr>
                <w:bCs/>
                <w:u w:val="single"/>
                <w:lang w:val="en-GB"/>
              </w:rPr>
              <w:t>General comment regarding ‘reference cell’:</w:t>
            </w:r>
          </w:p>
          <w:p w:rsidR="00D32384" w:rsidRDefault="00C97BB7" w:rsidP="00D32384">
            <w:pPr>
              <w:ind w:right="-426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 the opinion of the author of this, the reference cell is (up to now) used</w:t>
            </w:r>
          </w:p>
          <w:p w:rsidR="00C97BB7" w:rsidRDefault="00C97BB7" w:rsidP="00C97BB7">
            <w:pPr>
              <w:pStyle w:val="Listenabsatz"/>
              <w:numPr>
                <w:ilvl w:val="0"/>
                <w:numId w:val="19"/>
              </w:numPr>
              <w:ind w:right="-426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 general for the relative positioning (currently not implemented correctly)</w:t>
            </w:r>
          </w:p>
          <w:p w:rsidR="00C97BB7" w:rsidRDefault="00C97BB7" w:rsidP="00C97BB7">
            <w:pPr>
              <w:pStyle w:val="Listenabsatz"/>
              <w:numPr>
                <w:ilvl w:val="0"/>
                <w:numId w:val="19"/>
              </w:numPr>
              <w:ind w:right="-426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for victims in order to distinguish between the impact on the overall network and a selected reference cell</w:t>
            </w:r>
          </w:p>
          <w:p w:rsidR="00C97BB7" w:rsidRPr="00C97BB7" w:rsidRDefault="00C97BB7" w:rsidP="00C97BB7">
            <w:pPr>
              <w:ind w:right="-426"/>
              <w:rPr>
                <w:bCs/>
                <w:lang w:val="en-GB"/>
              </w:rPr>
            </w:pPr>
          </w:p>
        </w:tc>
      </w:tr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640369" w:rsidP="00ED425D">
            <w:pPr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lastRenderedPageBreak/>
              <w:t>Description of the issue</w:t>
            </w:r>
          </w:p>
        </w:tc>
      </w:tr>
      <w:tr w:rsidR="008F4A63" w:rsidRPr="00E670DA" w:rsidTr="008F4A63">
        <w:trPr>
          <w:trHeight w:val="826"/>
        </w:trPr>
        <w:tc>
          <w:tcPr>
            <w:tcW w:w="9350" w:type="dxa"/>
          </w:tcPr>
          <w:p w:rsidR="00302323" w:rsidRPr="00E670DA" w:rsidRDefault="00302323" w:rsidP="00302323">
            <w:pPr>
              <w:rPr>
                <w:bCs/>
                <w:lang w:val="en-GB"/>
              </w:rPr>
            </w:pPr>
            <w:r w:rsidRPr="00E670DA">
              <w:rPr>
                <w:bCs/>
                <w:lang w:val="en-GB"/>
              </w:rPr>
              <w:t xml:space="preserve">On a first step only the downlinks of the systems </w:t>
            </w:r>
            <w:r w:rsidR="00812873">
              <w:rPr>
                <w:bCs/>
                <w:lang w:val="en-GB"/>
              </w:rPr>
              <w:t xml:space="preserve">as interferer </w:t>
            </w:r>
            <w:r w:rsidRPr="00E670DA">
              <w:rPr>
                <w:bCs/>
                <w:lang w:val="en-GB"/>
              </w:rPr>
              <w:t xml:space="preserve">are investigated. Uplinks </w:t>
            </w:r>
            <w:r w:rsidR="00812873">
              <w:rPr>
                <w:bCs/>
                <w:lang w:val="en-GB"/>
              </w:rPr>
              <w:t xml:space="preserve">and victims </w:t>
            </w:r>
            <w:r w:rsidRPr="00E670DA">
              <w:rPr>
                <w:bCs/>
                <w:lang w:val="en-GB"/>
              </w:rPr>
              <w:t>will be discussed as a separate issue on</w:t>
            </w:r>
            <w:r w:rsidR="004F7410">
              <w:rPr>
                <w:bCs/>
                <w:lang w:val="en-GB"/>
              </w:rPr>
              <w:t xml:space="preserve"> the below</w:t>
            </w:r>
            <w:r w:rsidRPr="00E670DA">
              <w:rPr>
                <w:bCs/>
                <w:lang w:val="en-GB"/>
              </w:rPr>
              <w:t xml:space="preserve"> ‘Proposal’.</w:t>
            </w:r>
          </w:p>
          <w:p w:rsidR="00153820" w:rsidRPr="00E670DA" w:rsidRDefault="00302323" w:rsidP="00302323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t>currently implemented</w:t>
            </w:r>
          </w:p>
          <w:p w:rsidR="00302323" w:rsidRPr="00E670DA" w:rsidRDefault="00302323" w:rsidP="00302323">
            <w:pPr>
              <w:pStyle w:val="Listenabsatz"/>
              <w:numPr>
                <w:ilvl w:val="1"/>
                <w:numId w:val="18"/>
              </w:numPr>
              <w:rPr>
                <w:bCs/>
                <w:lang w:val="en-GB"/>
              </w:rPr>
            </w:pPr>
            <w:r w:rsidRPr="00E670DA">
              <w:rPr>
                <w:bCs/>
                <w:lang w:val="en-GB"/>
              </w:rPr>
              <w:t>OFDMA DL</w:t>
            </w:r>
            <w:r w:rsidR="00811917" w:rsidRPr="00E670DA">
              <w:rPr>
                <w:bCs/>
                <w:lang w:val="en-GB"/>
              </w:rPr>
              <w:br/>
            </w:r>
            <w:r w:rsidR="00811917" w:rsidRPr="00E670DA">
              <w:rPr>
                <w:noProof/>
                <w:lang w:val="en-GB"/>
              </w:rPr>
              <w:drawing>
                <wp:inline distT="0" distB="0" distL="0" distR="0">
                  <wp:extent cx="1990781" cy="1843391"/>
                  <wp:effectExtent l="0" t="0" r="0" b="5080"/>
                  <wp:docPr id="2" name="Grafik 2" descr="C:\Users\karl\AppData\Local\Temp\SNAGHTMLf499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l\AppData\Local\Temp\SNAGHTMLf499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53" cy="188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D2" w:rsidRPr="00E670DA">
              <w:rPr>
                <w:bCs/>
                <w:lang w:val="en-GB"/>
              </w:rPr>
              <w:br/>
              <w:t>left the single sector, right the reference cell</w:t>
            </w:r>
            <w:r w:rsidR="00654AD2" w:rsidRPr="00E670DA">
              <w:rPr>
                <w:bCs/>
                <w:lang w:val="en-GB"/>
              </w:rPr>
              <w:br/>
              <w:t>the yellow marked sectors are simulated as interferer</w:t>
            </w:r>
            <w:r w:rsidR="00654AD2" w:rsidRPr="00E670DA">
              <w:rPr>
                <w:bCs/>
                <w:lang w:val="en-GB"/>
              </w:rPr>
              <w:br/>
            </w:r>
          </w:p>
          <w:p w:rsidR="00302323" w:rsidRPr="00E670DA" w:rsidRDefault="00302323" w:rsidP="00302323">
            <w:pPr>
              <w:pStyle w:val="Listenabsatz"/>
              <w:numPr>
                <w:ilvl w:val="1"/>
                <w:numId w:val="18"/>
              </w:numPr>
              <w:rPr>
                <w:bCs/>
                <w:lang w:val="en-GB"/>
              </w:rPr>
            </w:pPr>
            <w:r w:rsidRPr="00E670DA">
              <w:rPr>
                <w:bCs/>
                <w:lang w:val="en-GB"/>
              </w:rPr>
              <w:t>CDMA DL</w:t>
            </w:r>
            <w:r w:rsidR="00654AD2" w:rsidRPr="00E670DA">
              <w:rPr>
                <w:bCs/>
                <w:lang w:val="en-GB"/>
              </w:rPr>
              <w:br/>
            </w:r>
            <w:r w:rsidR="00654AD2" w:rsidRPr="00E670DA">
              <w:rPr>
                <w:noProof/>
                <w:lang w:val="en-GB"/>
              </w:rPr>
              <w:drawing>
                <wp:inline distT="0" distB="0" distL="0" distR="0">
                  <wp:extent cx="1988777" cy="1770434"/>
                  <wp:effectExtent l="0" t="0" r="0" b="1270"/>
                  <wp:docPr id="3" name="Grafik 3" descr="C:\Users\karl\AppData\Local\Temp\SNAGHTMLf9b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l\AppData\Local\Temp\SNAGHTMLf9b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122" cy="179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D2" w:rsidRPr="00E670DA">
              <w:rPr>
                <w:bCs/>
                <w:lang w:val="en-GB"/>
              </w:rPr>
              <w:br/>
              <w:t>the same as for</w:t>
            </w:r>
            <w:r w:rsidR="003A05E4">
              <w:rPr>
                <w:bCs/>
                <w:lang w:val="en-GB"/>
              </w:rPr>
              <w:t xml:space="preserve"> the above</w:t>
            </w:r>
            <w:r w:rsidR="00654AD2" w:rsidRPr="00E670DA">
              <w:rPr>
                <w:bCs/>
                <w:lang w:val="en-GB"/>
              </w:rPr>
              <w:t xml:space="preserve"> OFDMA DL</w:t>
            </w:r>
            <w:r w:rsidR="00131E78">
              <w:rPr>
                <w:bCs/>
                <w:lang w:val="en-GB"/>
              </w:rPr>
              <w:t xml:space="preserve"> </w:t>
            </w:r>
            <w:r w:rsidR="00654AD2" w:rsidRPr="00E670DA">
              <w:rPr>
                <w:bCs/>
                <w:lang w:val="en-GB"/>
              </w:rPr>
              <w:br/>
            </w:r>
          </w:p>
          <w:p w:rsidR="00302323" w:rsidRPr="00E670DA" w:rsidRDefault="00302323" w:rsidP="00302323">
            <w:pPr>
              <w:pStyle w:val="Listenabsatz"/>
              <w:numPr>
                <w:ilvl w:val="1"/>
                <w:numId w:val="18"/>
              </w:numPr>
              <w:rPr>
                <w:bCs/>
                <w:lang w:val="en-GB"/>
              </w:rPr>
            </w:pPr>
            <w:r w:rsidRPr="00E670DA">
              <w:rPr>
                <w:bCs/>
                <w:lang w:val="en-GB"/>
              </w:rPr>
              <w:t>IMT-2020 macro DL</w:t>
            </w:r>
            <w:r w:rsidR="00654AD2" w:rsidRPr="00E670DA">
              <w:rPr>
                <w:bCs/>
                <w:lang w:val="en-GB"/>
              </w:rPr>
              <w:br/>
            </w:r>
            <w:r w:rsidR="00654AD2" w:rsidRPr="00E670DA">
              <w:rPr>
                <w:noProof/>
                <w:lang w:val="en-GB"/>
              </w:rPr>
              <w:drawing>
                <wp:inline distT="0" distB="0" distL="0" distR="0">
                  <wp:extent cx="1999760" cy="1872574"/>
                  <wp:effectExtent l="0" t="0" r="635" b="0"/>
                  <wp:docPr id="4" name="Grafik 4" descr="C:\Users\karl\AppData\Local\Temp\SNAGHTMLfdab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l\AppData\Local\Temp\SNAGHTMLfdab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65" cy="190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D2" w:rsidRPr="00E670DA">
              <w:rPr>
                <w:bCs/>
                <w:lang w:val="en-GB"/>
              </w:rPr>
              <w:br/>
            </w:r>
            <w:r w:rsidR="00654AD2" w:rsidRPr="00E670DA">
              <w:rPr>
                <w:bCs/>
                <w:u w:val="single"/>
                <w:lang w:val="en-GB"/>
              </w:rPr>
              <w:t>all</w:t>
            </w:r>
            <w:r w:rsidR="00654AD2" w:rsidRPr="00E670DA">
              <w:rPr>
                <w:bCs/>
                <w:lang w:val="en-GB"/>
              </w:rPr>
              <w:t xml:space="preserve"> BSs (sectors) are simulated as interferer, independent on the setting ‘single sector’</w:t>
            </w:r>
          </w:p>
          <w:p w:rsidR="00654AD2" w:rsidRPr="00E670DA" w:rsidRDefault="0021478A" w:rsidP="00654AD2">
            <w:pPr>
              <w:ind w:left="360"/>
              <w:rPr>
                <w:bCs/>
                <w:lang w:val="en-GB"/>
              </w:rPr>
            </w:pPr>
            <w:r w:rsidRPr="00E670DA">
              <w:rPr>
                <w:bCs/>
                <w:lang w:val="en-GB"/>
              </w:rPr>
              <w:br/>
            </w:r>
            <w:r w:rsidR="00654AD2" w:rsidRPr="00E670DA">
              <w:rPr>
                <w:bCs/>
                <w:lang w:val="en-GB"/>
              </w:rPr>
              <w:t>the common mistake</w:t>
            </w:r>
            <w:r w:rsidRPr="00E670DA">
              <w:rPr>
                <w:bCs/>
                <w:lang w:val="en-GB"/>
              </w:rPr>
              <w:t xml:space="preserve"> is that the relative positioning is referenced to the </w:t>
            </w:r>
            <w:r w:rsidRPr="00E670DA">
              <w:rPr>
                <w:bCs/>
                <w:u w:val="single"/>
                <w:lang w:val="en-GB"/>
              </w:rPr>
              <w:t>centre</w:t>
            </w:r>
            <w:r w:rsidRPr="00E670DA">
              <w:rPr>
                <w:bCs/>
                <w:lang w:val="en-GB"/>
              </w:rPr>
              <w:t xml:space="preserve"> of the network, but should be referenced to the reference cell</w:t>
            </w:r>
            <w:r w:rsidRPr="00E670DA">
              <w:rPr>
                <w:bCs/>
                <w:lang w:val="en-GB"/>
              </w:rPr>
              <w:br/>
            </w:r>
            <w:r w:rsidRPr="00E670DA">
              <w:rPr>
                <w:noProof/>
                <w:lang w:val="en-GB"/>
              </w:rPr>
              <w:lastRenderedPageBreak/>
              <w:drawing>
                <wp:inline distT="0" distB="0" distL="0" distR="0">
                  <wp:extent cx="2008761" cy="1234041"/>
                  <wp:effectExtent l="0" t="0" r="0" b="4445"/>
                  <wp:docPr id="5" name="Grafik 5" descr="C:\Users\karl\AppData\Local\Temp\SNAGHTML102fb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l\AppData\Local\Temp\SNAGHTML102fb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33" cy="125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348">
              <w:rPr>
                <w:bCs/>
                <w:lang w:val="en-GB"/>
              </w:rPr>
              <w:br/>
            </w:r>
          </w:p>
          <w:p w:rsidR="00302323" w:rsidRDefault="00302323" w:rsidP="00302323">
            <w:pPr>
              <w:pStyle w:val="Listenabsatz"/>
              <w:numPr>
                <w:ilvl w:val="0"/>
                <w:numId w:val="18"/>
              </w:numPr>
              <w:rPr>
                <w:bCs/>
                <w:lang w:val="en-GB"/>
              </w:rPr>
            </w:pPr>
            <w:r w:rsidRPr="006755A9">
              <w:rPr>
                <w:b/>
                <w:bCs/>
                <w:lang w:val="en-GB"/>
              </w:rPr>
              <w:t>possible options</w:t>
            </w:r>
            <w:r w:rsidR="00FC7348" w:rsidRPr="006755A9">
              <w:rPr>
                <w:b/>
                <w:bCs/>
                <w:lang w:val="en-GB"/>
              </w:rPr>
              <w:t xml:space="preserve"> regarding Single sector </w:t>
            </w:r>
            <w:r w:rsidR="00FC7348" w:rsidRPr="001B6A38">
              <w:rPr>
                <w:bCs/>
                <w:lang w:val="en-GB"/>
              </w:rPr>
              <w:t>(author’s view</w:t>
            </w:r>
            <w:r w:rsidR="0040531C" w:rsidRPr="001B6A38">
              <w:rPr>
                <w:bCs/>
                <w:lang w:val="en-GB"/>
              </w:rPr>
              <w:t>, including ‘less relevant’</w:t>
            </w:r>
            <w:r w:rsidR="00FC7348" w:rsidRPr="001B6A38">
              <w:rPr>
                <w:bCs/>
                <w:lang w:val="en-GB"/>
              </w:rPr>
              <w:t>)</w:t>
            </w:r>
            <w:r w:rsidR="00FC7348">
              <w:rPr>
                <w:bCs/>
                <w:lang w:val="en-GB"/>
              </w:rPr>
              <w:br/>
            </w:r>
            <w:r w:rsidR="00DC3BDD">
              <w:rPr>
                <w:noProof/>
              </w:rPr>
              <w:drawing>
                <wp:inline distT="0" distB="0" distL="0" distR="0">
                  <wp:extent cx="2066289" cy="1833663"/>
                  <wp:effectExtent l="0" t="0" r="0" b="0"/>
                  <wp:docPr id="7" name="Grafik 7" descr="C:\Users\karl\AppData\Local\Temp\SNAGHTML17791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rl\AppData\Local\Temp\SNAGHTML1779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81" cy="185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DD">
              <w:rPr>
                <w:bCs/>
                <w:lang w:val="en-GB"/>
              </w:rPr>
              <w:br/>
            </w:r>
            <w:r w:rsidR="00DC3BDD" w:rsidRPr="001F6CD3">
              <w:rPr>
                <w:bCs/>
                <w:i/>
                <w:lang w:val="en-GB"/>
              </w:rPr>
              <w:t xml:space="preserve">note that the coloured option should, according to ST-469, have been renamed to </w:t>
            </w:r>
            <w:r w:rsidR="00DC3BDD" w:rsidRPr="001F6CD3">
              <w:rPr>
                <w:bCs/>
                <w:i/>
                <w:lang w:val="en-GB"/>
              </w:rPr>
              <w:br/>
              <w:t>“Single omni site</w:t>
            </w:r>
            <w:r w:rsidR="00E3483F" w:rsidRPr="001F6CD3">
              <w:rPr>
                <w:bCs/>
                <w:i/>
                <w:lang w:val="en-GB"/>
              </w:rPr>
              <w:t>”. In the author’s opinion i</w:t>
            </w:r>
            <w:r w:rsidR="00735957" w:rsidRPr="001F6CD3">
              <w:rPr>
                <w:bCs/>
                <w:i/>
                <w:lang w:val="en-GB"/>
              </w:rPr>
              <w:t>t</w:t>
            </w:r>
            <w:r w:rsidR="00E3483F" w:rsidRPr="001F6CD3">
              <w:rPr>
                <w:bCs/>
                <w:i/>
                <w:lang w:val="en-GB"/>
              </w:rPr>
              <w:t xml:space="preserve"> should read</w:t>
            </w:r>
            <w:r w:rsidR="00B71D75">
              <w:rPr>
                <w:bCs/>
                <w:i/>
                <w:lang w:val="en-GB"/>
              </w:rPr>
              <w:t xml:space="preserve"> rather</w:t>
            </w:r>
            <w:r w:rsidR="00E3483F" w:rsidRPr="001F6CD3">
              <w:rPr>
                <w:bCs/>
                <w:i/>
                <w:lang w:val="en-GB"/>
              </w:rPr>
              <w:t xml:space="preserve"> “cell site” instead of “site” to be in line with the language of the handbook.</w:t>
            </w:r>
            <w:r w:rsidR="00E3483F">
              <w:rPr>
                <w:bCs/>
                <w:lang w:val="en-GB"/>
              </w:rPr>
              <w:t xml:space="preserve"> </w:t>
            </w:r>
            <w:r w:rsidR="008D497E">
              <w:rPr>
                <w:bCs/>
                <w:lang w:val="en-GB"/>
              </w:rPr>
              <w:br/>
            </w:r>
          </w:p>
          <w:p w:rsidR="0040531C" w:rsidRDefault="00FC7348" w:rsidP="007A1C37">
            <w:pPr>
              <w:pStyle w:val="Listenabsatz"/>
              <w:numPr>
                <w:ilvl w:val="1"/>
                <w:numId w:val="18"/>
              </w:numPr>
              <w:rPr>
                <w:bCs/>
                <w:lang w:val="en-GB"/>
              </w:rPr>
            </w:pPr>
            <w:r w:rsidRPr="0040531C">
              <w:rPr>
                <w:bCs/>
                <w:lang w:val="en-GB"/>
              </w:rPr>
              <w:t xml:space="preserve">allow </w:t>
            </w:r>
            <w:r w:rsidRPr="0040531C">
              <w:rPr>
                <w:bCs/>
                <w:i/>
                <w:lang w:val="en-GB"/>
              </w:rPr>
              <w:t>Single sector</w:t>
            </w:r>
            <w:r w:rsidRPr="0040531C">
              <w:rPr>
                <w:bCs/>
                <w:lang w:val="en-GB"/>
              </w:rPr>
              <w:t xml:space="preserve"> </w:t>
            </w:r>
            <w:r w:rsidRPr="0040531C">
              <w:rPr>
                <w:bCs/>
                <w:u w:val="single"/>
                <w:lang w:val="en-GB"/>
              </w:rPr>
              <w:t>only</w:t>
            </w:r>
            <w:r w:rsidRPr="0040531C">
              <w:rPr>
                <w:bCs/>
                <w:lang w:val="en-GB"/>
              </w:rPr>
              <w:t xml:space="preserve"> if </w:t>
            </w:r>
            <w:r w:rsidRPr="0040531C">
              <w:rPr>
                <w:bCs/>
                <w:i/>
                <w:lang w:val="en-GB"/>
              </w:rPr>
              <w:t>Single cell</w:t>
            </w:r>
            <w:r w:rsidRPr="0040531C">
              <w:rPr>
                <w:bCs/>
                <w:lang w:val="en-GB"/>
              </w:rPr>
              <w:t xml:space="preserve"> is selected</w:t>
            </w:r>
            <w:r w:rsidR="004F1D6C">
              <w:rPr>
                <w:bCs/>
                <w:lang w:val="en-GB"/>
              </w:rPr>
              <w:t xml:space="preserve">, i.e. deactivate the check box if </w:t>
            </w:r>
            <w:r w:rsidR="004F1D6C" w:rsidRPr="0040531C">
              <w:rPr>
                <w:bCs/>
                <w:i/>
                <w:lang w:val="en-GB"/>
              </w:rPr>
              <w:t>Single cell</w:t>
            </w:r>
            <w:r w:rsidR="004F1D6C" w:rsidRPr="0040531C">
              <w:rPr>
                <w:bCs/>
                <w:lang w:val="en-GB"/>
              </w:rPr>
              <w:t xml:space="preserve"> is </w:t>
            </w:r>
            <w:r w:rsidR="004F1D6C">
              <w:rPr>
                <w:bCs/>
                <w:lang w:val="en-GB"/>
              </w:rPr>
              <w:t xml:space="preserve">not </w:t>
            </w:r>
            <w:r w:rsidR="004F1D6C" w:rsidRPr="0040531C">
              <w:rPr>
                <w:bCs/>
                <w:lang w:val="en-GB"/>
              </w:rPr>
              <w:t>selected</w:t>
            </w:r>
          </w:p>
          <w:p w:rsidR="00DC3BDD" w:rsidRPr="0040531C" w:rsidRDefault="00DC3BDD" w:rsidP="004F1D6C">
            <w:pPr>
              <w:pStyle w:val="Listenabsatz"/>
              <w:numPr>
                <w:ilvl w:val="1"/>
                <w:numId w:val="18"/>
              </w:numPr>
              <w:rPr>
                <w:bCs/>
                <w:lang w:val="en-GB"/>
              </w:rPr>
            </w:pPr>
            <w:r w:rsidRPr="0040531C">
              <w:rPr>
                <w:bCs/>
                <w:lang w:val="en-GB"/>
              </w:rPr>
              <w:t xml:space="preserve">allow </w:t>
            </w:r>
            <w:r w:rsidRPr="0040531C">
              <w:rPr>
                <w:bCs/>
                <w:i/>
                <w:lang w:val="en-GB"/>
              </w:rPr>
              <w:t xml:space="preserve">Single sector </w:t>
            </w:r>
            <w:r w:rsidRPr="0040531C">
              <w:rPr>
                <w:bCs/>
                <w:lang w:val="en-GB"/>
              </w:rPr>
              <w:t>in general</w:t>
            </w:r>
            <w:r w:rsidR="001001B5">
              <w:rPr>
                <w:bCs/>
                <w:lang w:val="en-GB"/>
              </w:rPr>
              <w:t xml:space="preserve"> (</w:t>
            </w:r>
            <w:r w:rsidR="00FE3978">
              <w:rPr>
                <w:bCs/>
                <w:lang w:val="en-GB"/>
              </w:rPr>
              <w:t>not applicable to wrap-around)</w:t>
            </w:r>
          </w:p>
          <w:p w:rsidR="0040531C" w:rsidRDefault="0040531C" w:rsidP="0040531C">
            <w:pPr>
              <w:pStyle w:val="Listenabsatz"/>
              <w:numPr>
                <w:ilvl w:val="2"/>
                <w:numId w:val="1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simulate only the selected sector as interferer and keep the other BSs for the network geometry (as currently implemented for OFDMA / CDMA)</w:t>
            </w:r>
          </w:p>
          <w:p w:rsidR="0040531C" w:rsidRDefault="0040531C" w:rsidP="0040531C">
            <w:pPr>
              <w:pStyle w:val="Listenabsatz"/>
              <w:numPr>
                <w:ilvl w:val="2"/>
                <w:numId w:val="1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simulate all cells </w:t>
            </w:r>
            <w:r w:rsidR="004F1D6C">
              <w:rPr>
                <w:bCs/>
                <w:lang w:val="en-GB"/>
              </w:rPr>
              <w:t xml:space="preserve">as interferer </w:t>
            </w:r>
            <w:r>
              <w:rPr>
                <w:bCs/>
                <w:lang w:val="en-GB"/>
              </w:rPr>
              <w:t>with the same sector activated</w:t>
            </w:r>
            <w:r w:rsidR="004F1D6C">
              <w:rPr>
                <w:bCs/>
                <w:lang w:val="en-GB"/>
              </w:rPr>
              <w:t xml:space="preserve"> (wouldn’t make sense)</w:t>
            </w:r>
          </w:p>
          <w:p w:rsidR="0040531C" w:rsidRDefault="004F1D6C" w:rsidP="00DC3BDD">
            <w:pPr>
              <w:pStyle w:val="Listenabsatz"/>
              <w:numPr>
                <w:ilvl w:val="2"/>
                <w:numId w:val="1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simulate all cells as tri-sector interferer, except on the selected cell just the selected sector (doesn’t make sense)</w:t>
            </w:r>
          </w:p>
          <w:p w:rsidR="0041785B" w:rsidRDefault="0041785B" w:rsidP="0041785B">
            <w:pPr>
              <w:pStyle w:val="Listenabsatz"/>
              <w:numPr>
                <w:ilvl w:val="1"/>
                <w:numId w:val="1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in case </w:t>
            </w:r>
            <w:r w:rsidRPr="0040531C">
              <w:rPr>
                <w:bCs/>
                <w:i/>
                <w:lang w:val="en-GB"/>
              </w:rPr>
              <w:t>Single sector</w:t>
            </w:r>
            <w:r w:rsidRPr="0040531C">
              <w:rPr>
                <w:bCs/>
                <w:lang w:val="en-GB"/>
              </w:rPr>
              <w:t xml:space="preserve"> </w:t>
            </w:r>
            <w:r w:rsidRPr="0041785B">
              <w:rPr>
                <w:bCs/>
                <w:lang w:val="en-GB"/>
              </w:rPr>
              <w:t>is</w:t>
            </w:r>
            <w:r>
              <w:rPr>
                <w:bCs/>
                <w:lang w:val="en-GB"/>
              </w:rPr>
              <w:t xml:space="preserve"> </w:t>
            </w:r>
            <w:r w:rsidRPr="00E3483F">
              <w:rPr>
                <w:bCs/>
                <w:u w:val="single"/>
                <w:lang w:val="en-GB"/>
              </w:rPr>
              <w:t>NOT</w:t>
            </w:r>
            <w:r>
              <w:rPr>
                <w:bCs/>
                <w:lang w:val="en-GB"/>
              </w:rPr>
              <w:t xml:space="preserve"> selected</w:t>
            </w:r>
          </w:p>
          <w:p w:rsidR="0041785B" w:rsidRDefault="0041785B" w:rsidP="00C7494F">
            <w:pPr>
              <w:pStyle w:val="Listenabsatz"/>
              <w:numPr>
                <w:ilvl w:val="2"/>
                <w:numId w:val="1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simulate </w:t>
            </w:r>
            <w:r w:rsidRPr="009D1957">
              <w:rPr>
                <w:bCs/>
                <w:u w:val="single"/>
                <w:lang w:val="en-GB"/>
              </w:rPr>
              <w:t>all</w:t>
            </w:r>
            <w:r>
              <w:rPr>
                <w:bCs/>
                <w:lang w:val="en-GB"/>
              </w:rPr>
              <w:t xml:space="preserve"> BSs as interferer, independent on the selected reference cell, which is used just for the relative positioning</w:t>
            </w:r>
          </w:p>
          <w:p w:rsidR="00F10033" w:rsidRPr="00E670DA" w:rsidRDefault="00F10033" w:rsidP="0041785B">
            <w:pPr>
              <w:pStyle w:val="Listenabsatz"/>
              <w:numPr>
                <w:ilvl w:val="2"/>
                <w:numId w:val="1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simulate only the three sectors of the selected reference cell and keep the other BSs for the network geometry</w:t>
            </w:r>
            <w:r w:rsidR="00C7494F">
              <w:rPr>
                <w:bCs/>
                <w:lang w:val="en-GB"/>
              </w:rPr>
              <w:t xml:space="preserve">  (probably less relevant)</w:t>
            </w:r>
            <w:r>
              <w:rPr>
                <w:bCs/>
                <w:lang w:val="en-GB"/>
              </w:rPr>
              <w:br/>
            </w:r>
            <w:r w:rsidRPr="00C35F80">
              <w:rPr>
                <w:bCs/>
                <w:i/>
                <w:lang w:val="en-GB"/>
              </w:rPr>
              <w:t xml:space="preserve">NOTE: this option would require an additional </w:t>
            </w:r>
            <w:r w:rsidR="009D1957" w:rsidRPr="00C35F80">
              <w:rPr>
                <w:bCs/>
                <w:i/>
                <w:lang w:val="en-GB"/>
              </w:rPr>
              <w:t>selection parameter like “Only reference cell is interferer”</w:t>
            </w:r>
          </w:p>
          <w:p w:rsidR="00302323" w:rsidRPr="00C7494F" w:rsidRDefault="00302323" w:rsidP="00C7494F">
            <w:pPr>
              <w:rPr>
                <w:bCs/>
                <w:lang w:val="en-GB"/>
              </w:rPr>
            </w:pPr>
          </w:p>
        </w:tc>
      </w:tr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640369" w:rsidP="00640369">
            <w:pPr>
              <w:shd w:val="clear" w:color="auto" w:fill="D9D9D9" w:themeFill="background1" w:themeFillShade="D9"/>
              <w:rPr>
                <w:b/>
                <w:bCs/>
                <w:lang w:val="en-GB"/>
              </w:rPr>
            </w:pPr>
            <w:r w:rsidRPr="00E670DA">
              <w:rPr>
                <w:b/>
                <w:bCs/>
                <w:lang w:val="en-GB"/>
              </w:rPr>
              <w:lastRenderedPageBreak/>
              <w:t>Proposal</w:t>
            </w:r>
          </w:p>
        </w:tc>
      </w:tr>
      <w:tr w:rsidR="00640369" w:rsidRPr="00E670DA" w:rsidTr="008F4A63">
        <w:tc>
          <w:tcPr>
            <w:tcW w:w="9350" w:type="dxa"/>
          </w:tcPr>
          <w:p w:rsidR="00BD59A7" w:rsidRDefault="00C7494F" w:rsidP="009A22A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</w:t>
            </w:r>
            <w:r w:rsidR="008E715E">
              <w:rPr>
                <w:bCs/>
                <w:lang w:val="en-GB"/>
              </w:rPr>
              <w:t xml:space="preserve"> author’s</w:t>
            </w:r>
            <w:r>
              <w:rPr>
                <w:bCs/>
                <w:lang w:val="en-GB"/>
              </w:rPr>
              <w:t xml:space="preserve"> preferred options for DL as interferer are:</w:t>
            </w:r>
          </w:p>
          <w:p w:rsidR="00C7494F" w:rsidRPr="00C4222C" w:rsidRDefault="00C7494F" w:rsidP="00C4222C">
            <w:pPr>
              <w:pStyle w:val="Listenabsatz"/>
              <w:numPr>
                <w:ilvl w:val="0"/>
                <w:numId w:val="26"/>
              </w:numPr>
              <w:rPr>
                <w:lang w:val="en-GB"/>
              </w:rPr>
            </w:pPr>
            <w:r w:rsidRPr="00C4222C">
              <w:rPr>
                <w:lang w:val="en-GB"/>
              </w:rPr>
              <w:t xml:space="preserve">allow </w:t>
            </w:r>
            <w:r w:rsidRPr="00C4222C">
              <w:rPr>
                <w:i/>
                <w:lang w:val="en-GB"/>
              </w:rPr>
              <w:t xml:space="preserve">Single sector </w:t>
            </w:r>
            <w:r w:rsidRPr="00C4222C">
              <w:rPr>
                <w:lang w:val="en-GB"/>
              </w:rPr>
              <w:t>in general</w:t>
            </w:r>
            <w:r w:rsidR="00FE3978">
              <w:rPr>
                <w:lang w:val="en-GB"/>
              </w:rPr>
              <w:t xml:space="preserve"> </w:t>
            </w:r>
            <w:r w:rsidR="00FE3978">
              <w:rPr>
                <w:bCs/>
                <w:lang w:val="en-GB"/>
              </w:rPr>
              <w:t>(not applicable to wrap-around)</w:t>
            </w:r>
          </w:p>
          <w:p w:rsidR="00C7494F" w:rsidRPr="00C4222C" w:rsidRDefault="00C7494F" w:rsidP="00C4222C">
            <w:pPr>
              <w:pStyle w:val="Listenabsatz"/>
              <w:numPr>
                <w:ilvl w:val="1"/>
                <w:numId w:val="24"/>
              </w:numPr>
              <w:rPr>
                <w:lang w:val="en-GB"/>
              </w:rPr>
            </w:pPr>
            <w:r w:rsidRPr="00C4222C">
              <w:rPr>
                <w:bCs/>
                <w:lang w:val="en-GB"/>
              </w:rPr>
              <w:t>simulate only the selected sector as interferer and keep the other BSs for the network geometry (as currently implemented for OFDMA / CDMA)</w:t>
            </w:r>
            <w:r w:rsidRPr="00C4222C">
              <w:rPr>
                <w:bCs/>
                <w:lang w:val="en-GB"/>
              </w:rPr>
              <w:br/>
            </w:r>
          </w:p>
          <w:p w:rsidR="00C7494F" w:rsidRPr="00C4222C" w:rsidRDefault="00C7494F" w:rsidP="00C4222C">
            <w:pPr>
              <w:pStyle w:val="Listenabsatz"/>
              <w:numPr>
                <w:ilvl w:val="0"/>
                <w:numId w:val="28"/>
              </w:numPr>
              <w:rPr>
                <w:lang w:val="en-GB"/>
              </w:rPr>
            </w:pPr>
            <w:r w:rsidRPr="00C4222C">
              <w:rPr>
                <w:lang w:val="en-GB"/>
              </w:rPr>
              <w:t xml:space="preserve">in case </w:t>
            </w:r>
            <w:r w:rsidRPr="00C4222C">
              <w:rPr>
                <w:i/>
                <w:lang w:val="en-GB"/>
              </w:rPr>
              <w:t>Single sector</w:t>
            </w:r>
            <w:r w:rsidRPr="00C4222C">
              <w:rPr>
                <w:lang w:val="en-GB"/>
              </w:rPr>
              <w:t xml:space="preserve"> is </w:t>
            </w:r>
            <w:r w:rsidRPr="00C4222C">
              <w:rPr>
                <w:u w:val="single"/>
                <w:lang w:val="en-GB"/>
              </w:rPr>
              <w:t>NOT</w:t>
            </w:r>
            <w:r w:rsidRPr="00C4222C">
              <w:rPr>
                <w:lang w:val="en-GB"/>
              </w:rPr>
              <w:t xml:space="preserve"> selected</w:t>
            </w:r>
          </w:p>
          <w:p w:rsidR="00C7494F" w:rsidRPr="00C4222C" w:rsidRDefault="00C7494F" w:rsidP="00C4222C">
            <w:pPr>
              <w:pStyle w:val="Listenabsatz"/>
              <w:numPr>
                <w:ilvl w:val="1"/>
                <w:numId w:val="27"/>
              </w:numPr>
              <w:rPr>
                <w:bCs/>
                <w:lang w:val="en-GB"/>
              </w:rPr>
            </w:pPr>
            <w:r w:rsidRPr="00C4222C">
              <w:rPr>
                <w:bCs/>
                <w:lang w:val="en-GB"/>
              </w:rPr>
              <w:t xml:space="preserve">simulate </w:t>
            </w:r>
            <w:r w:rsidRPr="00C4222C">
              <w:rPr>
                <w:bCs/>
                <w:u w:val="single"/>
                <w:lang w:val="en-GB"/>
              </w:rPr>
              <w:t>all</w:t>
            </w:r>
            <w:r w:rsidRPr="00C4222C">
              <w:rPr>
                <w:bCs/>
                <w:lang w:val="en-GB"/>
              </w:rPr>
              <w:t xml:space="preserve"> BSs as interferer, independent on the selected reference cell, which is used just for the relative positioning</w:t>
            </w:r>
          </w:p>
          <w:p w:rsidR="00C7494F" w:rsidRDefault="00C7494F" w:rsidP="00C7494F">
            <w:pPr>
              <w:pStyle w:val="Listenabsatz"/>
              <w:ind w:left="900"/>
              <w:rPr>
                <w:bCs/>
                <w:lang w:val="en-GB"/>
              </w:rPr>
            </w:pPr>
          </w:p>
          <w:p w:rsidR="009D5618" w:rsidRDefault="009D5618" w:rsidP="009D5618">
            <w:pPr>
              <w:pStyle w:val="Listenabsatz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 xml:space="preserve">Regarding the uplink as interferer it is proposed to apply the same as for the DL, i.e. </w:t>
            </w:r>
            <w:r w:rsidR="00456EAB">
              <w:rPr>
                <w:bCs/>
                <w:lang w:val="en-GB"/>
              </w:rPr>
              <w:t>consider</w:t>
            </w:r>
            <w:r>
              <w:rPr>
                <w:bCs/>
                <w:lang w:val="en-GB"/>
              </w:rPr>
              <w:t xml:space="preserve"> only the UE which are connected to the selected sector</w:t>
            </w:r>
            <w:r w:rsidR="001A1A8A">
              <w:rPr>
                <w:bCs/>
                <w:lang w:val="en-GB"/>
              </w:rPr>
              <w:t xml:space="preserve"> if Single sector is selected</w:t>
            </w:r>
            <w:r>
              <w:rPr>
                <w:bCs/>
                <w:lang w:val="en-GB"/>
              </w:rPr>
              <w:t>.</w:t>
            </w:r>
          </w:p>
          <w:p w:rsidR="009D5618" w:rsidRDefault="009D5618" w:rsidP="009D5618">
            <w:pPr>
              <w:pStyle w:val="Listenabsatz"/>
              <w:ind w:left="0"/>
              <w:rPr>
                <w:bCs/>
                <w:lang w:val="en-GB"/>
              </w:rPr>
            </w:pPr>
          </w:p>
          <w:p w:rsidR="00713A89" w:rsidRDefault="00456EAB" w:rsidP="009D5618">
            <w:pPr>
              <w:pStyle w:val="Listenabsatz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With respect to the cellular systems as victim, the preferred option is to keep the current implementation, </w:t>
            </w:r>
            <w:r w:rsidR="001A1A8A">
              <w:rPr>
                <w:bCs/>
                <w:lang w:val="en-GB"/>
              </w:rPr>
              <w:t xml:space="preserve">i.e. not considering any “Single sector” option, </w:t>
            </w:r>
            <w:r>
              <w:rPr>
                <w:bCs/>
                <w:lang w:val="en-GB"/>
              </w:rPr>
              <w:t xml:space="preserve">even this may sound ‘less flexible’. </w:t>
            </w:r>
          </w:p>
          <w:p w:rsidR="00456EAB" w:rsidRDefault="00713A89" w:rsidP="009D5618">
            <w:pPr>
              <w:pStyle w:val="Listenabsatz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If </w:t>
            </w:r>
            <w:r w:rsidR="00456EAB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“Single sector”</w:t>
            </w:r>
            <w:r>
              <w:rPr>
                <w:bCs/>
                <w:lang w:val="en-GB"/>
              </w:rPr>
              <w:t xml:space="preserve"> is selected on the </w:t>
            </w:r>
            <w:r w:rsidR="00AD7189">
              <w:rPr>
                <w:bCs/>
                <w:lang w:val="en-GB"/>
              </w:rPr>
              <w:t xml:space="preserve">System layout, take the cell site </w:t>
            </w:r>
            <w:r w:rsidR="006347F9">
              <w:rPr>
                <w:bCs/>
                <w:lang w:val="en-GB"/>
              </w:rPr>
              <w:t xml:space="preserve">which </w:t>
            </w:r>
            <w:r w:rsidR="00AD7189">
              <w:rPr>
                <w:bCs/>
                <w:lang w:val="en-GB"/>
              </w:rPr>
              <w:t xml:space="preserve">the sector is part of as reference cell </w:t>
            </w:r>
            <w:r w:rsidR="006347F9">
              <w:rPr>
                <w:bCs/>
                <w:lang w:val="en-GB"/>
              </w:rPr>
              <w:t>(</w:t>
            </w:r>
            <w:r w:rsidR="00AD7189">
              <w:rPr>
                <w:bCs/>
                <w:lang w:val="en-GB"/>
              </w:rPr>
              <w:t>currently implemented, but not shown on the Event Results</w:t>
            </w:r>
            <w:r w:rsidR="006347F9">
              <w:rPr>
                <w:bCs/>
                <w:lang w:val="en-GB"/>
              </w:rPr>
              <w:t>)</w:t>
            </w:r>
            <w:bookmarkStart w:id="0" w:name="_GoBack"/>
            <w:bookmarkEnd w:id="0"/>
            <w:r w:rsidR="00AD7189">
              <w:rPr>
                <w:bCs/>
                <w:lang w:val="en-GB"/>
              </w:rPr>
              <w:t>.</w:t>
            </w:r>
          </w:p>
          <w:p w:rsidR="00AD7189" w:rsidRDefault="00AD7189" w:rsidP="00AD7189">
            <w:pPr>
              <w:pStyle w:val="Listenabsatz"/>
              <w:ind w:left="0"/>
              <w:jc w:val="center"/>
              <w:rPr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314691" cy="1060315"/>
                  <wp:effectExtent l="0" t="0" r="0" b="6985"/>
                  <wp:docPr id="6" name="Grafik 6" descr="C:\Users\karl\AppData\Local\Temp\SNAGHTML34adc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l\AppData\Local\Temp\SNAGHTML34adc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78" cy="107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94F" w:rsidRPr="00E670DA" w:rsidRDefault="00C7494F" w:rsidP="009A22A7">
            <w:pPr>
              <w:rPr>
                <w:bCs/>
                <w:lang w:val="en-GB"/>
              </w:rPr>
            </w:pPr>
          </w:p>
        </w:tc>
      </w:tr>
      <w:tr w:rsidR="00640369" w:rsidRPr="00E670DA" w:rsidTr="008F4A63">
        <w:tc>
          <w:tcPr>
            <w:tcW w:w="9350" w:type="dxa"/>
            <w:shd w:val="clear" w:color="auto" w:fill="D9D9D9" w:themeFill="background1" w:themeFillShade="D9"/>
          </w:tcPr>
          <w:p w:rsidR="00640369" w:rsidRPr="00E670DA" w:rsidRDefault="00640369" w:rsidP="00ED425D">
            <w:pPr>
              <w:ind w:right="-426"/>
              <w:rPr>
                <w:lang w:val="en-GB"/>
              </w:rPr>
            </w:pPr>
            <w:r w:rsidRPr="00E670DA">
              <w:rPr>
                <w:b/>
                <w:bCs/>
                <w:lang w:val="en-GB"/>
              </w:rPr>
              <w:lastRenderedPageBreak/>
              <w:t>Suggested Priority</w:t>
            </w:r>
            <w:r w:rsidR="006E1B59" w:rsidRPr="00E670DA">
              <w:rPr>
                <w:b/>
                <w:bCs/>
                <w:lang w:val="en-GB"/>
              </w:rPr>
              <w:t xml:space="preserve"> (High, Medium or Low)</w:t>
            </w:r>
          </w:p>
        </w:tc>
      </w:tr>
      <w:tr w:rsidR="00640369" w:rsidRPr="00E670DA" w:rsidTr="008F4A63">
        <w:tc>
          <w:tcPr>
            <w:tcW w:w="9350" w:type="dxa"/>
          </w:tcPr>
          <w:p w:rsidR="00640369" w:rsidRPr="00E670DA" w:rsidRDefault="00971D5F" w:rsidP="00B01000">
            <w:pPr>
              <w:ind w:right="-426"/>
              <w:rPr>
                <w:lang w:val="en-GB"/>
              </w:rPr>
            </w:pPr>
            <w:r w:rsidRPr="00E670DA">
              <w:rPr>
                <w:lang w:val="en-GB"/>
              </w:rPr>
              <w:t>Highest</w:t>
            </w:r>
          </w:p>
        </w:tc>
      </w:tr>
    </w:tbl>
    <w:p w:rsidR="00A9446E" w:rsidRPr="00E670DA" w:rsidRDefault="00A9446E">
      <w:pPr>
        <w:ind w:right="-426"/>
        <w:rPr>
          <w:b/>
          <w:bCs/>
          <w:lang w:val="en-GB"/>
        </w:rPr>
      </w:pPr>
    </w:p>
    <w:p w:rsidR="00E35B0D" w:rsidRPr="00E670DA" w:rsidRDefault="00DC3BDD">
      <w:pPr>
        <w:ind w:right="-426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8" name="Rechteck 8" descr="/secure/attachment/12909/12909_image-2018-05-25-12-54-34-7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13FC9" id="Rechteck 8" o:spid="_x0000_s1026" alt="/secure/attachment/12909/12909_image-2018-05-25-12-54-34-77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DC3BD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F08AA94" wp14:editId="057A731D">
                <wp:extent cx="306705" cy="306705"/>
                <wp:effectExtent l="0" t="0" r="0" b="0"/>
                <wp:docPr id="9" name="AutoShape 7" descr="/secure/attachment/12909/12909_image-2018-05-25-12-54-34-7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10385" id="AutoShape 7" o:spid="_x0000_s1026" alt="/secure/attachment/12909/12909_image-2018-05-25-12-54-34-77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</w:p>
    <w:sectPr w:rsidR="00E35B0D" w:rsidRPr="00E670DA" w:rsidSect="00E330E9">
      <w:footerReference w:type="even" r:id="rId18"/>
      <w:footerReference w:type="default" r:id="rId19"/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97" w:rsidRDefault="00B72397">
      <w:r>
        <w:separator/>
      </w:r>
    </w:p>
  </w:endnote>
  <w:endnote w:type="continuationSeparator" w:id="0">
    <w:p w:rsidR="00B72397" w:rsidRDefault="00B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50" w:rsidRDefault="00077F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EBB">
      <w:rPr>
        <w:rStyle w:val="Seitenzahl"/>
        <w:noProof/>
      </w:rPr>
      <w:t>1</w:t>
    </w:r>
    <w:r>
      <w:rPr>
        <w:rStyle w:val="Seitenzahl"/>
      </w:rPr>
      <w:fldChar w:fldCharType="end"/>
    </w:r>
  </w:p>
  <w:p w:rsidR="00077F50" w:rsidRDefault="00077F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E9" w:rsidRDefault="00E330E9" w:rsidP="00E330E9">
    <w:pPr>
      <w:pStyle w:val="Fuzeile"/>
      <w:pBdr>
        <w:bottom w:val="single" w:sz="12" w:space="1" w:color="auto"/>
      </w:pBdr>
      <w:tabs>
        <w:tab w:val="clear" w:pos="4153"/>
        <w:tab w:val="clear" w:pos="8306"/>
        <w:tab w:val="left" w:pos="4500"/>
        <w:tab w:val="right" w:pos="8820"/>
      </w:tabs>
      <w:rPr>
        <w:rFonts w:ascii="Arial" w:hAnsi="Arial" w:cs="Arial"/>
        <w:sz w:val="20"/>
        <w:lang w:val="en-IE"/>
      </w:rPr>
    </w:pPr>
  </w:p>
  <w:p w:rsidR="00077F50" w:rsidRPr="003109E8" w:rsidRDefault="00F75E80" w:rsidP="005971E5">
    <w:pPr>
      <w:pStyle w:val="Fuzeile"/>
      <w:tabs>
        <w:tab w:val="clear" w:pos="4153"/>
        <w:tab w:val="clear" w:pos="8306"/>
        <w:tab w:val="left" w:pos="4500"/>
        <w:tab w:val="right" w:pos="8820"/>
      </w:tabs>
      <w:rPr>
        <w:sz w:val="20"/>
        <w:lang w:val="en-IE"/>
      </w:rPr>
    </w:pPr>
    <w:r>
      <w:rPr>
        <w:bCs/>
        <w:kern w:val="36"/>
        <w:sz w:val="20"/>
      </w:rPr>
      <w:tab/>
    </w:r>
    <w:r>
      <w:rPr>
        <w:bCs/>
        <w:kern w:val="36"/>
        <w:sz w:val="20"/>
      </w:rPr>
      <w:tab/>
    </w:r>
    <w:r w:rsidR="00E330E9" w:rsidRPr="003109E8">
      <w:rPr>
        <w:rStyle w:val="Seitenzahl"/>
        <w:sz w:val="20"/>
      </w:rPr>
      <w:fldChar w:fldCharType="begin"/>
    </w:r>
    <w:r w:rsidR="00E330E9" w:rsidRPr="003109E8">
      <w:rPr>
        <w:rStyle w:val="Seitenzahl"/>
        <w:sz w:val="20"/>
      </w:rPr>
      <w:instrText xml:space="preserve"> PAGE </w:instrText>
    </w:r>
    <w:r w:rsidR="00E330E9" w:rsidRPr="003109E8">
      <w:rPr>
        <w:rStyle w:val="Seitenzahl"/>
        <w:sz w:val="20"/>
      </w:rPr>
      <w:fldChar w:fldCharType="separate"/>
    </w:r>
    <w:r w:rsidR="000F672C">
      <w:rPr>
        <w:rStyle w:val="Seitenzahl"/>
        <w:noProof/>
        <w:sz w:val="20"/>
      </w:rPr>
      <w:t>1</w:t>
    </w:r>
    <w:r w:rsidR="00E330E9" w:rsidRPr="003109E8">
      <w:rPr>
        <w:rStyle w:val="Seitenzahl"/>
        <w:sz w:val="20"/>
      </w:rPr>
      <w:fldChar w:fldCharType="end"/>
    </w:r>
    <w:r w:rsidR="00E330E9" w:rsidRPr="003109E8">
      <w:rPr>
        <w:rStyle w:val="Seitenzahl"/>
        <w:sz w:val="20"/>
      </w:rPr>
      <w:t>/</w:t>
    </w:r>
    <w:r w:rsidR="00E330E9" w:rsidRPr="003109E8">
      <w:rPr>
        <w:rStyle w:val="Seitenzahl"/>
        <w:sz w:val="20"/>
      </w:rPr>
      <w:fldChar w:fldCharType="begin"/>
    </w:r>
    <w:r w:rsidR="00E330E9" w:rsidRPr="003109E8">
      <w:rPr>
        <w:rStyle w:val="Seitenzahl"/>
        <w:sz w:val="20"/>
      </w:rPr>
      <w:instrText xml:space="preserve"> NUMPAGES </w:instrText>
    </w:r>
    <w:r w:rsidR="00E330E9" w:rsidRPr="003109E8">
      <w:rPr>
        <w:rStyle w:val="Seitenzahl"/>
        <w:sz w:val="20"/>
      </w:rPr>
      <w:fldChar w:fldCharType="separate"/>
    </w:r>
    <w:r w:rsidR="000F672C">
      <w:rPr>
        <w:rStyle w:val="Seitenzahl"/>
        <w:noProof/>
        <w:sz w:val="20"/>
      </w:rPr>
      <w:t>1</w:t>
    </w:r>
    <w:r w:rsidR="00E330E9" w:rsidRPr="003109E8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97" w:rsidRDefault="00B72397">
      <w:r>
        <w:separator/>
      </w:r>
    </w:p>
  </w:footnote>
  <w:footnote w:type="continuationSeparator" w:id="0">
    <w:p w:rsidR="00B72397" w:rsidRDefault="00B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9B74C7"/>
    <w:multiLevelType w:val="hybridMultilevel"/>
    <w:tmpl w:val="E90C3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D28F7"/>
    <w:multiLevelType w:val="hybridMultilevel"/>
    <w:tmpl w:val="A988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151"/>
    <w:multiLevelType w:val="hybridMultilevel"/>
    <w:tmpl w:val="FE8CF162"/>
    <w:lvl w:ilvl="0" w:tplc="0809001B">
      <w:start w:val="1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" w:hanging="360"/>
      </w:pPr>
    </w:lvl>
    <w:lvl w:ilvl="2" w:tplc="0407001B">
      <w:start w:val="1"/>
      <w:numFmt w:val="lowerRoman"/>
      <w:lvlText w:val="%3."/>
      <w:lvlJc w:val="right"/>
      <w:pPr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ind w:left="2340" w:hanging="360"/>
      </w:pPr>
    </w:lvl>
    <w:lvl w:ilvl="5" w:tplc="0407001B">
      <w:start w:val="1"/>
      <w:numFmt w:val="lowerRoman"/>
      <w:lvlText w:val="%6."/>
      <w:lvlJc w:val="right"/>
      <w:pPr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41F42"/>
    <w:multiLevelType w:val="hybridMultilevel"/>
    <w:tmpl w:val="01F0A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15C20DDC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F57"/>
    <w:multiLevelType w:val="hybridMultilevel"/>
    <w:tmpl w:val="5066EF38"/>
    <w:lvl w:ilvl="0" w:tplc="B40E1308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42278F"/>
    <w:multiLevelType w:val="hybridMultilevel"/>
    <w:tmpl w:val="CBE25472"/>
    <w:lvl w:ilvl="0" w:tplc="D4B01A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3430"/>
    <w:multiLevelType w:val="hybridMultilevel"/>
    <w:tmpl w:val="3A5A17B4"/>
    <w:lvl w:ilvl="0" w:tplc="15C20DDC">
      <w:start w:val="1"/>
      <w:numFmt w:val="upperRoman"/>
      <w:lvlText w:val="%1."/>
      <w:lvlJc w:val="right"/>
      <w:pPr>
        <w:ind w:left="720" w:hanging="360"/>
      </w:p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E259C3"/>
    <w:multiLevelType w:val="hybridMultilevel"/>
    <w:tmpl w:val="97566322"/>
    <w:lvl w:ilvl="0" w:tplc="0FF0D534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52FF2"/>
    <w:multiLevelType w:val="hybridMultilevel"/>
    <w:tmpl w:val="3DD80466"/>
    <w:lvl w:ilvl="0" w:tplc="1DB27C4A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B1727"/>
    <w:multiLevelType w:val="hybridMultilevel"/>
    <w:tmpl w:val="06983C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B4B"/>
    <w:multiLevelType w:val="hybridMultilevel"/>
    <w:tmpl w:val="78EC95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493FA9"/>
    <w:multiLevelType w:val="hybridMultilevel"/>
    <w:tmpl w:val="E90C3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9B51BEA"/>
    <w:multiLevelType w:val="hybridMultilevel"/>
    <w:tmpl w:val="087E3FD2"/>
    <w:lvl w:ilvl="0" w:tplc="ADB694E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2F45439"/>
    <w:multiLevelType w:val="hybridMultilevel"/>
    <w:tmpl w:val="BA168E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651184"/>
    <w:multiLevelType w:val="hybridMultilevel"/>
    <w:tmpl w:val="17AA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22"/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5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27"/>
  </w:num>
  <w:num w:numId="13">
    <w:abstractNumId w:val="17"/>
  </w:num>
  <w:num w:numId="14">
    <w:abstractNumId w:val="26"/>
  </w:num>
  <w:num w:numId="15">
    <w:abstractNumId w:val="4"/>
  </w:num>
  <w:num w:numId="16">
    <w:abstractNumId w:val="19"/>
  </w:num>
  <w:num w:numId="17">
    <w:abstractNumId w:val="1"/>
  </w:num>
  <w:num w:numId="18">
    <w:abstractNumId w:val="9"/>
  </w:num>
  <w:num w:numId="19">
    <w:abstractNumId w:val="24"/>
  </w:num>
  <w:num w:numId="20">
    <w:abstractNumId w:val="18"/>
  </w:num>
  <w:num w:numId="21">
    <w:abstractNumId w:val="14"/>
  </w:num>
  <w:num w:numId="22">
    <w:abstractNumId w:val="11"/>
  </w:num>
  <w:num w:numId="23">
    <w:abstractNumId w:val="5"/>
  </w:num>
  <w:num w:numId="24">
    <w:abstractNumId w:val="16"/>
  </w:num>
  <w:num w:numId="25">
    <w:abstractNumId w:val="21"/>
  </w:num>
  <w:num w:numId="26">
    <w:abstractNumId w:val="10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B4"/>
    <w:rsid w:val="00001BF7"/>
    <w:rsid w:val="00002E7F"/>
    <w:rsid w:val="0001756C"/>
    <w:rsid w:val="000205E3"/>
    <w:rsid w:val="0002354B"/>
    <w:rsid w:val="00025717"/>
    <w:rsid w:val="00040B69"/>
    <w:rsid w:val="000426C1"/>
    <w:rsid w:val="00073A8E"/>
    <w:rsid w:val="00077F50"/>
    <w:rsid w:val="00090952"/>
    <w:rsid w:val="000A1542"/>
    <w:rsid w:val="000A26DD"/>
    <w:rsid w:val="000A3FA0"/>
    <w:rsid w:val="000B3644"/>
    <w:rsid w:val="000C4962"/>
    <w:rsid w:val="000D6361"/>
    <w:rsid w:val="000D7B9F"/>
    <w:rsid w:val="000F3C66"/>
    <w:rsid w:val="000F672C"/>
    <w:rsid w:val="001001B5"/>
    <w:rsid w:val="00113EF0"/>
    <w:rsid w:val="00115947"/>
    <w:rsid w:val="0012501F"/>
    <w:rsid w:val="00131E78"/>
    <w:rsid w:val="0015179E"/>
    <w:rsid w:val="00153820"/>
    <w:rsid w:val="00165EB6"/>
    <w:rsid w:val="001706A3"/>
    <w:rsid w:val="001708AB"/>
    <w:rsid w:val="0018204E"/>
    <w:rsid w:val="001A0A60"/>
    <w:rsid w:val="001A1A8A"/>
    <w:rsid w:val="001A3C2A"/>
    <w:rsid w:val="001B4A15"/>
    <w:rsid w:val="001B5B01"/>
    <w:rsid w:val="001B6A38"/>
    <w:rsid w:val="001D33CE"/>
    <w:rsid w:val="001D668A"/>
    <w:rsid w:val="001F6CD3"/>
    <w:rsid w:val="00204E3E"/>
    <w:rsid w:val="0021478A"/>
    <w:rsid w:val="00215BDD"/>
    <w:rsid w:val="0021622A"/>
    <w:rsid w:val="00226552"/>
    <w:rsid w:val="0022765D"/>
    <w:rsid w:val="00257D74"/>
    <w:rsid w:val="00261679"/>
    <w:rsid w:val="00267EBB"/>
    <w:rsid w:val="002706B4"/>
    <w:rsid w:val="00275332"/>
    <w:rsid w:val="002836FF"/>
    <w:rsid w:val="002A54ED"/>
    <w:rsid w:val="002B201E"/>
    <w:rsid w:val="002B5308"/>
    <w:rsid w:val="002D6DB4"/>
    <w:rsid w:val="002E4054"/>
    <w:rsid w:val="002F1984"/>
    <w:rsid w:val="002F551A"/>
    <w:rsid w:val="00302323"/>
    <w:rsid w:val="00306A8D"/>
    <w:rsid w:val="0030797A"/>
    <w:rsid w:val="003109E8"/>
    <w:rsid w:val="00323135"/>
    <w:rsid w:val="003238E2"/>
    <w:rsid w:val="00323DB5"/>
    <w:rsid w:val="00337895"/>
    <w:rsid w:val="003540DF"/>
    <w:rsid w:val="003659D9"/>
    <w:rsid w:val="00367A78"/>
    <w:rsid w:val="00372125"/>
    <w:rsid w:val="0037484F"/>
    <w:rsid w:val="003A05E4"/>
    <w:rsid w:val="003A1A16"/>
    <w:rsid w:val="003C7138"/>
    <w:rsid w:val="003D37A2"/>
    <w:rsid w:val="003E2B85"/>
    <w:rsid w:val="003E37BC"/>
    <w:rsid w:val="003F4520"/>
    <w:rsid w:val="0040531C"/>
    <w:rsid w:val="004149E0"/>
    <w:rsid w:val="0041785B"/>
    <w:rsid w:val="0042281B"/>
    <w:rsid w:val="00431E60"/>
    <w:rsid w:val="00434080"/>
    <w:rsid w:val="00456EAB"/>
    <w:rsid w:val="00457E12"/>
    <w:rsid w:val="00464EC2"/>
    <w:rsid w:val="004728F6"/>
    <w:rsid w:val="004747B2"/>
    <w:rsid w:val="00480EB9"/>
    <w:rsid w:val="00484A0D"/>
    <w:rsid w:val="00485A45"/>
    <w:rsid w:val="004A3912"/>
    <w:rsid w:val="004A6333"/>
    <w:rsid w:val="004A74B4"/>
    <w:rsid w:val="004C2A48"/>
    <w:rsid w:val="004C6A7F"/>
    <w:rsid w:val="004E0BC8"/>
    <w:rsid w:val="004F1D6C"/>
    <w:rsid w:val="004F7410"/>
    <w:rsid w:val="00503613"/>
    <w:rsid w:val="005273C6"/>
    <w:rsid w:val="00532241"/>
    <w:rsid w:val="005330A7"/>
    <w:rsid w:val="005364F0"/>
    <w:rsid w:val="00555A85"/>
    <w:rsid w:val="00581E28"/>
    <w:rsid w:val="00590836"/>
    <w:rsid w:val="005971E5"/>
    <w:rsid w:val="005A4932"/>
    <w:rsid w:val="005B3401"/>
    <w:rsid w:val="005C3429"/>
    <w:rsid w:val="005D2B11"/>
    <w:rsid w:val="005E6E0A"/>
    <w:rsid w:val="005E7090"/>
    <w:rsid w:val="005F21E2"/>
    <w:rsid w:val="00625131"/>
    <w:rsid w:val="006347F9"/>
    <w:rsid w:val="00640369"/>
    <w:rsid w:val="00654124"/>
    <w:rsid w:val="00654AD2"/>
    <w:rsid w:val="006624B1"/>
    <w:rsid w:val="00670269"/>
    <w:rsid w:val="006755A9"/>
    <w:rsid w:val="00676739"/>
    <w:rsid w:val="006824F4"/>
    <w:rsid w:val="00683E41"/>
    <w:rsid w:val="006928FB"/>
    <w:rsid w:val="00696959"/>
    <w:rsid w:val="006A608B"/>
    <w:rsid w:val="006B0451"/>
    <w:rsid w:val="006B174F"/>
    <w:rsid w:val="006C498F"/>
    <w:rsid w:val="006C7574"/>
    <w:rsid w:val="006D3FA1"/>
    <w:rsid w:val="006D5D4B"/>
    <w:rsid w:val="006E1B59"/>
    <w:rsid w:val="00713A89"/>
    <w:rsid w:val="007171D3"/>
    <w:rsid w:val="00730215"/>
    <w:rsid w:val="0073305B"/>
    <w:rsid w:val="00735957"/>
    <w:rsid w:val="007363C8"/>
    <w:rsid w:val="00740F4C"/>
    <w:rsid w:val="00744B27"/>
    <w:rsid w:val="00757790"/>
    <w:rsid w:val="00770359"/>
    <w:rsid w:val="00786AB6"/>
    <w:rsid w:val="007922F3"/>
    <w:rsid w:val="00792836"/>
    <w:rsid w:val="00797985"/>
    <w:rsid w:val="007A5373"/>
    <w:rsid w:val="007A6CDA"/>
    <w:rsid w:val="007C433C"/>
    <w:rsid w:val="007D7E7C"/>
    <w:rsid w:val="007E029D"/>
    <w:rsid w:val="007E5E78"/>
    <w:rsid w:val="007F667B"/>
    <w:rsid w:val="00811917"/>
    <w:rsid w:val="00812873"/>
    <w:rsid w:val="00820E6C"/>
    <w:rsid w:val="00822603"/>
    <w:rsid w:val="00823B97"/>
    <w:rsid w:val="00831FBA"/>
    <w:rsid w:val="00844999"/>
    <w:rsid w:val="00850F57"/>
    <w:rsid w:val="00874C0C"/>
    <w:rsid w:val="008A151F"/>
    <w:rsid w:val="008A4E2A"/>
    <w:rsid w:val="008B1ED1"/>
    <w:rsid w:val="008B48A0"/>
    <w:rsid w:val="008D1FDB"/>
    <w:rsid w:val="008D497E"/>
    <w:rsid w:val="008D7C0E"/>
    <w:rsid w:val="008E715E"/>
    <w:rsid w:val="008F0702"/>
    <w:rsid w:val="008F1AE4"/>
    <w:rsid w:val="008F4A63"/>
    <w:rsid w:val="008F52BC"/>
    <w:rsid w:val="00925046"/>
    <w:rsid w:val="009321FA"/>
    <w:rsid w:val="00943398"/>
    <w:rsid w:val="00962533"/>
    <w:rsid w:val="00971D5F"/>
    <w:rsid w:val="0097414E"/>
    <w:rsid w:val="009A22A7"/>
    <w:rsid w:val="009D1957"/>
    <w:rsid w:val="009D5618"/>
    <w:rsid w:val="009E2710"/>
    <w:rsid w:val="009F335F"/>
    <w:rsid w:val="009F4555"/>
    <w:rsid w:val="00A01AAB"/>
    <w:rsid w:val="00A12FA8"/>
    <w:rsid w:val="00A13B2E"/>
    <w:rsid w:val="00A23EAD"/>
    <w:rsid w:val="00A30DBC"/>
    <w:rsid w:val="00A37443"/>
    <w:rsid w:val="00A51536"/>
    <w:rsid w:val="00A60EFB"/>
    <w:rsid w:val="00A64166"/>
    <w:rsid w:val="00A65618"/>
    <w:rsid w:val="00A70CE3"/>
    <w:rsid w:val="00A7320F"/>
    <w:rsid w:val="00A91B9F"/>
    <w:rsid w:val="00A9446E"/>
    <w:rsid w:val="00AB152E"/>
    <w:rsid w:val="00AC69FB"/>
    <w:rsid w:val="00AD1BF6"/>
    <w:rsid w:val="00AD1FE2"/>
    <w:rsid w:val="00AD7189"/>
    <w:rsid w:val="00B00735"/>
    <w:rsid w:val="00B01000"/>
    <w:rsid w:val="00B56934"/>
    <w:rsid w:val="00B576EC"/>
    <w:rsid w:val="00B71D75"/>
    <w:rsid w:val="00B72397"/>
    <w:rsid w:val="00BA142B"/>
    <w:rsid w:val="00BC3C16"/>
    <w:rsid w:val="00BD2606"/>
    <w:rsid w:val="00BD4C40"/>
    <w:rsid w:val="00BD59A7"/>
    <w:rsid w:val="00BE1F50"/>
    <w:rsid w:val="00BE2522"/>
    <w:rsid w:val="00BE26E2"/>
    <w:rsid w:val="00BF6935"/>
    <w:rsid w:val="00C03BA4"/>
    <w:rsid w:val="00C12001"/>
    <w:rsid w:val="00C16BDB"/>
    <w:rsid w:val="00C32384"/>
    <w:rsid w:val="00C34749"/>
    <w:rsid w:val="00C35F80"/>
    <w:rsid w:val="00C4222C"/>
    <w:rsid w:val="00C507C0"/>
    <w:rsid w:val="00C622EB"/>
    <w:rsid w:val="00C71178"/>
    <w:rsid w:val="00C7494F"/>
    <w:rsid w:val="00C86D38"/>
    <w:rsid w:val="00C91869"/>
    <w:rsid w:val="00C97BB7"/>
    <w:rsid w:val="00CA4F21"/>
    <w:rsid w:val="00CA58EA"/>
    <w:rsid w:val="00CC7402"/>
    <w:rsid w:val="00CF3D16"/>
    <w:rsid w:val="00D169F4"/>
    <w:rsid w:val="00D31DF8"/>
    <w:rsid w:val="00D321E6"/>
    <w:rsid w:val="00D32384"/>
    <w:rsid w:val="00D42EE7"/>
    <w:rsid w:val="00D80CC6"/>
    <w:rsid w:val="00DC3BDD"/>
    <w:rsid w:val="00DD0504"/>
    <w:rsid w:val="00DD691A"/>
    <w:rsid w:val="00DD7CA7"/>
    <w:rsid w:val="00DF6CF2"/>
    <w:rsid w:val="00E02F99"/>
    <w:rsid w:val="00E0792A"/>
    <w:rsid w:val="00E15B10"/>
    <w:rsid w:val="00E330E9"/>
    <w:rsid w:val="00E33276"/>
    <w:rsid w:val="00E3483F"/>
    <w:rsid w:val="00E35B0D"/>
    <w:rsid w:val="00E457CA"/>
    <w:rsid w:val="00E512EC"/>
    <w:rsid w:val="00E658A7"/>
    <w:rsid w:val="00E65A9D"/>
    <w:rsid w:val="00E670DA"/>
    <w:rsid w:val="00E84310"/>
    <w:rsid w:val="00E93A32"/>
    <w:rsid w:val="00E942FF"/>
    <w:rsid w:val="00EA46E1"/>
    <w:rsid w:val="00ED425D"/>
    <w:rsid w:val="00ED7D22"/>
    <w:rsid w:val="00EF30B8"/>
    <w:rsid w:val="00F05307"/>
    <w:rsid w:val="00F10033"/>
    <w:rsid w:val="00F17B8F"/>
    <w:rsid w:val="00F222B9"/>
    <w:rsid w:val="00F24FF3"/>
    <w:rsid w:val="00F265D5"/>
    <w:rsid w:val="00F45C14"/>
    <w:rsid w:val="00F47A58"/>
    <w:rsid w:val="00F75E80"/>
    <w:rsid w:val="00F938AA"/>
    <w:rsid w:val="00F9426D"/>
    <w:rsid w:val="00FA4691"/>
    <w:rsid w:val="00FC7348"/>
    <w:rsid w:val="00FD3784"/>
    <w:rsid w:val="00FD4D79"/>
    <w:rsid w:val="00FE3978"/>
    <w:rsid w:val="00FE607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593A27"/>
  <w15:docId w15:val="{27F42E97-C099-4FA8-A559-D65150A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13EF0"/>
    <w:rPr>
      <w:rFonts w:ascii="Calibri" w:hAnsi="Calibri"/>
      <w:sz w:val="22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ELoverskrift3">
    <w:name w:val="ELoverskrift3"/>
    <w:basedOn w:val="Standard"/>
    <w:next w:val="Standard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Tabellenraster">
    <w:name w:val="Table Grid"/>
    <w:basedOn w:val="NormaleTabelle"/>
    <w:rsid w:val="006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">
    <w:name w:val="Char Char Zchn Zchn"/>
    <w:basedOn w:val="Standard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el">
    <w:name w:val="Title"/>
    <w:basedOn w:val="Standard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Standard"/>
    <w:next w:val="Standard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Sprechblasentext">
    <w:name w:val="Balloon Text"/>
    <w:basedOn w:val="Standard"/>
    <w:link w:val="SprechblasentextZchn"/>
    <w:rsid w:val="00662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Kommentarzeichen">
    <w:name w:val="annotation reference"/>
    <w:basedOn w:val="Absatz-Standardschriftart"/>
    <w:rsid w:val="00A944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44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446E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A94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446E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040B6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69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cfl.cept.org/display/SH/7.5.1+Syste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cojira.cept.org/browse/ST-46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amcat@eco.cept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3773-4BAC-4526-9710-C47FE17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4127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SE(13)yxz</vt:lpstr>
      <vt:lpstr>SE(13)yxz</vt:lpstr>
      <vt:lpstr>00XSE(10)</vt:lpstr>
    </vt:vector>
  </TitlesOfParts>
  <Company>ANFR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Stefan Hiensch</dc:creator>
  <cp:lastModifiedBy>karl</cp:lastModifiedBy>
  <cp:revision>34</cp:revision>
  <cp:lastPrinted>2015-02-05T12:40:00Z</cp:lastPrinted>
  <dcterms:created xsi:type="dcterms:W3CDTF">2019-06-24T11:34:00Z</dcterms:created>
  <dcterms:modified xsi:type="dcterms:W3CDTF">2019-06-24T22:58:00Z</dcterms:modified>
</cp:coreProperties>
</file>