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419"/>
        <w:gridCol w:w="3378"/>
      </w:tblGrid>
      <w:tr w:rsidR="00503613" w:rsidRPr="004572E5" w:rsidTr="00640369">
        <w:trPr>
          <w:cantSplit/>
        </w:trPr>
        <w:tc>
          <w:tcPr>
            <w:tcW w:w="6262" w:type="dxa"/>
            <w:gridSpan w:val="2"/>
          </w:tcPr>
          <w:p w:rsidR="00503613" w:rsidRPr="004572E5" w:rsidRDefault="00503613" w:rsidP="008D7C0E">
            <w:pPr>
              <w:ind w:right="282"/>
              <w:rPr>
                <w:b/>
                <w:lang w:val="en-GB" w:eastAsia="de-DE"/>
              </w:rPr>
            </w:pPr>
            <w:bookmarkStart w:id="0" w:name="_GoBack"/>
            <w:bookmarkEnd w:id="0"/>
            <w:r w:rsidRPr="004572E5">
              <w:rPr>
                <w:b/>
                <w:lang w:val="en-GB"/>
              </w:rPr>
              <w:br w:type="page"/>
            </w:r>
            <w:r w:rsidR="00DD7CA7" w:rsidRPr="004572E5">
              <w:rPr>
                <w:b/>
                <w:bCs/>
                <w:noProof/>
                <w:lang w:val="en-GB" w:eastAsia="en-GB" w:bidi="he-IL"/>
              </w:rPr>
              <w:drawing>
                <wp:inline distT="0" distB="0" distL="0" distR="0" wp14:anchorId="64092053" wp14:editId="4D2A01E5">
                  <wp:extent cx="1621790" cy="83693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73305B" w:rsidRPr="004572E5" w:rsidRDefault="0073305B" w:rsidP="00C91869">
            <w:pPr>
              <w:ind w:right="110"/>
              <w:jc w:val="right"/>
              <w:rPr>
                <w:b/>
                <w:lang w:val="en-GB" w:eastAsia="de-DE"/>
              </w:rPr>
            </w:pPr>
          </w:p>
        </w:tc>
      </w:tr>
      <w:tr w:rsidR="00503613" w:rsidRPr="004572E5" w:rsidTr="00640369">
        <w:trPr>
          <w:trHeight w:val="567"/>
        </w:trPr>
        <w:tc>
          <w:tcPr>
            <w:tcW w:w="6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5971E5" w:rsidP="00367A78">
            <w:pPr>
              <w:pStyle w:val="Heading4"/>
              <w:ind w:right="-321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4572E5">
              <w:rPr>
                <w:rFonts w:ascii="Times New Roman" w:hAnsi="Times New Roman"/>
                <w:color w:val="808080"/>
                <w:sz w:val="28"/>
                <w:szCs w:val="28"/>
              </w:rPr>
              <w:t>SEAMCAT Technical Group (STG)</w:t>
            </w:r>
          </w:p>
          <w:p w:rsidR="00CA58EA" w:rsidRPr="004572E5" w:rsidRDefault="00CA58EA" w:rsidP="00CA58EA">
            <w:pPr>
              <w:rPr>
                <w:lang w:val="en-GB" w:eastAsia="de-DE"/>
              </w:rPr>
            </w:pPr>
          </w:p>
          <w:p w:rsidR="00CA58EA" w:rsidRPr="004572E5" w:rsidRDefault="00CA58EA" w:rsidP="00CA58EA">
            <w:pPr>
              <w:rPr>
                <w:lang w:val="en-GB" w:eastAsia="de-DE"/>
              </w:rPr>
            </w:pPr>
            <w:r w:rsidRPr="004572E5">
              <w:rPr>
                <w:lang w:val="en-GB" w:eastAsia="de-DE"/>
              </w:rPr>
              <w:t xml:space="preserve">Send to: </w:t>
            </w:r>
            <w:hyperlink r:id="rId9" w:history="1">
              <w:r w:rsidRPr="004572E5">
                <w:rPr>
                  <w:rStyle w:val="Hyperlink"/>
                  <w:lang w:val="en-GB" w:eastAsia="de-DE"/>
                </w:rPr>
                <w:t>seamcat@eco.cept.org</w:t>
              </w:r>
            </w:hyperlink>
            <w:r w:rsidRPr="004572E5">
              <w:rPr>
                <w:lang w:val="en-GB" w:eastAsia="de-DE"/>
              </w:rPr>
              <w:t xml:space="preserve"> </w:t>
            </w:r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4572E5" w:rsidRDefault="006928FB" w:rsidP="006928FB">
            <w:pPr>
              <w:rPr>
                <w:lang w:val="en-GB" w:eastAsia="de-DE"/>
              </w:rPr>
            </w:pPr>
          </w:p>
        </w:tc>
      </w:tr>
      <w:tr w:rsidR="00503613" w:rsidRPr="004572E5" w:rsidTr="00640369">
        <w:tc>
          <w:tcPr>
            <w:tcW w:w="62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B0D99" w:rsidRDefault="00503613" w:rsidP="00367A78">
            <w:pPr>
              <w:pStyle w:val="Heading4"/>
              <w:ind w:right="-321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503613" w:rsidP="00367A78">
            <w:pPr>
              <w:pStyle w:val="Heading4"/>
              <w:ind w:right="-32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4572E5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6928FB" w:rsidP="0073305B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572E5">
              <w:rPr>
                <w:rFonts w:ascii="Times New Roman" w:hAnsi="Times New Roman"/>
                <w:szCs w:val="24"/>
              </w:rPr>
              <w:t>Date issued:</w:t>
            </w:r>
            <w:r w:rsidR="0073305B" w:rsidRPr="004572E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4B0D99" w:rsidP="00113EF0">
            <w:pPr>
              <w:rPr>
                <w:lang w:val="en-GB"/>
              </w:rPr>
            </w:pPr>
            <w:r>
              <w:rPr>
                <w:lang w:val="en-GB"/>
              </w:rPr>
              <w:t>02</w:t>
            </w:r>
            <w:r w:rsidR="00EE7486">
              <w:rPr>
                <w:lang w:val="en-GB"/>
              </w:rPr>
              <w:t>.1</w:t>
            </w:r>
            <w:r>
              <w:rPr>
                <w:lang w:val="en-GB"/>
              </w:rPr>
              <w:t>2</w:t>
            </w:r>
            <w:r w:rsidR="00EE7486">
              <w:rPr>
                <w:lang w:val="en-GB"/>
              </w:rPr>
              <w:t>.2019</w:t>
            </w:r>
          </w:p>
        </w:tc>
      </w:tr>
      <w:tr w:rsidR="00503613" w:rsidRPr="004572E5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6928FB" w:rsidP="0037484F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572E5">
              <w:rPr>
                <w:rFonts w:ascii="Times New Roman" w:hAnsi="Times New Roman"/>
                <w:szCs w:val="24"/>
              </w:rPr>
              <w:t>Source: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4572E5" w:rsidRDefault="004B0D99" w:rsidP="007A6CDA">
            <w:pPr>
              <w:rPr>
                <w:lang w:val="en-GB"/>
              </w:rPr>
            </w:pPr>
            <w:r>
              <w:rPr>
                <w:lang w:val="en-GB"/>
              </w:rPr>
              <w:t>Ericsson</w:t>
            </w:r>
            <w:r w:rsidR="008F6E8D">
              <w:rPr>
                <w:lang w:val="en-GB"/>
              </w:rPr>
              <w:t xml:space="preserve"> AB</w:t>
            </w:r>
          </w:p>
        </w:tc>
      </w:tr>
      <w:tr w:rsidR="009F4555" w:rsidRPr="004572E5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4572E5" w:rsidRDefault="009F4555" w:rsidP="0037484F">
            <w:pPr>
              <w:pStyle w:val="Heading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572E5">
              <w:rPr>
                <w:rFonts w:ascii="Times New Roman" w:hAnsi="Times New Roman"/>
                <w:szCs w:val="24"/>
              </w:rPr>
              <w:t>Subject: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4572E5" w:rsidRDefault="004B0D99" w:rsidP="007A6CDA">
            <w:pPr>
              <w:rPr>
                <w:lang w:val="en-GB"/>
              </w:rPr>
            </w:pPr>
            <w:r>
              <w:rPr>
                <w:lang w:val="en-GB"/>
              </w:rPr>
              <w:t>Add user interface for body loss</w:t>
            </w:r>
            <w:r w:rsidR="00A143EF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feeder loss in 3GPP cellular systems</w:t>
            </w:r>
          </w:p>
        </w:tc>
      </w:tr>
    </w:tbl>
    <w:p w:rsidR="00077F50" w:rsidRPr="004572E5" w:rsidRDefault="00077F50">
      <w:pPr>
        <w:ind w:right="-426"/>
        <w:rPr>
          <w:b/>
          <w:bCs/>
          <w:lang w:val="en-GB"/>
        </w:rPr>
      </w:pPr>
    </w:p>
    <w:p w:rsidR="00A9446E" w:rsidRPr="004572E5" w:rsidRDefault="00A9446E">
      <w:pPr>
        <w:ind w:right="-426"/>
        <w:rPr>
          <w:b/>
          <w:bCs/>
          <w:lang w:val="en-GB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350"/>
      </w:tblGrid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 w:rsidP="00ED425D">
            <w:pPr>
              <w:ind w:right="-426"/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>Type of report</w:t>
            </w:r>
            <w:r w:rsidRPr="004572E5">
              <w:rPr>
                <w:lang w:val="en-GB"/>
              </w:rPr>
              <w:t xml:space="preserve"> </w:t>
            </w:r>
            <w:r w:rsidR="006E1B59" w:rsidRPr="004572E5">
              <w:rPr>
                <w:lang w:val="en-GB"/>
              </w:rPr>
              <w:t>(Bug, Enhancement or New Feature)</w:t>
            </w:r>
          </w:p>
        </w:tc>
      </w:tr>
      <w:tr w:rsidR="00640369" w:rsidRPr="004572E5" w:rsidTr="008F4A63">
        <w:tc>
          <w:tcPr>
            <w:tcW w:w="9350" w:type="dxa"/>
          </w:tcPr>
          <w:p w:rsidR="00640369" w:rsidRPr="004572E5" w:rsidRDefault="004B0D99">
            <w:pPr>
              <w:ind w:right="-426"/>
              <w:rPr>
                <w:lang w:val="en-GB"/>
              </w:rPr>
            </w:pPr>
            <w:r>
              <w:rPr>
                <w:lang w:val="en-GB"/>
              </w:rPr>
              <w:t>Enhancement</w:t>
            </w:r>
          </w:p>
        </w:tc>
      </w:tr>
      <w:tr w:rsidR="006E1B5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E1B59" w:rsidRPr="004572E5" w:rsidRDefault="006E1B59" w:rsidP="00ED425D">
            <w:pPr>
              <w:ind w:right="-426"/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>Issue ID</w:t>
            </w:r>
          </w:p>
        </w:tc>
      </w:tr>
      <w:tr w:rsidR="006E1B59" w:rsidRPr="004572E5" w:rsidTr="008F4A63">
        <w:tc>
          <w:tcPr>
            <w:tcW w:w="9350" w:type="dxa"/>
            <w:shd w:val="clear" w:color="auto" w:fill="auto"/>
          </w:tcPr>
          <w:p w:rsidR="006E1B59" w:rsidRPr="004572E5" w:rsidRDefault="006E1B59" w:rsidP="00ED425D">
            <w:pPr>
              <w:ind w:right="-426"/>
              <w:rPr>
                <w:lang w:val="en-GB"/>
              </w:rPr>
            </w:pP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757790" w:rsidP="00ED425D">
            <w:pPr>
              <w:ind w:right="-426"/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>SEAMCAT ve</w:t>
            </w:r>
            <w:r w:rsidR="00640369" w:rsidRPr="004572E5">
              <w:rPr>
                <w:b/>
                <w:bCs/>
                <w:lang w:val="en-GB"/>
              </w:rPr>
              <w:t xml:space="preserve">rsion </w:t>
            </w:r>
          </w:p>
        </w:tc>
      </w:tr>
      <w:tr w:rsidR="00640369" w:rsidRPr="004572E5" w:rsidTr="008F4A63">
        <w:tc>
          <w:tcPr>
            <w:tcW w:w="9350" w:type="dxa"/>
          </w:tcPr>
          <w:p w:rsidR="00640369" w:rsidRPr="004572E5" w:rsidRDefault="00BE26E2" w:rsidP="00640369">
            <w:pPr>
              <w:ind w:right="-426"/>
              <w:rPr>
                <w:lang w:val="en-GB"/>
              </w:rPr>
            </w:pPr>
            <w:r w:rsidRPr="004572E5">
              <w:rPr>
                <w:lang w:val="en-GB"/>
              </w:rPr>
              <w:t>5.3</w:t>
            </w:r>
            <w:r w:rsidR="00113EF0" w:rsidRPr="004572E5">
              <w:rPr>
                <w:lang w:val="en-GB"/>
              </w:rPr>
              <w:t>.</w:t>
            </w:r>
            <w:r w:rsidR="00A53EF7" w:rsidRPr="004572E5">
              <w:rPr>
                <w:lang w:val="en-GB"/>
              </w:rPr>
              <w:t xml:space="preserve">1 </w:t>
            </w: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 w:rsidP="000205E3">
            <w:pPr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 xml:space="preserve">SEAMCAT </w:t>
            </w:r>
            <w:r w:rsidR="004A6333" w:rsidRPr="004572E5">
              <w:rPr>
                <w:b/>
                <w:bCs/>
                <w:lang w:val="en-GB"/>
              </w:rPr>
              <w:t>c</w:t>
            </w:r>
            <w:r w:rsidRPr="004572E5">
              <w:rPr>
                <w:b/>
                <w:bCs/>
                <w:lang w:val="en-GB"/>
              </w:rPr>
              <w:t>omponent</w:t>
            </w:r>
            <w:r w:rsidRPr="004572E5">
              <w:rPr>
                <w:lang w:val="en-GB"/>
              </w:rPr>
              <w:t xml:space="preserve"> </w:t>
            </w:r>
            <w:r w:rsidR="004A6333" w:rsidRPr="004572E5">
              <w:rPr>
                <w:b/>
                <w:bCs/>
                <w:lang w:val="en-GB"/>
              </w:rPr>
              <w:t>i</w:t>
            </w:r>
            <w:r w:rsidRPr="004572E5">
              <w:rPr>
                <w:b/>
                <w:bCs/>
                <w:lang w:val="en-GB"/>
              </w:rPr>
              <w:t>nvolved</w:t>
            </w:r>
          </w:p>
        </w:tc>
      </w:tr>
      <w:tr w:rsidR="00640369" w:rsidRPr="004572E5" w:rsidTr="008F4A63">
        <w:tc>
          <w:tcPr>
            <w:tcW w:w="9350" w:type="dxa"/>
          </w:tcPr>
          <w:p w:rsidR="00040B69" w:rsidRPr="004572E5" w:rsidRDefault="00A143EF" w:rsidP="00A9446E">
            <w:pPr>
              <w:rPr>
                <w:lang w:val="en-GB"/>
              </w:rPr>
            </w:pPr>
            <w:r>
              <w:rPr>
                <w:lang w:val="en-GB"/>
              </w:rPr>
              <w:t>Cellular 3GPP components</w:t>
            </w:r>
            <w:r w:rsidR="007D4160">
              <w:rPr>
                <w:lang w:val="en-GB"/>
              </w:rPr>
              <w:t xml:space="preserve"> and generic module</w:t>
            </w: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>
            <w:pPr>
              <w:ind w:right="-426"/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>Background information, reference documents and related tickets</w:t>
            </w:r>
          </w:p>
        </w:tc>
      </w:tr>
      <w:tr w:rsidR="00640369" w:rsidRPr="004572E5" w:rsidTr="008F4A63">
        <w:tc>
          <w:tcPr>
            <w:tcW w:w="9350" w:type="dxa"/>
          </w:tcPr>
          <w:p w:rsidR="00A143EF" w:rsidRPr="0086769C" w:rsidRDefault="0086769C" w:rsidP="008B38CF">
            <w:pPr>
              <w:rPr>
                <w:lang w:val="en-GB"/>
              </w:rPr>
            </w:pPr>
            <w:r w:rsidRPr="0086769C">
              <w:rPr>
                <w:bCs/>
                <w:lang w:val="en-GB"/>
              </w:rPr>
              <w:t xml:space="preserve">The body loss and feeder loss are parameters which are defined in </w:t>
            </w:r>
            <w:r w:rsidRPr="0086769C">
              <w:rPr>
                <w:lang w:val="en-GB"/>
              </w:rPr>
              <w:t>ITU-R M.2292. In the current SEAMCAT version user interface</w:t>
            </w:r>
            <w:r>
              <w:rPr>
                <w:lang w:val="en-GB"/>
              </w:rPr>
              <w:t>s</w:t>
            </w:r>
            <w:r w:rsidRPr="0086769C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order to</w:t>
            </w:r>
            <w:r w:rsidRPr="0086769C">
              <w:rPr>
                <w:lang w:val="en-GB"/>
              </w:rPr>
              <w:t xml:space="preserve"> direct</w:t>
            </w:r>
            <w:r>
              <w:rPr>
                <w:lang w:val="en-GB"/>
              </w:rPr>
              <w:t>ly</w:t>
            </w:r>
            <w:r w:rsidRPr="0086769C">
              <w:rPr>
                <w:lang w:val="en-GB"/>
              </w:rPr>
              <w:t xml:space="preserve"> input these parameters are missing</w:t>
            </w:r>
            <w:r>
              <w:rPr>
                <w:lang w:val="en-GB"/>
              </w:rPr>
              <w:t xml:space="preserve">. </w:t>
            </w:r>
          </w:p>
          <w:p w:rsidR="006E1B59" w:rsidRPr="0086769C" w:rsidRDefault="0086769C" w:rsidP="008B38CF">
            <w:pPr>
              <w:rPr>
                <w:lang w:val="en-GB"/>
              </w:rPr>
            </w:pPr>
            <w:r>
              <w:rPr>
                <w:lang w:val="en-GB"/>
              </w:rPr>
              <w:t>Th</w:t>
            </w:r>
            <w:r w:rsidR="008F6E8D">
              <w:rPr>
                <w:lang w:val="en-GB"/>
              </w:rPr>
              <w:t>is is a problem and</w:t>
            </w:r>
            <w:r>
              <w:rPr>
                <w:lang w:val="en-GB"/>
              </w:rPr>
              <w:t xml:space="preserve"> can lead to wrong settings when people use SEAMCAT with these parameters</w:t>
            </w:r>
            <w:r w:rsidR="008F6E8D">
              <w:rPr>
                <w:lang w:val="en-GB"/>
              </w:rPr>
              <w:t>.</w:t>
            </w:r>
          </w:p>
          <w:p w:rsidR="00A143EF" w:rsidRPr="004572E5" w:rsidRDefault="00A143EF" w:rsidP="008B38CF">
            <w:pPr>
              <w:rPr>
                <w:lang w:val="en-GB"/>
              </w:rPr>
            </w:pP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 w:rsidP="00ED425D">
            <w:pPr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t>Description of the issue</w:t>
            </w:r>
          </w:p>
        </w:tc>
      </w:tr>
      <w:tr w:rsidR="008F4A63" w:rsidRPr="004572E5" w:rsidTr="008F4A63">
        <w:trPr>
          <w:trHeight w:val="826"/>
        </w:trPr>
        <w:tc>
          <w:tcPr>
            <w:tcW w:w="9350" w:type="dxa"/>
          </w:tcPr>
          <w:p w:rsidR="004B0D99" w:rsidRDefault="0086769C" w:rsidP="009321FA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 the current SEAMCAT version there is a message that the feeder loss for non-AAS antennas should be considered at the BS max transmit power as shown in the figure below</w:t>
            </w:r>
            <w:r w:rsidR="0042165D">
              <w:rPr>
                <w:bCs/>
                <w:lang w:val="en-GB"/>
              </w:rPr>
              <w:t xml:space="preserve">. For the UE this information can be even misleading. </w:t>
            </w:r>
          </w:p>
          <w:p w:rsidR="009633A2" w:rsidRDefault="004B0D99" w:rsidP="009633A2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9D27D0" wp14:editId="770EF87A">
                  <wp:extent cx="2326943" cy="12181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310" cy="125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165D">
              <w:rPr>
                <w:lang w:val="en-GB"/>
              </w:rPr>
              <w:t xml:space="preserve"> </w:t>
            </w:r>
            <w:r w:rsidR="0042165D">
              <w:rPr>
                <w:noProof/>
              </w:rPr>
              <w:drawing>
                <wp:inline distT="0" distB="0" distL="0" distR="0" wp14:anchorId="2B13F6E5" wp14:editId="1216C986">
                  <wp:extent cx="3018407" cy="9542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945" cy="101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D99" w:rsidRDefault="004B0D99" w:rsidP="009633A2">
            <w:pPr>
              <w:rPr>
                <w:lang w:val="en-GB"/>
              </w:rPr>
            </w:pPr>
          </w:p>
          <w:p w:rsidR="0086769C" w:rsidRDefault="0086769C" w:rsidP="009633A2">
            <w:pPr>
              <w:rPr>
                <w:lang w:val="en-GB"/>
              </w:rPr>
            </w:pPr>
            <w:r>
              <w:rPr>
                <w:lang w:val="en-GB"/>
              </w:rPr>
              <w:t xml:space="preserve">This even with the </w:t>
            </w:r>
            <w:r w:rsidR="008F6E8D">
              <w:rPr>
                <w:lang w:val="en-GB"/>
              </w:rPr>
              <w:t xml:space="preserve">information </w:t>
            </w:r>
            <w:r>
              <w:rPr>
                <w:lang w:val="en-GB"/>
              </w:rPr>
              <w:t xml:space="preserve">message can lead to wrong settings as people may add the feeder loss to the antenna gain. To avoid this </w:t>
            </w:r>
            <w:proofErr w:type="gramStart"/>
            <w:r>
              <w:rPr>
                <w:lang w:val="en-GB"/>
              </w:rPr>
              <w:t>and also</w:t>
            </w:r>
            <w:proofErr w:type="gramEnd"/>
            <w:r>
              <w:rPr>
                <w:lang w:val="en-GB"/>
              </w:rPr>
              <w:t xml:space="preserve"> to include body loss when simulating non-AAS systems separate selectable inputs for feeder loss and body loss needs to be added in SEAMCAT.</w:t>
            </w:r>
          </w:p>
          <w:p w:rsidR="0086769C" w:rsidRDefault="0086769C" w:rsidP="0086769C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The standard setting could be 0 dB</w:t>
            </w:r>
          </w:p>
          <w:p w:rsidR="006C2495" w:rsidRDefault="006C2495" w:rsidP="0086769C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The losses shall be added to the BS and UE output power</w:t>
            </w:r>
            <w:r w:rsidR="006A4F90">
              <w:rPr>
                <w:lang w:val="en-GB"/>
              </w:rPr>
              <w:t xml:space="preserve"> within the programme</w:t>
            </w:r>
            <w:r>
              <w:rPr>
                <w:lang w:val="en-GB"/>
              </w:rPr>
              <w:t xml:space="preserve">. </w:t>
            </w:r>
            <w:r w:rsidR="006A4F90">
              <w:rPr>
                <w:lang w:val="en-GB"/>
              </w:rPr>
              <w:t>This is also indicated in the “i” sign which can then be removed</w:t>
            </w:r>
          </w:p>
          <w:p w:rsidR="006C2495" w:rsidRPr="0086769C" w:rsidRDefault="006C2495" w:rsidP="0086769C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the feeder loss and body loss </w:t>
            </w:r>
            <w:proofErr w:type="gramStart"/>
            <w:r>
              <w:rPr>
                <w:lang w:val="en-GB"/>
              </w:rPr>
              <w:t>have to</w:t>
            </w:r>
            <w:proofErr w:type="gramEnd"/>
            <w:r>
              <w:rPr>
                <w:lang w:val="en-GB"/>
              </w:rPr>
              <w:t xml:space="preserve"> be understood for non/AAS and AAS systems and also UEs will be described in the SEAMCAT helpfile with typical settings as examples.</w:t>
            </w:r>
          </w:p>
          <w:p w:rsidR="0086769C" w:rsidRDefault="0042165D" w:rsidP="009633A2">
            <w:pPr>
              <w:rPr>
                <w:lang w:val="en-GB"/>
              </w:rPr>
            </w:pPr>
            <w:r>
              <w:rPr>
                <w:lang w:val="en-GB"/>
              </w:rPr>
              <w:t>Examples on how</w:t>
            </w:r>
            <w:r w:rsidR="006A4F90">
              <w:rPr>
                <w:lang w:val="en-GB"/>
              </w:rPr>
              <w:t xml:space="preserve"> and where</w:t>
            </w:r>
            <w:r>
              <w:rPr>
                <w:lang w:val="en-GB"/>
              </w:rPr>
              <w:t xml:space="preserve"> the </w:t>
            </w:r>
            <w:r w:rsidR="006A4F90">
              <w:rPr>
                <w:lang w:val="en-GB"/>
              </w:rPr>
              <w:t>new additional inputs</w:t>
            </w:r>
            <w:r>
              <w:rPr>
                <w:lang w:val="en-GB"/>
              </w:rPr>
              <w:t xml:space="preserve"> could be implemented for the non-AAS (AAS) </w:t>
            </w:r>
            <w:r w:rsidR="00436A94">
              <w:rPr>
                <w:lang w:val="en-GB"/>
              </w:rPr>
              <w:t>cellular 3GPP components are given below.</w:t>
            </w:r>
            <w:r w:rsidR="0086769C">
              <w:rPr>
                <w:lang w:val="en-GB"/>
              </w:rPr>
              <w:t xml:space="preserve"> </w:t>
            </w:r>
          </w:p>
          <w:p w:rsidR="0086769C" w:rsidRDefault="0086769C" w:rsidP="009633A2">
            <w:pPr>
              <w:rPr>
                <w:lang w:val="en-GB"/>
              </w:rPr>
            </w:pPr>
          </w:p>
          <w:p w:rsidR="0086769C" w:rsidRDefault="006E6EE3" w:rsidP="009633A2">
            <w:pPr>
              <w:rPr>
                <w:lang w:val="en-GB"/>
              </w:rPr>
            </w:pPr>
            <w:r>
              <w:rPr>
                <w:lang w:val="en-GB"/>
              </w:rPr>
              <w:t>For the DL</w:t>
            </w:r>
            <w:r w:rsidR="006C2495">
              <w:rPr>
                <w:lang w:val="en-GB"/>
              </w:rPr>
              <w:t xml:space="preserve"> in the 3GPP cellular components:</w:t>
            </w:r>
          </w:p>
          <w:p w:rsidR="006E6EE3" w:rsidRDefault="005D6AA7" w:rsidP="00950280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2DC2C14" wp14:editId="715E2C38">
                  <wp:extent cx="2766072" cy="113834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72" cy="116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2657">
              <w:rPr>
                <w:noProof/>
              </w:rPr>
              <w:drawing>
                <wp:inline distT="0" distB="0" distL="0" distR="0" wp14:anchorId="27C9E77C" wp14:editId="63EE7F57">
                  <wp:extent cx="5155396" cy="2183332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911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AA7" w:rsidRDefault="005D6AA7" w:rsidP="009633A2">
            <w:pPr>
              <w:rPr>
                <w:lang w:val="en-GB"/>
              </w:rPr>
            </w:pPr>
          </w:p>
          <w:p w:rsidR="004B0D99" w:rsidRPr="006C2495" w:rsidRDefault="006C2495" w:rsidP="009633A2">
            <w:pPr>
              <w:rPr>
                <w:lang w:val="en-GB"/>
              </w:rPr>
            </w:pPr>
            <w:r>
              <w:rPr>
                <w:lang w:val="en-GB"/>
              </w:rPr>
              <w:t>For the UL in the 3GPP cellular components:</w:t>
            </w:r>
          </w:p>
          <w:p w:rsidR="0061089D" w:rsidRDefault="0061089D" w:rsidP="009321FA">
            <w:pPr>
              <w:rPr>
                <w:bCs/>
                <w:szCs w:val="22"/>
                <w:lang w:val="en-GB"/>
              </w:rPr>
            </w:pPr>
          </w:p>
          <w:p w:rsidR="005D6AA7" w:rsidRDefault="00950280" w:rsidP="00950280">
            <w:pPr>
              <w:jc w:val="center"/>
              <w:rPr>
                <w:bCs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08CA27" wp14:editId="71F0F163">
                  <wp:extent cx="3810690" cy="196519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18" cy="200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280" w:rsidRDefault="00950280" w:rsidP="00950280">
            <w:pPr>
              <w:jc w:val="center"/>
              <w:rPr>
                <w:bCs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4BA4B8F" wp14:editId="4C2AC965">
                  <wp:extent cx="5178142" cy="2179688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510" cy="21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4B4" w:rsidRPr="004572E5" w:rsidRDefault="000074B4" w:rsidP="009321FA">
            <w:pPr>
              <w:rPr>
                <w:bCs/>
                <w:szCs w:val="22"/>
                <w:lang w:val="en-GB"/>
              </w:rPr>
            </w:pP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 w:rsidP="00640369">
            <w:pPr>
              <w:shd w:val="clear" w:color="auto" w:fill="D9D9D9" w:themeFill="background1" w:themeFillShade="D9"/>
              <w:rPr>
                <w:b/>
                <w:bCs/>
                <w:lang w:val="en-GB"/>
              </w:rPr>
            </w:pPr>
            <w:r w:rsidRPr="004572E5">
              <w:rPr>
                <w:b/>
                <w:bCs/>
                <w:lang w:val="en-GB"/>
              </w:rPr>
              <w:lastRenderedPageBreak/>
              <w:t>Proposal</w:t>
            </w:r>
          </w:p>
        </w:tc>
      </w:tr>
      <w:tr w:rsidR="00640369" w:rsidRPr="004572E5" w:rsidTr="008F4A63">
        <w:tc>
          <w:tcPr>
            <w:tcW w:w="9350" w:type="dxa"/>
          </w:tcPr>
          <w:p w:rsidR="00BD59A7" w:rsidRPr="004572E5" w:rsidRDefault="00A143EF" w:rsidP="009A22A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 xml:space="preserve">Add user interface </w:t>
            </w:r>
            <w:r w:rsidR="00436A94">
              <w:rPr>
                <w:bCs/>
                <w:lang w:val="en-GB"/>
              </w:rPr>
              <w:t>for</w:t>
            </w:r>
            <w:r>
              <w:rPr>
                <w:bCs/>
                <w:lang w:val="en-GB"/>
              </w:rPr>
              <w:t xml:space="preserve"> body loss and feeder loss for </w:t>
            </w:r>
            <w:r w:rsidR="00436A94">
              <w:rPr>
                <w:bCs/>
                <w:lang w:val="en-GB"/>
              </w:rPr>
              <w:t xml:space="preserve">the </w:t>
            </w:r>
            <w:r>
              <w:rPr>
                <w:bCs/>
                <w:lang w:val="en-GB"/>
              </w:rPr>
              <w:t>3GPP cellular components</w:t>
            </w:r>
            <w:r w:rsidR="00436A94">
              <w:rPr>
                <w:bCs/>
                <w:lang w:val="en-GB"/>
              </w:rPr>
              <w:t xml:space="preserve"> </w:t>
            </w:r>
            <w:r w:rsidR="008F6E8D">
              <w:rPr>
                <w:bCs/>
                <w:lang w:val="en-GB"/>
              </w:rPr>
              <w:t xml:space="preserve">and generic module </w:t>
            </w:r>
            <w:r w:rsidR="00436A94">
              <w:rPr>
                <w:bCs/>
                <w:lang w:val="en-GB"/>
              </w:rPr>
              <w:t>in SEAMCAT</w:t>
            </w:r>
          </w:p>
        </w:tc>
      </w:tr>
      <w:tr w:rsidR="00640369" w:rsidRPr="004572E5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4572E5" w:rsidRDefault="00640369" w:rsidP="00ED425D">
            <w:pPr>
              <w:ind w:right="-426"/>
              <w:rPr>
                <w:lang w:val="en-GB"/>
              </w:rPr>
            </w:pPr>
            <w:r w:rsidRPr="004572E5">
              <w:rPr>
                <w:b/>
                <w:bCs/>
                <w:lang w:val="en-GB"/>
              </w:rPr>
              <w:t>Suggested Priority</w:t>
            </w:r>
            <w:r w:rsidR="006E1B59" w:rsidRPr="004572E5">
              <w:rPr>
                <w:b/>
                <w:bCs/>
                <w:lang w:val="en-GB"/>
              </w:rPr>
              <w:t xml:space="preserve"> (High, Medium or Low)</w:t>
            </w:r>
          </w:p>
        </w:tc>
      </w:tr>
      <w:tr w:rsidR="00640369" w:rsidRPr="004572E5" w:rsidTr="008F4A63">
        <w:tc>
          <w:tcPr>
            <w:tcW w:w="9350" w:type="dxa"/>
          </w:tcPr>
          <w:p w:rsidR="00640369" w:rsidRPr="004572E5" w:rsidRDefault="00971D5F" w:rsidP="00B01000">
            <w:pPr>
              <w:ind w:right="-426"/>
              <w:rPr>
                <w:lang w:val="en-GB"/>
              </w:rPr>
            </w:pPr>
            <w:r w:rsidRPr="004572E5">
              <w:rPr>
                <w:lang w:val="en-GB"/>
              </w:rPr>
              <w:t>High</w:t>
            </w:r>
          </w:p>
        </w:tc>
      </w:tr>
    </w:tbl>
    <w:p w:rsidR="00A9446E" w:rsidRPr="004572E5" w:rsidRDefault="00A9446E">
      <w:pPr>
        <w:ind w:right="-426"/>
        <w:rPr>
          <w:b/>
          <w:bCs/>
          <w:lang w:val="en-GB"/>
        </w:rPr>
      </w:pPr>
    </w:p>
    <w:p w:rsidR="00E35B0D" w:rsidRPr="004572E5" w:rsidRDefault="00E35B0D">
      <w:pPr>
        <w:ind w:right="-426"/>
        <w:rPr>
          <w:b/>
          <w:bCs/>
          <w:lang w:val="en-GB"/>
        </w:rPr>
      </w:pPr>
    </w:p>
    <w:sectPr w:rsidR="00E35B0D" w:rsidRPr="004572E5" w:rsidSect="00E330E9">
      <w:footerReference w:type="even" r:id="rId16"/>
      <w:footerReference w:type="default" r:id="rId17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E1" w:rsidRDefault="00F77EE1">
      <w:r>
        <w:separator/>
      </w:r>
    </w:p>
  </w:endnote>
  <w:endnote w:type="continuationSeparator" w:id="0">
    <w:p w:rsidR="00F77EE1" w:rsidRDefault="00F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50" w:rsidRDefault="00077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EBB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F50" w:rsidRDefault="00077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E9" w:rsidRDefault="00E330E9" w:rsidP="00E330E9">
    <w:pPr>
      <w:pStyle w:val="Footer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077F50" w:rsidRPr="003109E8" w:rsidRDefault="00F75E80" w:rsidP="005971E5">
    <w:pPr>
      <w:pStyle w:val="Footer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>
      <w:rPr>
        <w:bCs/>
        <w:kern w:val="36"/>
        <w:sz w:val="20"/>
      </w:rPr>
      <w:tab/>
    </w:r>
    <w:r>
      <w:rPr>
        <w:bCs/>
        <w:kern w:val="36"/>
        <w:sz w:val="20"/>
      </w:rPr>
      <w:tab/>
    </w:r>
    <w:r w:rsidR="00E330E9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PAGE </w:instrText>
    </w:r>
    <w:r w:rsidR="00E330E9" w:rsidRPr="003109E8">
      <w:rPr>
        <w:rStyle w:val="PageNumber"/>
        <w:sz w:val="20"/>
      </w:rPr>
      <w:fldChar w:fldCharType="separate"/>
    </w:r>
    <w:r w:rsidR="000F672C">
      <w:rPr>
        <w:rStyle w:val="PageNumber"/>
        <w:noProof/>
        <w:sz w:val="20"/>
      </w:rPr>
      <w:t>1</w:t>
    </w:r>
    <w:r w:rsidR="00E330E9" w:rsidRPr="003109E8">
      <w:rPr>
        <w:rStyle w:val="PageNumber"/>
        <w:sz w:val="20"/>
      </w:rPr>
      <w:fldChar w:fldCharType="end"/>
    </w:r>
    <w:r w:rsidR="00E330E9" w:rsidRPr="003109E8">
      <w:rPr>
        <w:rStyle w:val="PageNumber"/>
        <w:sz w:val="20"/>
      </w:rPr>
      <w:t>/</w:t>
    </w:r>
    <w:r w:rsidR="00E330E9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NUMPAGES </w:instrText>
    </w:r>
    <w:r w:rsidR="00E330E9" w:rsidRPr="003109E8">
      <w:rPr>
        <w:rStyle w:val="PageNumber"/>
        <w:sz w:val="20"/>
      </w:rPr>
      <w:fldChar w:fldCharType="separate"/>
    </w:r>
    <w:r w:rsidR="000F672C">
      <w:rPr>
        <w:rStyle w:val="PageNumber"/>
        <w:noProof/>
        <w:sz w:val="20"/>
      </w:rPr>
      <w:t>1</w:t>
    </w:r>
    <w:r w:rsidR="00E330E9" w:rsidRPr="003109E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E1" w:rsidRDefault="00F77EE1">
      <w:r>
        <w:separator/>
      </w:r>
    </w:p>
  </w:footnote>
  <w:footnote w:type="continuationSeparator" w:id="0">
    <w:p w:rsidR="00F77EE1" w:rsidRDefault="00F7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9B74C7"/>
    <w:multiLevelType w:val="hybridMultilevel"/>
    <w:tmpl w:val="E90C3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D28F7"/>
    <w:multiLevelType w:val="hybridMultilevel"/>
    <w:tmpl w:val="A988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3FA9"/>
    <w:multiLevelType w:val="hybridMultilevel"/>
    <w:tmpl w:val="E90C3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C2C2AF4"/>
    <w:multiLevelType w:val="hybridMultilevel"/>
    <w:tmpl w:val="6FEC3B9C"/>
    <w:lvl w:ilvl="0" w:tplc="F02EB76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651184"/>
    <w:multiLevelType w:val="hybridMultilevel"/>
    <w:tmpl w:val="17AA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B4"/>
    <w:rsid w:val="00001BF7"/>
    <w:rsid w:val="00002E7F"/>
    <w:rsid w:val="000074B4"/>
    <w:rsid w:val="0001756C"/>
    <w:rsid w:val="000205E3"/>
    <w:rsid w:val="0002354B"/>
    <w:rsid w:val="00025717"/>
    <w:rsid w:val="00040B69"/>
    <w:rsid w:val="000426C1"/>
    <w:rsid w:val="00073A8E"/>
    <w:rsid w:val="00077F50"/>
    <w:rsid w:val="00090952"/>
    <w:rsid w:val="000A1542"/>
    <w:rsid w:val="000A26DD"/>
    <w:rsid w:val="000B3644"/>
    <w:rsid w:val="000C4962"/>
    <w:rsid w:val="000D1E0D"/>
    <w:rsid w:val="000D7B9F"/>
    <w:rsid w:val="000F3C66"/>
    <w:rsid w:val="000F672C"/>
    <w:rsid w:val="00113EF0"/>
    <w:rsid w:val="00115947"/>
    <w:rsid w:val="0012501F"/>
    <w:rsid w:val="0015179E"/>
    <w:rsid w:val="00153820"/>
    <w:rsid w:val="00165EB6"/>
    <w:rsid w:val="001706A3"/>
    <w:rsid w:val="001708AB"/>
    <w:rsid w:val="0018204E"/>
    <w:rsid w:val="001A0A60"/>
    <w:rsid w:val="001A3C2A"/>
    <w:rsid w:val="001A610C"/>
    <w:rsid w:val="001B4A15"/>
    <w:rsid w:val="001B5B01"/>
    <w:rsid w:val="001D33CE"/>
    <w:rsid w:val="001D668A"/>
    <w:rsid w:val="00204E3E"/>
    <w:rsid w:val="00215BDD"/>
    <w:rsid w:val="0021622A"/>
    <w:rsid w:val="00222398"/>
    <w:rsid w:val="00226552"/>
    <w:rsid w:val="0022765D"/>
    <w:rsid w:val="00257D74"/>
    <w:rsid w:val="00261679"/>
    <w:rsid w:val="00267EBB"/>
    <w:rsid w:val="00275332"/>
    <w:rsid w:val="002836FF"/>
    <w:rsid w:val="0029455D"/>
    <w:rsid w:val="002A54ED"/>
    <w:rsid w:val="002B201E"/>
    <w:rsid w:val="002B5308"/>
    <w:rsid w:val="002D6DB4"/>
    <w:rsid w:val="002E4054"/>
    <w:rsid w:val="002F1984"/>
    <w:rsid w:val="002F551A"/>
    <w:rsid w:val="00306A8D"/>
    <w:rsid w:val="0030797A"/>
    <w:rsid w:val="003109E8"/>
    <w:rsid w:val="00323135"/>
    <w:rsid w:val="003238E2"/>
    <w:rsid w:val="00323DB5"/>
    <w:rsid w:val="00337895"/>
    <w:rsid w:val="003540DF"/>
    <w:rsid w:val="003659D9"/>
    <w:rsid w:val="00367A78"/>
    <w:rsid w:val="00372125"/>
    <w:rsid w:val="0037484F"/>
    <w:rsid w:val="003A1A16"/>
    <w:rsid w:val="003A6DD2"/>
    <w:rsid w:val="003C7138"/>
    <w:rsid w:val="003D10F8"/>
    <w:rsid w:val="003D37A2"/>
    <w:rsid w:val="003E2B85"/>
    <w:rsid w:val="003F4520"/>
    <w:rsid w:val="004149E0"/>
    <w:rsid w:val="0042165D"/>
    <w:rsid w:val="0042281B"/>
    <w:rsid w:val="00431E60"/>
    <w:rsid w:val="00434080"/>
    <w:rsid w:val="00436A94"/>
    <w:rsid w:val="004572E5"/>
    <w:rsid w:val="00457E12"/>
    <w:rsid w:val="00464EC2"/>
    <w:rsid w:val="004728F6"/>
    <w:rsid w:val="00475A9C"/>
    <w:rsid w:val="00480EB9"/>
    <w:rsid w:val="00484A0D"/>
    <w:rsid w:val="00485A45"/>
    <w:rsid w:val="00497A1E"/>
    <w:rsid w:val="004A3912"/>
    <w:rsid w:val="004A6333"/>
    <w:rsid w:val="004A74B4"/>
    <w:rsid w:val="004B0D99"/>
    <w:rsid w:val="004C2A48"/>
    <w:rsid w:val="004C6A7F"/>
    <w:rsid w:val="004E03BC"/>
    <w:rsid w:val="004E0BC8"/>
    <w:rsid w:val="00503613"/>
    <w:rsid w:val="005273C6"/>
    <w:rsid w:val="00530015"/>
    <w:rsid w:val="00532241"/>
    <w:rsid w:val="005330A7"/>
    <w:rsid w:val="005364F0"/>
    <w:rsid w:val="00555A85"/>
    <w:rsid w:val="005807B6"/>
    <w:rsid w:val="00581E28"/>
    <w:rsid w:val="00590836"/>
    <w:rsid w:val="005971E5"/>
    <w:rsid w:val="005A4932"/>
    <w:rsid w:val="005B3401"/>
    <w:rsid w:val="005C3429"/>
    <w:rsid w:val="005D2B11"/>
    <w:rsid w:val="005D6AA7"/>
    <w:rsid w:val="005E6E0A"/>
    <w:rsid w:val="005E7090"/>
    <w:rsid w:val="005F21E2"/>
    <w:rsid w:val="0061089D"/>
    <w:rsid w:val="00625131"/>
    <w:rsid w:val="00640369"/>
    <w:rsid w:val="00654124"/>
    <w:rsid w:val="006624B1"/>
    <w:rsid w:val="00670269"/>
    <w:rsid w:val="00676739"/>
    <w:rsid w:val="006824F4"/>
    <w:rsid w:val="00683E41"/>
    <w:rsid w:val="00691C88"/>
    <w:rsid w:val="006928FB"/>
    <w:rsid w:val="00696959"/>
    <w:rsid w:val="006A4F90"/>
    <w:rsid w:val="006A608B"/>
    <w:rsid w:val="006B0451"/>
    <w:rsid w:val="006B174F"/>
    <w:rsid w:val="006B476E"/>
    <w:rsid w:val="006C2495"/>
    <w:rsid w:val="006C498F"/>
    <w:rsid w:val="006C7574"/>
    <w:rsid w:val="006D5D4B"/>
    <w:rsid w:val="006E1B59"/>
    <w:rsid w:val="006E6EE3"/>
    <w:rsid w:val="00700360"/>
    <w:rsid w:val="007171D3"/>
    <w:rsid w:val="00730215"/>
    <w:rsid w:val="0073305B"/>
    <w:rsid w:val="007363C8"/>
    <w:rsid w:val="00740F4C"/>
    <w:rsid w:val="00744B27"/>
    <w:rsid w:val="00757790"/>
    <w:rsid w:val="00770359"/>
    <w:rsid w:val="00786AB6"/>
    <w:rsid w:val="007922F3"/>
    <w:rsid w:val="00792836"/>
    <w:rsid w:val="00797985"/>
    <w:rsid w:val="007A5373"/>
    <w:rsid w:val="007A6CDA"/>
    <w:rsid w:val="007D4160"/>
    <w:rsid w:val="007D7E7C"/>
    <w:rsid w:val="007E029D"/>
    <w:rsid w:val="007E5E78"/>
    <w:rsid w:val="007F667B"/>
    <w:rsid w:val="00812DAF"/>
    <w:rsid w:val="00820E6C"/>
    <w:rsid w:val="00822603"/>
    <w:rsid w:val="00823B97"/>
    <w:rsid w:val="00831FBA"/>
    <w:rsid w:val="00844999"/>
    <w:rsid w:val="00850F57"/>
    <w:rsid w:val="0086769C"/>
    <w:rsid w:val="008A151F"/>
    <w:rsid w:val="008A4E2A"/>
    <w:rsid w:val="008B1ED1"/>
    <w:rsid w:val="008B38CF"/>
    <w:rsid w:val="008B48A0"/>
    <w:rsid w:val="008D1FDB"/>
    <w:rsid w:val="008D7C0E"/>
    <w:rsid w:val="008F0702"/>
    <w:rsid w:val="008F4A63"/>
    <w:rsid w:val="008F52BC"/>
    <w:rsid w:val="008F6E8D"/>
    <w:rsid w:val="00913E7A"/>
    <w:rsid w:val="00925046"/>
    <w:rsid w:val="0093195C"/>
    <w:rsid w:val="009321FA"/>
    <w:rsid w:val="00950280"/>
    <w:rsid w:val="00962533"/>
    <w:rsid w:val="009633A2"/>
    <w:rsid w:val="00971D5F"/>
    <w:rsid w:val="0097414E"/>
    <w:rsid w:val="0098296A"/>
    <w:rsid w:val="009A22A7"/>
    <w:rsid w:val="009B4031"/>
    <w:rsid w:val="009E2710"/>
    <w:rsid w:val="009F4555"/>
    <w:rsid w:val="00A01AAB"/>
    <w:rsid w:val="00A12FA8"/>
    <w:rsid w:val="00A13B2E"/>
    <w:rsid w:val="00A143EF"/>
    <w:rsid w:val="00A23EAD"/>
    <w:rsid w:val="00A30DBC"/>
    <w:rsid w:val="00A37443"/>
    <w:rsid w:val="00A51536"/>
    <w:rsid w:val="00A53EF7"/>
    <w:rsid w:val="00A60EFB"/>
    <w:rsid w:val="00A64166"/>
    <w:rsid w:val="00A65618"/>
    <w:rsid w:val="00A70CE3"/>
    <w:rsid w:val="00A7320F"/>
    <w:rsid w:val="00A91B9F"/>
    <w:rsid w:val="00A9446E"/>
    <w:rsid w:val="00AC69FB"/>
    <w:rsid w:val="00AD1BF6"/>
    <w:rsid w:val="00AF5A7D"/>
    <w:rsid w:val="00B01000"/>
    <w:rsid w:val="00B56934"/>
    <w:rsid w:val="00B576EC"/>
    <w:rsid w:val="00BA142B"/>
    <w:rsid w:val="00BB3FC4"/>
    <w:rsid w:val="00BC3C16"/>
    <w:rsid w:val="00BD2606"/>
    <w:rsid w:val="00BD4C40"/>
    <w:rsid w:val="00BD59A7"/>
    <w:rsid w:val="00BE1F50"/>
    <w:rsid w:val="00BE2522"/>
    <w:rsid w:val="00BE26E2"/>
    <w:rsid w:val="00BF14C7"/>
    <w:rsid w:val="00BF6935"/>
    <w:rsid w:val="00C03BA4"/>
    <w:rsid w:val="00C12001"/>
    <w:rsid w:val="00C16BDB"/>
    <w:rsid w:val="00C32384"/>
    <w:rsid w:val="00C34749"/>
    <w:rsid w:val="00C41A27"/>
    <w:rsid w:val="00C622EB"/>
    <w:rsid w:val="00C91869"/>
    <w:rsid w:val="00CA4F21"/>
    <w:rsid w:val="00CA58EA"/>
    <w:rsid w:val="00CB0339"/>
    <w:rsid w:val="00CC7402"/>
    <w:rsid w:val="00CF3D16"/>
    <w:rsid w:val="00D169F4"/>
    <w:rsid w:val="00D31DF8"/>
    <w:rsid w:val="00D321E6"/>
    <w:rsid w:val="00D40FEF"/>
    <w:rsid w:val="00D42EE7"/>
    <w:rsid w:val="00D66163"/>
    <w:rsid w:val="00D72657"/>
    <w:rsid w:val="00D80CC6"/>
    <w:rsid w:val="00DA6443"/>
    <w:rsid w:val="00DD0504"/>
    <w:rsid w:val="00DD691A"/>
    <w:rsid w:val="00DD7CA7"/>
    <w:rsid w:val="00DF6CF2"/>
    <w:rsid w:val="00E02F99"/>
    <w:rsid w:val="00E0792A"/>
    <w:rsid w:val="00E15B10"/>
    <w:rsid w:val="00E330E9"/>
    <w:rsid w:val="00E33276"/>
    <w:rsid w:val="00E35B0D"/>
    <w:rsid w:val="00E457CA"/>
    <w:rsid w:val="00E512EC"/>
    <w:rsid w:val="00E658A7"/>
    <w:rsid w:val="00E65A9D"/>
    <w:rsid w:val="00E84310"/>
    <w:rsid w:val="00E942FF"/>
    <w:rsid w:val="00EA46E1"/>
    <w:rsid w:val="00EB0CA8"/>
    <w:rsid w:val="00ED425D"/>
    <w:rsid w:val="00ED7D22"/>
    <w:rsid w:val="00EE7486"/>
    <w:rsid w:val="00EF30B8"/>
    <w:rsid w:val="00F05307"/>
    <w:rsid w:val="00F17B8F"/>
    <w:rsid w:val="00F222B9"/>
    <w:rsid w:val="00F24FF3"/>
    <w:rsid w:val="00F265D5"/>
    <w:rsid w:val="00F45C14"/>
    <w:rsid w:val="00F47A58"/>
    <w:rsid w:val="00F75E80"/>
    <w:rsid w:val="00F77EE1"/>
    <w:rsid w:val="00F938AA"/>
    <w:rsid w:val="00F9426D"/>
    <w:rsid w:val="00FA4691"/>
    <w:rsid w:val="00FD4D79"/>
    <w:rsid w:val="00FE607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E797E"/>
  <w15:docId w15:val="{27F42E97-C099-4FA8-A559-D65150A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8CF"/>
    <w:rPr>
      <w:rFonts w:ascii="Calibri" w:hAnsi="Calibri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PageNumber">
    <w:name w:val="page number"/>
    <w:basedOn w:val="DefaultParagraphFon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TableGrid">
    <w:name w:val="Table Grid"/>
    <w:basedOn w:val="TableNormal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l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662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94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6E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9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6E"/>
    <w:rPr>
      <w:b/>
      <w:bCs/>
      <w:lang w:val="fr-FR" w:eastAsia="fr-FR"/>
    </w:rPr>
  </w:style>
  <w:style w:type="paragraph" w:styleId="Revision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40B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69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amcat@eco.cept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8007-F748-468E-A82E-39FBC65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00XSE(10)</vt:lpstr>
    </vt:vector>
  </TitlesOfParts>
  <Company>ANFR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Ralf Jan 2020</cp:lastModifiedBy>
  <cp:revision>12</cp:revision>
  <cp:lastPrinted>2015-02-05T12:40:00Z</cp:lastPrinted>
  <dcterms:created xsi:type="dcterms:W3CDTF">2019-11-25T19:36:00Z</dcterms:created>
  <dcterms:modified xsi:type="dcterms:W3CDTF">2019-12-02T09:24:00Z</dcterms:modified>
</cp:coreProperties>
</file>